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4958C2" w:rsidP="00B50198">
      <w:pPr>
        <w:jc w:val="center"/>
        <w:rPr>
          <w:rFonts w:asciiTheme="majorHAnsi" w:hAnsiTheme="majorHAnsi"/>
          <w:b/>
          <w:bCs/>
          <w:sz w:val="22"/>
          <w:szCs w:val="22"/>
        </w:rPr>
      </w:pPr>
      <w:r>
        <w:rPr>
          <w:rFonts w:asciiTheme="majorHAnsi" w:hAnsiTheme="majorHAnsi"/>
          <w:b/>
          <w:bCs/>
          <w:sz w:val="22"/>
          <w:szCs w:val="22"/>
        </w:rPr>
        <w:t>NEURONAVIGACINĖ SISTEMA SUDERINAMA SU ULTRAGARSINIU APARATU</w:t>
      </w:r>
    </w:p>
    <w:p w:rsidR="00C969BB" w:rsidRPr="003033A9" w:rsidRDefault="00C969B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958C2">
        <w:rPr>
          <w:rFonts w:asciiTheme="majorHAnsi" w:hAnsiTheme="majorHAnsi"/>
          <w:b/>
          <w:bCs/>
          <w:color w:val="4F81BD" w:themeColor="accent1"/>
          <w:sz w:val="22"/>
          <w:szCs w:val="22"/>
          <w:lang w:val="lt-LT"/>
        </w:rPr>
        <w:t>neuronavigacinę sistemą suderinamą su ultragarsiniu aparatu</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958C2">
        <w:rPr>
          <w:rFonts w:asciiTheme="majorHAnsi" w:hAnsiTheme="majorHAnsi"/>
          <w:b/>
          <w:bCs/>
          <w:color w:val="4F81BD" w:themeColor="accent1"/>
          <w:sz w:val="22"/>
          <w:szCs w:val="22"/>
          <w:lang w:val="lt-LT"/>
        </w:rPr>
        <w:t>neuronavigacinė sistema suderinama su ultragarsiniu aparatu</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4958C2">
        <w:rPr>
          <w:rFonts w:asciiTheme="majorHAnsi" w:hAnsiTheme="majorHAnsi"/>
          <w:shd w:val="clear" w:color="auto" w:fill="FFFFFF"/>
        </w:rPr>
        <w:t xml:space="preserve"> </w:t>
      </w:r>
      <w:r w:rsidR="004958C2">
        <w:rPr>
          <w:rFonts w:asciiTheme="majorHAnsi" w:hAnsiTheme="majorHAnsi"/>
          <w:bCs/>
          <w:i/>
          <w:color w:val="4F81BD" w:themeColor="accent1"/>
        </w:rPr>
        <w:t>neuronavigacinės sistemos suderinamos su ultragarsiniu aparatu</w:t>
      </w:r>
      <w:r w:rsidR="00C969BB" w:rsidRPr="00C969BB">
        <w:rPr>
          <w:rFonts w:asciiTheme="majorHAnsi" w:hAnsiTheme="majorHAnsi"/>
          <w:bCs/>
          <w:i/>
          <w:color w:val="4F81BD" w:themeColor="accent1"/>
        </w:rPr>
        <w:t xml:space="preserve"> </w:t>
      </w:r>
      <w:r w:rsidRPr="007750CB">
        <w:rPr>
          <w:rFonts w:asciiTheme="majorHAnsi" w:hAnsiTheme="majorHAnsi"/>
          <w:shd w:val="clear" w:color="auto" w:fill="FFFFFF"/>
        </w:rPr>
        <w:t xml:space="preserve">pirkimo (Nr. </w:t>
      </w:r>
      <w:r w:rsidR="004958C2">
        <w:rPr>
          <w:rFonts w:asciiTheme="majorHAnsi" w:hAnsiTheme="majorHAnsi" w:cs="Calibri"/>
          <w:i/>
          <w:color w:val="1F497D" w:themeColor="text2"/>
          <w:shd w:val="clear" w:color="auto" w:fill="FFFFFF"/>
        </w:rPr>
        <w:t>524798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969BB" w:rsidRPr="00C969BB" w:rsidRDefault="00BA418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lang w:eastAsia="lt-LT"/>
        </w:rPr>
        <w:t>Šis pirkimas nėra skirstomas į pirkimo dalis</w:t>
      </w:r>
      <w:r w:rsidRPr="00C969BB">
        <w:rPr>
          <w:rFonts w:ascii="Cambria" w:hAnsi="Cambria"/>
          <w:lang w:eastAsia="ar-SA"/>
        </w:rPr>
        <w:t xml:space="preserve"> (viso viena pirkimo dalis). </w:t>
      </w:r>
      <w:r w:rsidRPr="00C969BB">
        <w:rPr>
          <w:rFonts w:ascii="Cambria" w:hAnsi="Cambria"/>
          <w:noProof/>
        </w:rPr>
        <w:t xml:space="preserve">Pirkimas į dalis neskaidomas, </w:t>
      </w:r>
      <w:r w:rsidRPr="00C969BB">
        <w:rPr>
          <w:rFonts w:ascii="Cambria" w:hAnsi="Cambria"/>
        </w:rPr>
        <w:t xml:space="preserve">nes </w:t>
      </w:r>
      <w:r w:rsidR="00404825" w:rsidRPr="00C969BB">
        <w:rPr>
          <w:rFonts w:ascii="Cambria" w:hAnsi="Cambria"/>
        </w:rPr>
        <w:t xml:space="preserve">perkama </w:t>
      </w:r>
      <w:r w:rsidR="00C969BB" w:rsidRPr="00C969BB">
        <w:rPr>
          <w:rFonts w:ascii="Cambria" w:hAnsi="Cambria"/>
        </w:rPr>
        <w:t>tarpusavyje techniškai derinama sistema.</w:t>
      </w:r>
    </w:p>
    <w:p w:rsidR="008E1CCD" w:rsidRPr="00C969BB" w:rsidRDefault="00C969B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rPr>
        <w:t xml:space="preserve"> </w:t>
      </w:r>
      <w:r w:rsidR="008E1CCD" w:rsidRPr="00C969BB">
        <w:rPr>
          <w:rFonts w:asciiTheme="majorHAnsi" w:hAnsiTheme="majorHAnsi"/>
          <w:lang w:eastAsia="lt-LT"/>
        </w:rPr>
        <w:t xml:space="preserve">Dalyvis gali pateikti tik vieną pasiūlymą visam pirkimui. </w:t>
      </w:r>
      <w:r w:rsidR="008E1CCD" w:rsidRPr="00C969BB">
        <w:rPr>
          <w:rFonts w:asciiTheme="majorHAnsi" w:hAnsiTheme="majorHAnsi"/>
        </w:rPr>
        <w:t>Pasiūlymas turi būti pateiktas visai pirkimo sąlygų</w:t>
      </w:r>
      <w:r w:rsidR="008E1CCD" w:rsidRPr="00C969BB">
        <w:rPr>
          <w:rFonts w:asciiTheme="majorHAnsi" w:hAnsiTheme="majorHAnsi"/>
          <w:lang w:val="de-DE"/>
        </w:rPr>
        <w:t xml:space="preserve"> technin</w:t>
      </w:r>
      <w:r w:rsidR="008E1CCD" w:rsidRPr="00C969BB">
        <w:rPr>
          <w:rFonts w:asciiTheme="majorHAnsi" w:hAnsiTheme="majorHAnsi"/>
        </w:rPr>
        <w:t>ėje specifikacijoje nurodytai apimčiai</w:t>
      </w:r>
      <w:r w:rsidR="008E1CCD" w:rsidRPr="00C969BB">
        <w:rPr>
          <w:rFonts w:asciiTheme="majorHAnsi" w:hAnsiTheme="majorHAnsi"/>
          <w:lang w:eastAsia="lt-LT"/>
        </w:rPr>
        <w:t>.</w:t>
      </w:r>
      <w:r w:rsidR="008E1CCD" w:rsidRPr="00C969BB">
        <w:rPr>
          <w:rFonts w:asciiTheme="majorHAnsi" w:hAnsiTheme="majorHAnsi"/>
          <w:iCs/>
          <w:lang w:eastAsia="lt-LT"/>
        </w:rPr>
        <w:t xml:space="preserve"> </w:t>
      </w:r>
      <w:r w:rsidR="008E1CCD" w:rsidRPr="00C969BB">
        <w:rPr>
          <w:rFonts w:asciiTheme="majorHAnsi" w:hAnsiTheme="majorHAnsi"/>
          <w:iCs/>
        </w:rPr>
        <w:t>Konkurso dalyviui pateikus pasiūlymą, kuriame bus siūlomas nepilnas prekių asortimentas, pasiūlymas bus atmestas</w:t>
      </w:r>
      <w:r w:rsidR="008E1CCD" w:rsidRPr="00C969BB">
        <w:rPr>
          <w:rFonts w:asciiTheme="majorHAnsi" w:hAnsiTheme="majorHAnsi"/>
          <w:iCs/>
          <w:lang w:eastAsia="lt-LT"/>
        </w:rPr>
        <w:t>.</w:t>
      </w:r>
      <w:r w:rsidR="008E1CCD" w:rsidRPr="00C969BB">
        <w:rPr>
          <w:rFonts w:asciiTheme="majorHAnsi" w:hAnsiTheme="majorHAnsi"/>
          <w:lang w:eastAsia="lt-LT"/>
        </w:rPr>
        <w:t xml:space="preserve"> Alternatyvūs pasiūlymai negalimi</w:t>
      </w:r>
      <w:r w:rsidR="008E1CCD" w:rsidRPr="00C969BB">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A3FFD"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418B" w:rsidRDefault="003A3FFD" w:rsidP="003A3FF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455C27"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55C2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55C27"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455C27"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455C27"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820B38" w:rsidRDefault="008A5160" w:rsidP="008A5160">
      <w:pPr>
        <w:ind w:firstLine="567"/>
        <w:contextualSpacing/>
        <w:jc w:val="both"/>
        <w:rPr>
          <w:rFonts w:asciiTheme="majorHAnsi" w:eastAsia="Calibri" w:hAnsiTheme="majorHAnsi"/>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w:t>
      </w:r>
      <w:r w:rsidRPr="00EA468A">
        <w:rPr>
          <w:rFonts w:ascii="Cambria" w:eastAsia="Calibri" w:hAnsi="Cambria"/>
          <w:sz w:val="22"/>
          <w:szCs w:val="20"/>
          <w:lang w:eastAsia="lt-LT"/>
        </w:rPr>
        <w:lastRenderedPageBreak/>
        <w:t xml:space="preserve">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Pr="00820B38">
        <w:rPr>
          <w:rFonts w:asciiTheme="majorHAnsi" w:hAnsiTheme="majorHAnsi"/>
          <w:color w:val="1F497D" w:themeColor="text2"/>
          <w:sz w:val="22"/>
          <w:szCs w:val="22"/>
        </w:rPr>
        <w:t xml:space="preserve">, kurių BVPŽ kodas </w:t>
      </w:r>
      <w:r w:rsidR="00E0153A" w:rsidRPr="00820B38">
        <w:rPr>
          <w:rFonts w:asciiTheme="majorHAnsi" w:hAnsiTheme="majorHAnsi"/>
          <w:color w:val="1F497D" w:themeColor="text2"/>
          <w:sz w:val="22"/>
          <w:szCs w:val="22"/>
        </w:rPr>
        <w:t>48000000-8</w:t>
      </w:r>
      <w:r w:rsidRPr="00820B38">
        <w:rPr>
          <w:rFonts w:asciiTheme="majorHAnsi" w:hAnsiTheme="majorHAnsi"/>
          <w:color w:val="1F497D" w:themeColor="text2"/>
          <w:sz w:val="22"/>
          <w:szCs w:val="22"/>
        </w:rPr>
        <w:t xml:space="preserve"> (</w:t>
      </w:r>
      <w:r w:rsidR="00E0153A" w:rsidRPr="00820B38">
        <w:rPr>
          <w:rFonts w:asciiTheme="majorHAnsi" w:hAnsiTheme="majorHAnsi" w:cs="Arial"/>
          <w:color w:val="1F497D" w:themeColor="text2"/>
          <w:sz w:val="22"/>
          <w:szCs w:val="22"/>
          <w:shd w:val="clear" w:color="auto" w:fill="FFFFFF"/>
        </w:rPr>
        <w:t>Programinės įrangos paketai ir informacinės sistemos</w:t>
      </w:r>
      <w:r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820B38" w:rsidRPr="00820B38" w:rsidRDefault="008A5160" w:rsidP="00820B38">
      <w:pPr>
        <w:ind w:firstLine="567"/>
        <w:contextualSpacing/>
        <w:jc w:val="both"/>
        <w:rPr>
          <w:rFonts w:asciiTheme="majorHAnsi" w:eastAsia="Calibri" w:hAnsiTheme="majorHAnsi"/>
          <w:color w:val="1F497D" w:themeColor="text2"/>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820B38" w:rsidRPr="00820B38">
        <w:rPr>
          <w:rFonts w:ascii="Cambria" w:eastAsia="Calibri" w:hAnsi="Cambria"/>
          <w:color w:val="1F497D" w:themeColor="text2"/>
          <w:sz w:val="22"/>
          <w:szCs w:val="22"/>
          <w:lang w:eastAsia="lt-LT"/>
        </w:rPr>
        <w:t>(</w:t>
      </w:r>
      <w:r w:rsidR="00820B38" w:rsidRPr="00820B38">
        <w:rPr>
          <w:rFonts w:asciiTheme="majorHAnsi" w:eastAsia="Calibri" w:hAnsiTheme="majorHAnsi"/>
          <w:color w:val="1F497D" w:themeColor="text2"/>
          <w:sz w:val="22"/>
          <w:szCs w:val="22"/>
          <w:lang w:eastAsia="lt-LT"/>
        </w:rPr>
        <w:t>taikoma prekėms</w:t>
      </w:r>
      <w:r w:rsidR="00820B38" w:rsidRPr="00820B38">
        <w:rPr>
          <w:rFonts w:asciiTheme="majorHAnsi" w:hAnsiTheme="majorHAnsi"/>
          <w:color w:val="1F497D" w:themeColor="text2"/>
          <w:sz w:val="22"/>
          <w:szCs w:val="22"/>
        </w:rPr>
        <w:t>, kurių BVPŽ kodas 48000000-8 (</w:t>
      </w:r>
      <w:r w:rsidR="00820B38" w:rsidRPr="00820B38">
        <w:rPr>
          <w:rFonts w:asciiTheme="majorHAnsi" w:hAnsiTheme="majorHAnsi" w:cs="Arial"/>
          <w:color w:val="1F497D" w:themeColor="text2"/>
          <w:sz w:val="22"/>
          <w:szCs w:val="22"/>
          <w:shd w:val="clear" w:color="auto" w:fill="FFFFFF"/>
        </w:rPr>
        <w:t>Programinės įrangos paketai ir informacinės sistemos</w:t>
      </w:r>
      <w:r w:rsidR="00820B38"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 xml:space="preserve">ų pajėgumais, naudojimasis </w:t>
      </w:r>
      <w:r w:rsidRPr="003033A9">
        <w:rPr>
          <w:rFonts w:asciiTheme="majorHAnsi" w:hAnsiTheme="majorHAnsi" w:cs="Times New Roman"/>
        </w:rPr>
        <w:lastRenderedPageBreak/>
        <w:t>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A3FFD">
        <w:rPr>
          <w:rFonts w:asciiTheme="majorHAnsi" w:hAnsiTheme="majorHAnsi" w:cs="Times New Roman"/>
          <w:color w:val="auto"/>
        </w:rPr>
        <w:t xml:space="preserve">5.4. </w:t>
      </w:r>
      <w:r w:rsidRPr="003A3FFD">
        <w:rPr>
          <w:rFonts w:asciiTheme="majorHAnsi" w:hAnsiTheme="majorHAnsi" w:cs="Times New Roman"/>
          <w:iCs/>
          <w:color w:val="auto"/>
        </w:rPr>
        <w:t xml:space="preserve">Pasiūlymas turi būti pateiktas iki </w:t>
      </w:r>
      <w:r w:rsidR="00AA5E63" w:rsidRPr="003A3FFD">
        <w:rPr>
          <w:rFonts w:asciiTheme="majorHAnsi" w:hAnsiTheme="majorHAnsi" w:cs="Times New Roman"/>
          <w:b/>
          <w:iCs/>
          <w:color w:val="548DD4" w:themeColor="text2" w:themeTint="99"/>
        </w:rPr>
        <w:t>202</w:t>
      </w:r>
      <w:r w:rsidR="00485E3A" w:rsidRPr="003A3FFD">
        <w:rPr>
          <w:rFonts w:asciiTheme="majorHAnsi" w:hAnsiTheme="majorHAnsi" w:cs="Times New Roman"/>
          <w:b/>
          <w:iCs/>
          <w:color w:val="548DD4" w:themeColor="text2" w:themeTint="99"/>
        </w:rPr>
        <w:t>6</w:t>
      </w:r>
      <w:r w:rsidRPr="003A3FFD">
        <w:rPr>
          <w:rFonts w:asciiTheme="majorHAnsi" w:hAnsiTheme="majorHAnsi" w:cs="Times New Roman"/>
          <w:b/>
          <w:iCs/>
          <w:color w:val="548DD4" w:themeColor="text2" w:themeTint="99"/>
        </w:rPr>
        <w:t xml:space="preserve"> m. </w:t>
      </w:r>
      <w:r w:rsidR="00485E3A" w:rsidRPr="003A3FFD">
        <w:rPr>
          <w:rFonts w:asciiTheme="majorHAnsi" w:hAnsiTheme="majorHAnsi" w:cs="Times New Roman"/>
          <w:b/>
          <w:iCs/>
          <w:color w:val="548DD4" w:themeColor="text2" w:themeTint="99"/>
        </w:rPr>
        <w:t>sausio</w:t>
      </w:r>
      <w:r w:rsidR="003A3FFD" w:rsidRPr="003A3FFD">
        <w:rPr>
          <w:rFonts w:asciiTheme="majorHAnsi" w:hAnsiTheme="majorHAnsi" w:cs="Times New Roman"/>
          <w:b/>
          <w:iCs/>
          <w:color w:val="548DD4" w:themeColor="text2" w:themeTint="99"/>
        </w:rPr>
        <w:t xml:space="preserve"> 9</w:t>
      </w:r>
      <w:r w:rsidR="00152656" w:rsidRPr="003A3FFD">
        <w:rPr>
          <w:rFonts w:asciiTheme="majorHAnsi" w:hAnsiTheme="majorHAnsi" w:cs="Times New Roman"/>
          <w:b/>
          <w:iCs/>
          <w:color w:val="548DD4" w:themeColor="text2" w:themeTint="99"/>
        </w:rPr>
        <w:t xml:space="preserve"> </w:t>
      </w:r>
      <w:r w:rsidRPr="003A3FFD">
        <w:rPr>
          <w:rFonts w:asciiTheme="majorHAnsi" w:hAnsiTheme="majorHAnsi" w:cs="Times New Roman"/>
          <w:b/>
          <w:iCs/>
          <w:color w:val="548DD4" w:themeColor="text2" w:themeTint="99"/>
        </w:rPr>
        <w:t>d.</w:t>
      </w:r>
      <w:r w:rsidR="00EA06FB" w:rsidRPr="003A3FFD">
        <w:rPr>
          <w:rFonts w:asciiTheme="majorHAnsi" w:hAnsiTheme="majorHAnsi" w:cs="Times New Roman"/>
          <w:b/>
          <w:iCs/>
          <w:color w:val="548DD4" w:themeColor="text2" w:themeTint="99"/>
        </w:rPr>
        <w:t xml:space="preserve"> </w:t>
      </w:r>
      <w:r w:rsidR="00BA0428" w:rsidRPr="003A3FFD">
        <w:rPr>
          <w:rFonts w:asciiTheme="majorHAnsi" w:hAnsiTheme="majorHAnsi" w:cs="Times New Roman"/>
          <w:b/>
          <w:iCs/>
          <w:color w:val="548DD4" w:themeColor="text2" w:themeTint="99"/>
        </w:rPr>
        <w:t>0</w:t>
      </w:r>
      <w:r w:rsidR="003A3FFD" w:rsidRPr="003A3FFD">
        <w:rPr>
          <w:rFonts w:asciiTheme="majorHAnsi" w:hAnsiTheme="majorHAnsi" w:cs="Times New Roman"/>
          <w:b/>
          <w:iCs/>
          <w:color w:val="548DD4" w:themeColor="text2" w:themeTint="99"/>
        </w:rPr>
        <w:t>8</w:t>
      </w:r>
      <w:r w:rsidR="005823A0" w:rsidRPr="003A3FFD">
        <w:rPr>
          <w:rFonts w:asciiTheme="majorHAnsi" w:hAnsiTheme="majorHAnsi" w:cs="Times New Roman"/>
          <w:b/>
          <w:iCs/>
          <w:color w:val="548DD4" w:themeColor="text2" w:themeTint="99"/>
        </w:rPr>
        <w:t xml:space="preserve"> val. </w:t>
      </w:r>
      <w:r w:rsidR="007F78D0" w:rsidRPr="003A3FFD">
        <w:rPr>
          <w:rFonts w:asciiTheme="majorHAnsi" w:hAnsiTheme="majorHAnsi" w:cs="Times New Roman"/>
          <w:b/>
          <w:iCs/>
          <w:color w:val="548DD4" w:themeColor="text2" w:themeTint="99"/>
        </w:rPr>
        <w:t>00</w:t>
      </w:r>
      <w:r w:rsidRPr="003A3FFD">
        <w:rPr>
          <w:rFonts w:asciiTheme="majorHAnsi" w:hAnsiTheme="majorHAnsi" w:cs="Times New Roman"/>
          <w:b/>
          <w:iCs/>
          <w:color w:val="548DD4" w:themeColor="text2" w:themeTint="99"/>
        </w:rPr>
        <w:t xml:space="preserve"> min.</w:t>
      </w:r>
      <w:r w:rsidRPr="003A3FFD">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3A3FFD">
        <w:rPr>
          <w:rFonts w:asciiTheme="majorHAnsi" w:hAnsiTheme="majorHAnsi" w:cs="Times New Roman"/>
          <w:lang w:val="it-IT"/>
        </w:rPr>
        <w:t xml:space="preserve">trumpiau </w:t>
      </w:r>
      <w:r w:rsidRPr="003A3FFD">
        <w:rPr>
          <w:rFonts w:asciiTheme="majorHAnsi" w:hAnsiTheme="majorHAnsi" w:cs="Times New Roman"/>
          <w:lang w:val="lt-LT"/>
        </w:rPr>
        <w:t xml:space="preserve">kaip iki </w:t>
      </w:r>
      <w:r w:rsidR="00E45025" w:rsidRPr="003A3FFD">
        <w:rPr>
          <w:rFonts w:asciiTheme="majorHAnsi" w:hAnsiTheme="majorHAnsi" w:cs="Times New Roman"/>
          <w:b/>
          <w:color w:val="548DD4" w:themeColor="text2" w:themeTint="99"/>
          <w:lang w:val="lt-LT"/>
        </w:rPr>
        <w:t>202</w:t>
      </w:r>
      <w:r w:rsidR="00E65698" w:rsidRPr="003A3FFD">
        <w:rPr>
          <w:rFonts w:asciiTheme="majorHAnsi" w:hAnsiTheme="majorHAnsi" w:cs="Times New Roman"/>
          <w:b/>
          <w:color w:val="548DD4" w:themeColor="text2" w:themeTint="99"/>
          <w:lang w:val="lt-LT"/>
        </w:rPr>
        <w:t>6-0</w:t>
      </w:r>
      <w:r w:rsidR="00485E3A" w:rsidRPr="003A3FFD">
        <w:rPr>
          <w:rFonts w:asciiTheme="majorHAnsi" w:hAnsiTheme="majorHAnsi" w:cs="Times New Roman"/>
          <w:b/>
          <w:color w:val="548DD4" w:themeColor="text2" w:themeTint="99"/>
          <w:lang w:val="lt-LT"/>
        </w:rPr>
        <w:t>5-</w:t>
      </w:r>
      <w:r w:rsidR="003A3FFD" w:rsidRPr="003A3FFD">
        <w:rPr>
          <w:rFonts w:asciiTheme="majorHAnsi" w:hAnsiTheme="majorHAnsi" w:cs="Times New Roman"/>
          <w:b/>
          <w:color w:val="548DD4" w:themeColor="text2" w:themeTint="99"/>
          <w:lang w:val="lt-LT"/>
        </w:rPr>
        <w:t>09</w:t>
      </w:r>
      <w:r w:rsidR="00805DD4" w:rsidRPr="003A3FFD">
        <w:rPr>
          <w:rFonts w:asciiTheme="majorHAnsi" w:hAnsiTheme="majorHAnsi" w:cs="Times New Roman"/>
          <w:b/>
          <w:color w:val="548DD4" w:themeColor="text2" w:themeTint="99"/>
          <w:lang w:val="lt-LT"/>
        </w:rPr>
        <w:t>.</w:t>
      </w:r>
      <w:r w:rsidRPr="003A3FFD">
        <w:rPr>
          <w:rFonts w:asciiTheme="majorHAnsi" w:hAnsiTheme="majorHAnsi" w:cs="Times New Roman"/>
          <w:lang w:val="pt-PT"/>
        </w:rPr>
        <w:t xml:space="preserve"> Jeigu pasi</w:t>
      </w:r>
      <w:r w:rsidRPr="003A3FF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lastRenderedPageBreak/>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F74F79" w:rsidRPr="003033A9" w:rsidRDefault="00F74F79" w:rsidP="00BE7587">
      <w:pPr>
        <w:pStyle w:val="Body2"/>
        <w:spacing w:after="0"/>
        <w:rPr>
          <w:rFonts w:asciiTheme="majorHAnsi" w:hAnsiTheme="majorHAnsi" w:cs="Times New Roman"/>
        </w:rPr>
      </w:pP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485E3A">
        <w:rPr>
          <w:rFonts w:asciiTheme="majorHAnsi" w:hAnsiTheme="majorHAnsi"/>
          <w:bCs/>
          <w:i/>
          <w:sz w:val="22"/>
          <w:szCs w:val="22"/>
        </w:rPr>
        <w:t>Siūlomos parametrų reikšmės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00812ED0" w:rsidRPr="00C67424">
        <w:rPr>
          <w:rFonts w:asciiTheme="majorHAnsi" w:hAnsiTheme="majorHAnsi"/>
          <w:b/>
          <w:sz w:val="22"/>
          <w:szCs w:val="22"/>
        </w:rPr>
        <w:t>su siūlomų prekių</w:t>
      </w:r>
      <w:r w:rsidR="00752BB4">
        <w:rPr>
          <w:rFonts w:asciiTheme="majorHAnsi" w:hAnsiTheme="majorHAnsi"/>
          <w:b/>
          <w:sz w:val="22"/>
          <w:szCs w:val="22"/>
        </w:rPr>
        <w:t xml:space="preserve"> </w:t>
      </w:r>
      <w:r w:rsidR="00812ED0" w:rsidRPr="00C67424">
        <w:rPr>
          <w:rFonts w:asciiTheme="majorHAnsi" w:hAnsiTheme="majorHAnsi"/>
          <w:b/>
          <w:sz w:val="22"/>
          <w:szCs w:val="22"/>
        </w:rPr>
        <w:t xml:space="preserve">aprašymais) 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00485E3A">
        <w:rPr>
          <w:rFonts w:asciiTheme="majorHAnsi" w:hAnsiTheme="majorHAnsi"/>
          <w:b/>
          <w:bCs/>
          <w:sz w:val="22"/>
          <w:szCs w:val="22"/>
          <w:u w:val="single"/>
        </w:rPr>
        <w:t>Siūlomos parametrų reikšmės</w:t>
      </w:r>
      <w:r w:rsidRPr="009F4717">
        <w:rPr>
          <w:rFonts w:asciiTheme="majorHAnsi" w:hAnsiTheme="majorHAnsi"/>
          <w:b/>
          <w:bCs/>
          <w:sz w:val="22"/>
          <w:szCs w:val="22"/>
          <w:u w:val="single"/>
        </w:rPr>
        <w:t>)</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 xml:space="preserve">5.11.10.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 xml:space="preserve">ali būti, pavyzdžiui, komercinė (gamybinė) paslaptis ir </w:t>
      </w:r>
      <w:r w:rsidRPr="003033A9">
        <w:rPr>
          <w:rFonts w:asciiTheme="majorHAnsi" w:hAnsiTheme="majorHAnsi"/>
          <w:color w:val="000000"/>
          <w:sz w:val="22"/>
          <w:szCs w:val="22"/>
        </w:rPr>
        <w:lastRenderedPageBreak/>
        <w:t>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lastRenderedPageBreak/>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F57B95" w:rsidRPr="003033A9" w:rsidRDefault="00F57B95" w:rsidP="00F27225">
      <w:pPr>
        <w:pStyle w:val="Body2"/>
        <w:rPr>
          <w:rFonts w:asciiTheme="majorHAnsi" w:hAnsiTheme="majorHAnsi" w:cs="Times New Roman"/>
          <w:b/>
          <w:bCs/>
          <w:color w:val="auto"/>
        </w:rPr>
      </w:pPr>
    </w:p>
    <w:p w:rsidR="00B769F9" w:rsidRDefault="00B50198" w:rsidP="007F78D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B769F9" w:rsidRPr="00DB0B7E" w:rsidRDefault="00B769F9" w:rsidP="009F4717">
      <w:pPr>
        <w:pStyle w:val="Body2"/>
        <w:spacing w:after="0"/>
        <w:ind w:firstLine="1276"/>
        <w:rPr>
          <w:rFonts w:asciiTheme="majorHAnsi" w:hAnsiTheme="majorHAnsi" w:cs="Times New Roman"/>
          <w:color w:val="auto"/>
        </w:rPr>
      </w:pPr>
      <w:r w:rsidRPr="00E65698">
        <w:rPr>
          <w:rFonts w:ascii="Cambria" w:hAnsi="Cambria" w:cs="Times New Roman"/>
          <w:color w:val="auto"/>
        </w:rPr>
        <w:t xml:space="preserve">8.1. </w:t>
      </w:r>
      <w:r w:rsidR="009F4717">
        <w:rPr>
          <w:rFonts w:ascii="Cambria" w:hAnsi="Cambria" w:cs="Times New Roman"/>
          <w:color w:val="auto"/>
          <w:lang w:val="lt-LT"/>
        </w:rPr>
        <w:t>Netaikoma</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A3FFD">
        <w:rPr>
          <w:rFonts w:asciiTheme="majorHAnsi" w:hAnsiTheme="majorHAnsi"/>
          <w:b/>
          <w:iCs/>
          <w:color w:val="548DD4" w:themeColor="text2" w:themeTint="99"/>
          <w:sz w:val="22"/>
          <w:szCs w:val="22"/>
        </w:rPr>
        <w:t>202</w:t>
      </w:r>
      <w:r w:rsidR="009E64D7" w:rsidRPr="003A3FFD">
        <w:rPr>
          <w:rFonts w:asciiTheme="majorHAnsi" w:hAnsiTheme="majorHAnsi"/>
          <w:b/>
          <w:iCs/>
          <w:color w:val="548DD4" w:themeColor="text2" w:themeTint="99"/>
          <w:sz w:val="22"/>
          <w:szCs w:val="22"/>
        </w:rPr>
        <w:t>6</w:t>
      </w:r>
      <w:r w:rsidRPr="003A3FFD">
        <w:rPr>
          <w:rFonts w:asciiTheme="majorHAnsi" w:hAnsiTheme="majorHAnsi"/>
          <w:b/>
          <w:iCs/>
          <w:color w:val="548DD4" w:themeColor="text2" w:themeTint="99"/>
          <w:sz w:val="22"/>
          <w:szCs w:val="22"/>
        </w:rPr>
        <w:t xml:space="preserve"> m</w:t>
      </w:r>
      <w:r w:rsidR="00EA74E3" w:rsidRPr="003A3FFD">
        <w:rPr>
          <w:rFonts w:asciiTheme="majorHAnsi" w:hAnsiTheme="majorHAnsi"/>
          <w:b/>
          <w:iCs/>
          <w:color w:val="548DD4" w:themeColor="text2" w:themeTint="99"/>
          <w:sz w:val="22"/>
          <w:szCs w:val="22"/>
        </w:rPr>
        <w:t xml:space="preserve">. </w:t>
      </w:r>
      <w:r w:rsidR="009E64D7" w:rsidRPr="003A3FFD">
        <w:rPr>
          <w:rFonts w:asciiTheme="majorHAnsi" w:hAnsiTheme="majorHAnsi"/>
          <w:b/>
          <w:iCs/>
          <w:color w:val="548DD4" w:themeColor="text2" w:themeTint="99"/>
          <w:sz w:val="22"/>
          <w:szCs w:val="22"/>
        </w:rPr>
        <w:t xml:space="preserve">sausio </w:t>
      </w:r>
      <w:r w:rsidR="003A3FFD" w:rsidRPr="003A3FFD">
        <w:rPr>
          <w:rFonts w:asciiTheme="majorHAnsi" w:hAnsiTheme="majorHAnsi"/>
          <w:b/>
          <w:iCs/>
          <w:color w:val="548DD4" w:themeColor="text2" w:themeTint="99"/>
          <w:sz w:val="22"/>
          <w:szCs w:val="22"/>
        </w:rPr>
        <w:t>9</w:t>
      </w:r>
      <w:r w:rsidR="00624A79" w:rsidRPr="003A3FFD">
        <w:rPr>
          <w:rFonts w:asciiTheme="majorHAnsi" w:hAnsiTheme="majorHAnsi"/>
          <w:b/>
          <w:iCs/>
          <w:color w:val="548DD4" w:themeColor="text2" w:themeTint="99"/>
          <w:sz w:val="22"/>
          <w:szCs w:val="22"/>
        </w:rPr>
        <w:t xml:space="preserve"> </w:t>
      </w:r>
      <w:r w:rsidR="00EA06FB" w:rsidRPr="003A3FFD">
        <w:rPr>
          <w:rFonts w:asciiTheme="majorHAnsi" w:hAnsiTheme="majorHAnsi"/>
          <w:b/>
          <w:iCs/>
          <w:color w:val="548DD4" w:themeColor="text2" w:themeTint="99"/>
          <w:sz w:val="22"/>
          <w:szCs w:val="22"/>
        </w:rPr>
        <w:t xml:space="preserve">d. </w:t>
      </w:r>
      <w:r w:rsidR="00152656" w:rsidRPr="003A3FFD">
        <w:rPr>
          <w:rFonts w:asciiTheme="majorHAnsi" w:hAnsiTheme="majorHAnsi"/>
          <w:b/>
          <w:iCs/>
          <w:color w:val="548DD4" w:themeColor="text2" w:themeTint="99"/>
          <w:sz w:val="22"/>
          <w:szCs w:val="22"/>
        </w:rPr>
        <w:t>0</w:t>
      </w:r>
      <w:r w:rsidR="003A3FFD" w:rsidRPr="003A3FFD">
        <w:rPr>
          <w:rFonts w:asciiTheme="majorHAnsi" w:hAnsiTheme="majorHAnsi"/>
          <w:b/>
          <w:iCs/>
          <w:color w:val="548DD4" w:themeColor="text2" w:themeTint="99"/>
          <w:sz w:val="22"/>
          <w:szCs w:val="22"/>
        </w:rPr>
        <w:t>8</w:t>
      </w:r>
      <w:r w:rsidR="005823A0" w:rsidRPr="003A3FFD">
        <w:rPr>
          <w:rFonts w:asciiTheme="majorHAnsi" w:hAnsiTheme="majorHAnsi"/>
          <w:b/>
          <w:iCs/>
          <w:color w:val="548DD4" w:themeColor="text2" w:themeTint="99"/>
          <w:sz w:val="22"/>
          <w:szCs w:val="22"/>
        </w:rPr>
        <w:t xml:space="preserve"> val. </w:t>
      </w:r>
      <w:r w:rsidR="007F78D0" w:rsidRPr="003A3FFD">
        <w:rPr>
          <w:rFonts w:asciiTheme="majorHAnsi" w:hAnsiTheme="majorHAnsi"/>
          <w:b/>
          <w:iCs/>
          <w:color w:val="548DD4" w:themeColor="text2" w:themeTint="99"/>
          <w:sz w:val="22"/>
          <w:szCs w:val="22"/>
        </w:rPr>
        <w:t>30</w:t>
      </w:r>
      <w:r w:rsidRPr="003A3FFD">
        <w:rPr>
          <w:rFonts w:asciiTheme="majorHAnsi" w:hAnsiTheme="majorHAnsi"/>
          <w:b/>
          <w:iCs/>
          <w:color w:val="548DD4" w:themeColor="text2" w:themeTint="99"/>
          <w:sz w:val="22"/>
          <w:szCs w:val="22"/>
        </w:rPr>
        <w:t xml:space="preserve"> min</w:t>
      </w:r>
      <w:r w:rsidRPr="003A3FFD">
        <w:rPr>
          <w:rFonts w:asciiTheme="majorHAnsi" w:hAnsiTheme="majorHAnsi"/>
          <w:b/>
          <w:iCs/>
          <w:sz w:val="22"/>
          <w:szCs w:val="22"/>
        </w:rPr>
        <w:t>.</w:t>
      </w:r>
      <w:r w:rsidRPr="003A3FFD">
        <w:rPr>
          <w:rFonts w:asciiTheme="majorHAnsi" w:hAnsiTheme="majorHAnsi"/>
          <w:iCs/>
          <w:sz w:val="22"/>
          <w:szCs w:val="22"/>
        </w:rPr>
        <w:t xml:space="preserve"> </w:t>
      </w:r>
      <w:r w:rsidRPr="003A3FFD">
        <w:rPr>
          <w:rFonts w:asciiTheme="majorHAnsi" w:hAnsiTheme="majorHAnsi"/>
          <w:iCs/>
          <w:sz w:val="22"/>
          <w:szCs w:val="22"/>
          <w:u w:val="single"/>
        </w:rPr>
        <w:t xml:space="preserve">Jei pasiūlymas teikiamas šifruotas, slaptažodis turi būti pateiktas </w:t>
      </w:r>
      <w:r w:rsidR="009B3BF7" w:rsidRPr="003A3FFD">
        <w:rPr>
          <w:rFonts w:asciiTheme="majorHAnsi" w:hAnsiTheme="majorHAnsi"/>
          <w:b/>
          <w:iCs/>
          <w:color w:val="548DD4" w:themeColor="text2" w:themeTint="99"/>
          <w:sz w:val="22"/>
          <w:szCs w:val="22"/>
          <w:u w:val="single"/>
        </w:rPr>
        <w:t>202</w:t>
      </w:r>
      <w:r w:rsidR="009E64D7" w:rsidRPr="003A3FFD">
        <w:rPr>
          <w:rFonts w:asciiTheme="majorHAnsi" w:hAnsiTheme="majorHAnsi"/>
          <w:b/>
          <w:iCs/>
          <w:color w:val="548DD4" w:themeColor="text2" w:themeTint="99"/>
          <w:sz w:val="22"/>
          <w:szCs w:val="22"/>
          <w:u w:val="single"/>
        </w:rPr>
        <w:t>6</w:t>
      </w:r>
      <w:r w:rsidR="005A189F" w:rsidRPr="003A3FFD">
        <w:rPr>
          <w:rFonts w:asciiTheme="majorHAnsi" w:hAnsiTheme="majorHAnsi"/>
          <w:b/>
          <w:iCs/>
          <w:color w:val="548DD4" w:themeColor="text2" w:themeTint="99"/>
          <w:sz w:val="22"/>
          <w:szCs w:val="22"/>
          <w:u w:val="single"/>
        </w:rPr>
        <w:t xml:space="preserve"> m.</w:t>
      </w:r>
      <w:r w:rsidR="001E05FB" w:rsidRPr="003A3FFD">
        <w:rPr>
          <w:rFonts w:asciiTheme="majorHAnsi" w:hAnsiTheme="majorHAnsi"/>
          <w:b/>
          <w:iCs/>
          <w:color w:val="548DD4" w:themeColor="text2" w:themeTint="99"/>
          <w:sz w:val="22"/>
          <w:szCs w:val="22"/>
          <w:u w:val="single"/>
        </w:rPr>
        <w:t xml:space="preserve"> </w:t>
      </w:r>
      <w:r w:rsidR="009E64D7" w:rsidRPr="003A3FFD">
        <w:rPr>
          <w:rFonts w:asciiTheme="majorHAnsi" w:hAnsiTheme="majorHAnsi"/>
          <w:b/>
          <w:iCs/>
          <w:color w:val="548DD4" w:themeColor="text2" w:themeTint="99"/>
          <w:sz w:val="22"/>
          <w:szCs w:val="22"/>
          <w:u w:val="single"/>
        </w:rPr>
        <w:t xml:space="preserve">sausio </w:t>
      </w:r>
      <w:r w:rsidR="003A3FFD" w:rsidRPr="003A3FFD">
        <w:rPr>
          <w:rFonts w:asciiTheme="majorHAnsi" w:hAnsiTheme="majorHAnsi"/>
          <w:b/>
          <w:iCs/>
          <w:color w:val="548DD4" w:themeColor="text2" w:themeTint="99"/>
          <w:sz w:val="22"/>
          <w:szCs w:val="22"/>
          <w:u w:val="single"/>
        </w:rPr>
        <w:t>9</w:t>
      </w:r>
      <w:r w:rsidR="00624A79" w:rsidRPr="003A3FFD">
        <w:rPr>
          <w:rFonts w:asciiTheme="majorHAnsi" w:hAnsiTheme="majorHAnsi"/>
          <w:b/>
          <w:iCs/>
          <w:color w:val="548DD4" w:themeColor="text2" w:themeTint="99"/>
          <w:sz w:val="22"/>
          <w:szCs w:val="22"/>
          <w:u w:val="single"/>
        </w:rPr>
        <w:t xml:space="preserve"> </w:t>
      </w:r>
      <w:r w:rsidRPr="003A3FFD">
        <w:rPr>
          <w:rFonts w:asciiTheme="majorHAnsi" w:hAnsiTheme="majorHAnsi"/>
          <w:b/>
          <w:iCs/>
          <w:color w:val="548DD4" w:themeColor="text2" w:themeTint="99"/>
          <w:sz w:val="22"/>
          <w:szCs w:val="22"/>
          <w:u w:val="single"/>
        </w:rPr>
        <w:t>d.</w:t>
      </w:r>
      <w:r w:rsidRPr="003A3FFD">
        <w:rPr>
          <w:rFonts w:asciiTheme="majorHAnsi" w:hAnsiTheme="majorHAnsi"/>
          <w:iCs/>
          <w:color w:val="548DD4" w:themeColor="text2" w:themeTint="99"/>
          <w:sz w:val="22"/>
          <w:szCs w:val="22"/>
          <w:u w:val="single"/>
        </w:rPr>
        <w:t xml:space="preserve"> intervale </w:t>
      </w:r>
      <w:r w:rsidR="00152656" w:rsidRPr="003A3FFD">
        <w:rPr>
          <w:rFonts w:asciiTheme="majorHAnsi" w:hAnsiTheme="majorHAnsi"/>
          <w:b/>
          <w:iCs/>
          <w:color w:val="548DD4" w:themeColor="text2" w:themeTint="99"/>
          <w:sz w:val="22"/>
          <w:szCs w:val="22"/>
          <w:u w:val="single"/>
        </w:rPr>
        <w:t>0</w:t>
      </w:r>
      <w:r w:rsidR="003A3FFD" w:rsidRPr="003A3FFD">
        <w:rPr>
          <w:rFonts w:asciiTheme="majorHAnsi" w:hAnsiTheme="majorHAnsi"/>
          <w:b/>
          <w:iCs/>
          <w:color w:val="548DD4" w:themeColor="text2" w:themeTint="99"/>
          <w:sz w:val="22"/>
          <w:szCs w:val="22"/>
          <w:u w:val="single"/>
        </w:rPr>
        <w:t>8</w:t>
      </w:r>
      <w:r w:rsidR="005823A0" w:rsidRPr="003A3FFD">
        <w:rPr>
          <w:rFonts w:asciiTheme="majorHAnsi" w:hAnsiTheme="majorHAnsi"/>
          <w:b/>
          <w:iCs/>
          <w:color w:val="548DD4" w:themeColor="text2" w:themeTint="99"/>
          <w:sz w:val="22"/>
          <w:szCs w:val="22"/>
          <w:u w:val="single"/>
        </w:rPr>
        <w:t>.</w:t>
      </w:r>
      <w:r w:rsidR="007F78D0" w:rsidRPr="003A3FFD">
        <w:rPr>
          <w:rFonts w:asciiTheme="majorHAnsi" w:hAnsiTheme="majorHAnsi"/>
          <w:b/>
          <w:iCs/>
          <w:color w:val="548DD4" w:themeColor="text2" w:themeTint="99"/>
          <w:sz w:val="22"/>
          <w:szCs w:val="22"/>
          <w:u w:val="single"/>
        </w:rPr>
        <w:t>00</w:t>
      </w:r>
      <w:r w:rsidR="00652BA3" w:rsidRPr="003A3FFD">
        <w:rPr>
          <w:rFonts w:asciiTheme="majorHAnsi" w:hAnsiTheme="majorHAnsi"/>
          <w:b/>
          <w:iCs/>
          <w:color w:val="548DD4" w:themeColor="text2" w:themeTint="99"/>
          <w:sz w:val="22"/>
          <w:szCs w:val="22"/>
          <w:u w:val="single"/>
        </w:rPr>
        <w:t xml:space="preserve"> –</w:t>
      </w:r>
      <w:r w:rsidR="009B15AA" w:rsidRPr="003A3FFD">
        <w:rPr>
          <w:rFonts w:asciiTheme="majorHAnsi" w:hAnsiTheme="majorHAnsi"/>
          <w:b/>
          <w:iCs/>
          <w:color w:val="548DD4" w:themeColor="text2" w:themeTint="99"/>
          <w:sz w:val="22"/>
          <w:szCs w:val="22"/>
          <w:u w:val="single"/>
        </w:rPr>
        <w:t xml:space="preserve"> </w:t>
      </w:r>
      <w:r w:rsidR="00152656" w:rsidRPr="003A3FFD">
        <w:rPr>
          <w:rFonts w:asciiTheme="majorHAnsi" w:hAnsiTheme="majorHAnsi"/>
          <w:b/>
          <w:iCs/>
          <w:color w:val="548DD4" w:themeColor="text2" w:themeTint="99"/>
          <w:sz w:val="22"/>
          <w:szCs w:val="22"/>
          <w:u w:val="single"/>
        </w:rPr>
        <w:t>0</w:t>
      </w:r>
      <w:r w:rsidR="003A3FFD" w:rsidRPr="003A3FFD">
        <w:rPr>
          <w:rFonts w:asciiTheme="majorHAnsi" w:hAnsiTheme="majorHAnsi"/>
          <w:b/>
          <w:iCs/>
          <w:color w:val="548DD4" w:themeColor="text2" w:themeTint="99"/>
          <w:sz w:val="22"/>
          <w:szCs w:val="22"/>
          <w:u w:val="single"/>
        </w:rPr>
        <w:t>8</w:t>
      </w:r>
      <w:r w:rsidR="005823A0" w:rsidRPr="003A3FFD">
        <w:rPr>
          <w:rFonts w:asciiTheme="majorHAnsi" w:hAnsiTheme="majorHAnsi"/>
          <w:b/>
          <w:iCs/>
          <w:color w:val="548DD4" w:themeColor="text2" w:themeTint="99"/>
          <w:sz w:val="22"/>
          <w:szCs w:val="22"/>
          <w:u w:val="single"/>
        </w:rPr>
        <w:t>.</w:t>
      </w:r>
      <w:r w:rsidR="007F78D0" w:rsidRPr="003A3FFD">
        <w:rPr>
          <w:rFonts w:asciiTheme="majorHAnsi" w:hAnsiTheme="majorHAnsi"/>
          <w:b/>
          <w:iCs/>
          <w:color w:val="548DD4" w:themeColor="text2" w:themeTint="99"/>
          <w:sz w:val="22"/>
          <w:szCs w:val="22"/>
          <w:u w:val="single"/>
        </w:rPr>
        <w:t>30</w:t>
      </w:r>
      <w:r w:rsidRPr="003A3FFD">
        <w:rPr>
          <w:rFonts w:asciiTheme="majorHAnsi" w:hAnsiTheme="majorHAnsi"/>
          <w:b/>
          <w:iCs/>
          <w:color w:val="548DD4" w:themeColor="text2" w:themeTint="99"/>
          <w:sz w:val="22"/>
          <w:szCs w:val="22"/>
          <w:u w:val="single"/>
        </w:rPr>
        <w:t xml:space="preserve"> val.</w:t>
      </w:r>
      <w:r w:rsidRPr="003A3FFD">
        <w:rPr>
          <w:rFonts w:asciiTheme="majorHAnsi" w:hAnsiTheme="majorHAnsi"/>
          <w:b/>
          <w:iCs/>
          <w:sz w:val="22"/>
          <w:szCs w:val="22"/>
          <w:u w:val="single"/>
        </w:rPr>
        <w:t xml:space="preserve"> </w:t>
      </w:r>
      <w:r w:rsidRPr="003A3FFD">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lastRenderedPageBreak/>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4"/>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Default="00DD0045" w:rsidP="00557244">
      <w:pPr>
        <w:pStyle w:val="Body2"/>
        <w:spacing w:after="0"/>
        <w:rPr>
          <w:rFonts w:asciiTheme="majorHAnsi" w:hAnsiTheme="majorHAnsi" w:cs="Times New Roman"/>
        </w:rPr>
      </w:pPr>
    </w:p>
    <w:p w:rsidR="003A3FFD" w:rsidRDefault="003A3FFD" w:rsidP="00557244">
      <w:pPr>
        <w:pStyle w:val="Body2"/>
        <w:spacing w:after="0"/>
        <w:rPr>
          <w:rFonts w:asciiTheme="majorHAnsi" w:hAnsiTheme="majorHAnsi" w:cs="Times New Roman"/>
        </w:rPr>
      </w:pPr>
    </w:p>
    <w:p w:rsidR="003A3FFD" w:rsidRPr="003033A9" w:rsidRDefault="003A3FFD"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bookmarkStart w:id="5" w:name="_GoBack"/>
      <w:bookmarkEnd w:id="5"/>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445A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E416E">
        <w:rPr>
          <w:rFonts w:asciiTheme="majorHAnsi" w:hAnsiTheme="majorHAnsi"/>
          <w:b/>
          <w:bCs/>
          <w:sz w:val="22"/>
          <w:szCs w:val="22"/>
          <w:lang w:val="lt-LT"/>
        </w:rPr>
        <w:t>NEURONAVIGACINĖS SISTEMOS SUDERINAMOS SU ULTRAGARSINIU APARATU</w:t>
      </w:r>
      <w:r w:rsidRPr="00C445A7">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C27" w:rsidRDefault="00455C27" w:rsidP="00922417">
      <w:r>
        <w:separator/>
      </w:r>
    </w:p>
  </w:endnote>
  <w:endnote w:type="continuationSeparator" w:id="0">
    <w:p w:rsidR="00455C27" w:rsidRDefault="00455C2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C27" w:rsidRDefault="00455C27" w:rsidP="00922417">
      <w:r>
        <w:separator/>
      </w:r>
    </w:p>
  </w:footnote>
  <w:footnote w:type="continuationSeparator" w:id="0">
    <w:p w:rsidR="00455C27" w:rsidRDefault="00455C27" w:rsidP="00922417">
      <w:r>
        <w:continuationSeparator/>
      </w:r>
    </w:p>
  </w:footnote>
  <w:footnote w:id="1">
    <w:p w:rsidR="009E64D7" w:rsidRPr="00C54A7B" w:rsidRDefault="009E64D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4D7" w:rsidRPr="00C54A7B" w:rsidRDefault="009E64D7" w:rsidP="00365983">
      <w:pPr>
        <w:pStyle w:val="Puslapioinaostekstas"/>
        <w:numPr>
          <w:ilvl w:val="0"/>
          <w:numId w:val="34"/>
        </w:numPr>
        <w:rPr>
          <w:rFonts w:eastAsia="Yu Mincho"/>
          <w:i/>
          <w:iCs/>
        </w:rPr>
      </w:pPr>
      <w:r w:rsidRPr="00C54A7B">
        <w:rPr>
          <w:rFonts w:eastAsia="Yu Mincho"/>
          <w:i/>
          <w:iCs/>
        </w:rPr>
        <w:t xml:space="preserve">priesaikos deklaracija; </w:t>
      </w:r>
    </w:p>
    <w:p w:rsidR="009E64D7" w:rsidRDefault="009E64D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4D7" w:rsidRPr="00551FCA" w:rsidRDefault="009E64D7"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3FF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55C27"/>
    <w:rsid w:val="00460EA2"/>
    <w:rsid w:val="00464C20"/>
    <w:rsid w:val="00470DEE"/>
    <w:rsid w:val="0047544F"/>
    <w:rsid w:val="00475601"/>
    <w:rsid w:val="00485E3A"/>
    <w:rsid w:val="00492763"/>
    <w:rsid w:val="00494DDA"/>
    <w:rsid w:val="004958C2"/>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4E69"/>
    <w:rsid w:val="0081620E"/>
    <w:rsid w:val="00820B38"/>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0990"/>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530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D7"/>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569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A2A"/>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416E"/>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6D1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8AAD2-81B9-4D1E-8029-D4F1092B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22</Pages>
  <Words>45355</Words>
  <Characters>25853</Characters>
  <Application>Microsoft Office Word</Application>
  <DocSecurity>0</DocSecurity>
  <Lines>215</Lines>
  <Paragraphs>142</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201</cp:revision>
  <cp:lastPrinted>2024-03-22T12:28:00Z</cp:lastPrinted>
  <dcterms:created xsi:type="dcterms:W3CDTF">2023-11-14T08:29:00Z</dcterms:created>
  <dcterms:modified xsi:type="dcterms:W3CDTF">2025-12-02T20:04:00Z</dcterms:modified>
</cp:coreProperties>
</file>