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05D4932B" w:rsidR="00035574" w:rsidRPr="000D525C"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 xml:space="preserve">SUTARTIS </w:t>
      </w:r>
      <w:r w:rsidR="00035574" w:rsidRPr="000D525C">
        <w:rPr>
          <w:rFonts w:eastAsia="Times New Roman" w:hAnsi="Times New Roman" w:cs="Times New Roman"/>
          <w:b/>
          <w:color w:val="auto"/>
          <w:bdr w:val="none" w:sz="0" w:space="0" w:color="auto"/>
          <w:lang w:val="lt-LT"/>
        </w:rPr>
        <w:t xml:space="preserve">Nr. </w:t>
      </w:r>
      <w:r w:rsidR="004153D1" w:rsidRPr="000D525C">
        <w:rPr>
          <w:rFonts w:eastAsia="Times New Roman" w:hAnsi="Times New Roman" w:cs="Times New Roman"/>
          <w:b/>
          <w:color w:val="auto"/>
          <w:bdr w:val="none" w:sz="0" w:space="0" w:color="auto"/>
          <w:lang w:val="lt-LT"/>
        </w:rPr>
        <w:t>______</w:t>
      </w:r>
      <w:r w:rsidR="00116812" w:rsidRPr="000D525C">
        <w:rPr>
          <w:rFonts w:eastAsia="Times New Roman" w:hAnsi="Times New Roman" w:cs="Times New Roman"/>
          <w:b/>
          <w:color w:val="auto"/>
          <w:bdr w:val="none" w:sz="0" w:space="0" w:color="auto"/>
          <w:lang w:val="lt-LT"/>
        </w:rPr>
        <w:t xml:space="preserve"> </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67C5F7DF"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/V</w:t>
            </w:r>
            <w:r w:rsidR="00A6068B">
              <w:rPr>
                <w:rFonts w:eastAsia="Times New Roman" w:hAnsi="Times New Roman" w:cs="Times New Roman"/>
                <w:i/>
                <w:color w:val="auto"/>
                <w:bdr w:val="none" w:sz="0" w:space="0" w:color="auto"/>
                <w:lang w:val="lt-LT" w:eastAsia="lt-LT"/>
              </w:rPr>
              <w:t xml:space="preserve">ilniaus miesto savivaldybės visuomenės sveikatos </w:t>
            </w:r>
            <w:r w:rsidR="005D0C4C">
              <w:rPr>
                <w:rFonts w:eastAsia="Times New Roman" w:hAnsi="Times New Roman" w:cs="Times New Roman"/>
                <w:i/>
                <w:color w:val="auto"/>
                <w:bdr w:val="none" w:sz="0" w:space="0" w:color="auto"/>
                <w:lang w:val="lt-LT" w:eastAsia="lt-LT"/>
              </w:rPr>
              <w:t>biuras</w:t>
            </w:r>
            <w:r>
              <w:rPr>
                <w:rFonts w:eastAsia="Times New Roman" w:hAnsi="Times New Roman" w:cs="Times New Roman"/>
                <w:i/>
                <w:color w:val="auto"/>
                <w:bdr w:val="none" w:sz="0" w:space="0" w:color="auto"/>
                <w:lang w:val="lt-LT" w:eastAsia="lt-LT"/>
              </w:rPr>
              <w:t>/</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5577162A"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/Paslaugų teikėjas/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4AA58564">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3A74D322" w:rsidR="00A46BA3" w:rsidRDefault="00A6068B"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A6068B">
              <w:rPr>
                <w:rFonts w:eastAsia="Times New Roman" w:hAnsi="Times New Roman" w:cs="Times New Roman"/>
                <w:i/>
                <w:color w:val="auto"/>
                <w:bdr w:val="none" w:sz="0" w:space="0" w:color="auto"/>
                <w:lang w:val="lt-LT"/>
              </w:rPr>
              <w:t xml:space="preserve">6-11 m. amžiaus vaikų emocinio raštingumo lektorių </w:t>
            </w:r>
            <w:r w:rsidR="00B6647F" w:rsidRPr="00B6647F">
              <w:rPr>
                <w:rFonts w:eastAsia="Times New Roman" w:hAnsi="Times New Roman" w:cs="Times New Roman"/>
                <w:i/>
                <w:color w:val="auto"/>
                <w:bdr w:val="none" w:sz="0" w:space="0" w:color="auto"/>
                <w:lang w:val="lt-LT"/>
              </w:rPr>
              <w:t xml:space="preserve">paslaugų </w:t>
            </w:r>
            <w:r w:rsidR="00B6647F">
              <w:rPr>
                <w:rFonts w:eastAsia="Times New Roman" w:hAnsi="Times New Roman" w:cs="Times New Roman"/>
                <w:i/>
                <w:color w:val="auto"/>
                <w:bdr w:val="none" w:sz="0" w:space="0" w:color="auto"/>
                <w:lang w:val="lt-LT"/>
              </w:rPr>
              <w:t>teikimo sutarties Nr. ______</w:t>
            </w:r>
            <w:r w:rsidR="00B6647F"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28E0F67" w14:textId="77777777" w:rsidTr="4AA58564">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2CD5A250" w14:textId="77777777" w:rsidTr="4AA58564">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Tvarkytojas gauna registruotų į užsiėmimus asmenų duomenis (vardas pavardė, </w:t>
            </w:r>
            <w:proofErr w:type="spellStart"/>
            <w:r>
              <w:rPr>
                <w:rFonts w:eastAsia="Times New Roman" w:hAnsi="Times New Roman" w:cs="Times New Roman"/>
                <w:i/>
                <w:color w:val="auto"/>
                <w:bdr w:val="none" w:sz="0" w:space="0" w:color="auto"/>
                <w:lang w:val="lt-LT"/>
              </w:rPr>
              <w:t>el.p</w:t>
            </w:r>
            <w:proofErr w:type="spellEnd"/>
            <w:r>
              <w:rPr>
                <w:rFonts w:eastAsia="Times New Roman" w:hAnsi="Times New Roman" w:cs="Times New Roman"/>
                <w:i/>
                <w:color w:val="auto"/>
                <w:bdr w:val="none" w:sz="0" w:space="0" w:color="auto"/>
                <w:lang w:val="lt-LT"/>
              </w:rPr>
              <w:t>. adresas, ________________________)</w:t>
            </w:r>
          </w:p>
          <w:p w14:paraId="292AE686" w14:textId="21B223BF" w:rsidR="00B6647F" w:rsidRDefault="00B6647F" w:rsidP="4AA5856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iCs/>
                <w:color w:val="auto"/>
                <w:bdr w:val="none" w:sz="0" w:space="0" w:color="auto"/>
                <w:lang w:val="lt-LT"/>
              </w:rPr>
            </w:pPr>
            <w:r w:rsidRPr="4AA58564">
              <w:rPr>
                <w:rFonts w:eastAsia="Times New Roman" w:hAnsi="Times New Roman" w:cs="Times New Roman"/>
                <w:i/>
                <w:iCs/>
                <w:color w:val="auto"/>
                <w:bdr w:val="none" w:sz="0" w:space="0" w:color="auto"/>
                <w:lang w:val="lt-LT"/>
              </w:rPr>
              <w:t>Tvarkytojas, vykdydamas Paslaugų teikimo sutart</w:t>
            </w:r>
            <w:r w:rsidR="00D15FE2">
              <w:rPr>
                <w:rFonts w:eastAsia="Times New Roman" w:hAnsi="Times New Roman" w:cs="Times New Roman"/>
                <w:i/>
                <w:iCs/>
                <w:color w:val="auto"/>
                <w:bdr w:val="none" w:sz="0" w:space="0" w:color="auto"/>
                <w:lang w:val="lt-LT"/>
              </w:rPr>
              <w:t>į</w:t>
            </w:r>
            <w:r w:rsidRPr="4AA58564">
              <w:rPr>
                <w:rFonts w:eastAsia="Times New Roman" w:hAnsi="Times New Roman" w:cs="Times New Roman"/>
                <w:i/>
                <w:iCs/>
                <w:color w:val="auto"/>
                <w:bdr w:val="none" w:sz="0" w:space="0" w:color="auto"/>
                <w:lang w:val="lt-LT"/>
              </w:rPr>
              <w:t xml:space="preserve">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B07423" w14:paraId="22AD4AEB" w14:textId="77777777" w:rsidTr="4AA58564">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t xml:space="preserve">Informacija apie priklausymą </w:t>
            </w:r>
            <w:r w:rsidRPr="00B6647F">
              <w:rPr>
                <w:rFonts w:eastAsia="Times New Roman" w:hAnsi="Times New Roman" w:cs="Times New Roman"/>
                <w:i/>
                <w:color w:val="auto"/>
                <w:bdr w:val="none" w:sz="0" w:space="0" w:color="auto"/>
                <w:lang w:val="lt-LT"/>
              </w:rPr>
              <w:t>socialinėms, kultūrinėms, tautinėms ir religinėms 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B07423" w14:paraId="38C62168" w14:textId="77777777" w:rsidTr="4AA58564">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7CD2A9B9" w14:textId="48242016" w:rsidR="009F32F3" w:rsidRPr="009D2CF1" w:rsidRDefault="006753A9" w:rsidP="006753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Stovyklų</w:t>
            </w:r>
            <w:r w:rsidR="00B6647F">
              <w:rPr>
                <w:rFonts w:eastAsia="Times New Roman" w:hAnsi="Times New Roman" w:cs="Times New Roman"/>
                <w:i/>
                <w:color w:val="auto"/>
                <w:bdr w:val="none" w:sz="0" w:space="0" w:color="auto"/>
                <w:lang w:val="lt-LT"/>
              </w:rPr>
              <w:t xml:space="preserve"> dalyvi</w:t>
            </w:r>
            <w:r>
              <w:rPr>
                <w:rFonts w:eastAsia="Times New Roman" w:hAnsi="Times New Roman" w:cs="Times New Roman"/>
                <w:i/>
                <w:color w:val="auto"/>
                <w:bdr w:val="none" w:sz="0" w:space="0" w:color="auto"/>
                <w:lang w:val="lt-LT"/>
              </w:rPr>
              <w:t>ai</w:t>
            </w: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B07423"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 xml:space="preserve">asmens duomenų saugumą, Valdytojas apie tai informuoja </w:t>
      </w:r>
      <w:r w:rsidRPr="000D525C">
        <w:rPr>
          <w:rFonts w:eastAsia="Times New Roman" w:hAnsi="Times New Roman" w:cs="Times New Roman"/>
          <w:color w:val="auto"/>
          <w:bdr w:val="none" w:sz="0" w:space="0" w:color="auto"/>
          <w:lang w:val="lt-LT" w:eastAsia="lt-LT"/>
        </w:rPr>
        <w:lastRenderedPageBreak/>
        <w:t>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lastRenderedPageBreak/>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lastRenderedPageBreak/>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B07423"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11"/>
      <w:footerReference w:type="default" r:id="rId12"/>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9C2C" w14:textId="77777777" w:rsidR="00AE6624" w:rsidRDefault="00AE6624">
      <w:r>
        <w:separator/>
      </w:r>
    </w:p>
  </w:endnote>
  <w:endnote w:type="continuationSeparator" w:id="0">
    <w:p w14:paraId="331109E1" w14:textId="77777777" w:rsidR="00AE6624" w:rsidRDefault="00AE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337D" w14:textId="77777777" w:rsidR="00AE6624" w:rsidRDefault="00AE6624">
      <w:r>
        <w:separator/>
      </w:r>
    </w:p>
  </w:footnote>
  <w:footnote w:type="continuationSeparator" w:id="0">
    <w:p w14:paraId="5F55DD75" w14:textId="77777777" w:rsidR="00AE6624" w:rsidRDefault="00AE6624">
      <w:r>
        <w:continuationSeparator/>
      </w:r>
    </w:p>
  </w:footnote>
  <w:footnote w:type="continuationNotice" w:id="1">
    <w:p w14:paraId="19B61B78" w14:textId="77777777" w:rsidR="00AE6624" w:rsidRDefault="00AE6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102DC"/>
    <w:rsid w:val="00013560"/>
    <w:rsid w:val="00017B36"/>
    <w:rsid w:val="00020B23"/>
    <w:rsid w:val="0002161B"/>
    <w:rsid w:val="00023A03"/>
    <w:rsid w:val="00023F3D"/>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5397"/>
    <w:rsid w:val="000C3662"/>
    <w:rsid w:val="000C37D8"/>
    <w:rsid w:val="000C764C"/>
    <w:rsid w:val="000D065D"/>
    <w:rsid w:val="000D0E39"/>
    <w:rsid w:val="000D525C"/>
    <w:rsid w:val="000D7F4C"/>
    <w:rsid w:val="000E3A37"/>
    <w:rsid w:val="000E58A5"/>
    <w:rsid w:val="000E5D32"/>
    <w:rsid w:val="000F79D5"/>
    <w:rsid w:val="001046B7"/>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4603"/>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F1C"/>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6E5D"/>
    <w:rsid w:val="00430983"/>
    <w:rsid w:val="004349C8"/>
    <w:rsid w:val="0043759D"/>
    <w:rsid w:val="00437A84"/>
    <w:rsid w:val="00440538"/>
    <w:rsid w:val="00444DB4"/>
    <w:rsid w:val="00445814"/>
    <w:rsid w:val="00457C88"/>
    <w:rsid w:val="004622CF"/>
    <w:rsid w:val="00465234"/>
    <w:rsid w:val="00465D6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B0C58"/>
    <w:rsid w:val="005B184A"/>
    <w:rsid w:val="005C2BE0"/>
    <w:rsid w:val="005C6305"/>
    <w:rsid w:val="005C739E"/>
    <w:rsid w:val="005C740E"/>
    <w:rsid w:val="005D0C4C"/>
    <w:rsid w:val="005D204F"/>
    <w:rsid w:val="005D27C6"/>
    <w:rsid w:val="005D3CEE"/>
    <w:rsid w:val="005D6E87"/>
    <w:rsid w:val="005D6EB2"/>
    <w:rsid w:val="005D7B59"/>
    <w:rsid w:val="005D7D9C"/>
    <w:rsid w:val="005E3383"/>
    <w:rsid w:val="005F295D"/>
    <w:rsid w:val="005F5157"/>
    <w:rsid w:val="005F76CB"/>
    <w:rsid w:val="0060380A"/>
    <w:rsid w:val="006120AB"/>
    <w:rsid w:val="00614720"/>
    <w:rsid w:val="00615449"/>
    <w:rsid w:val="00616EF8"/>
    <w:rsid w:val="00623EB1"/>
    <w:rsid w:val="00625EAC"/>
    <w:rsid w:val="006312CA"/>
    <w:rsid w:val="006413B1"/>
    <w:rsid w:val="0064441B"/>
    <w:rsid w:val="00651336"/>
    <w:rsid w:val="00652753"/>
    <w:rsid w:val="0066027D"/>
    <w:rsid w:val="00661195"/>
    <w:rsid w:val="00663119"/>
    <w:rsid w:val="006642CB"/>
    <w:rsid w:val="00665247"/>
    <w:rsid w:val="006720E9"/>
    <w:rsid w:val="00672D2E"/>
    <w:rsid w:val="00673ABF"/>
    <w:rsid w:val="0067403B"/>
    <w:rsid w:val="006753A9"/>
    <w:rsid w:val="0068257B"/>
    <w:rsid w:val="006857F9"/>
    <w:rsid w:val="00690146"/>
    <w:rsid w:val="00690787"/>
    <w:rsid w:val="00691094"/>
    <w:rsid w:val="0069786F"/>
    <w:rsid w:val="006A0062"/>
    <w:rsid w:val="006B07C7"/>
    <w:rsid w:val="006B10C5"/>
    <w:rsid w:val="006B793F"/>
    <w:rsid w:val="006C09C6"/>
    <w:rsid w:val="006C3F05"/>
    <w:rsid w:val="006C64D7"/>
    <w:rsid w:val="006D3B79"/>
    <w:rsid w:val="006D5FA4"/>
    <w:rsid w:val="006D7506"/>
    <w:rsid w:val="006E07A2"/>
    <w:rsid w:val="006E446D"/>
    <w:rsid w:val="006E51D4"/>
    <w:rsid w:val="006F3A98"/>
    <w:rsid w:val="00700BD2"/>
    <w:rsid w:val="00703A93"/>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E76F8"/>
    <w:rsid w:val="008F12EC"/>
    <w:rsid w:val="008F242A"/>
    <w:rsid w:val="008F29EF"/>
    <w:rsid w:val="008F3941"/>
    <w:rsid w:val="008F4ED3"/>
    <w:rsid w:val="008F6204"/>
    <w:rsid w:val="008F79BB"/>
    <w:rsid w:val="009045BF"/>
    <w:rsid w:val="0090603E"/>
    <w:rsid w:val="00906168"/>
    <w:rsid w:val="0091319E"/>
    <w:rsid w:val="0091533D"/>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6997"/>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68B"/>
    <w:rsid w:val="00A608AC"/>
    <w:rsid w:val="00A612EB"/>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D46EE"/>
    <w:rsid w:val="00AD768D"/>
    <w:rsid w:val="00AE0E5A"/>
    <w:rsid w:val="00AE2015"/>
    <w:rsid w:val="00AE49E8"/>
    <w:rsid w:val="00AE4C3A"/>
    <w:rsid w:val="00AE5D26"/>
    <w:rsid w:val="00AE6624"/>
    <w:rsid w:val="00AF2A31"/>
    <w:rsid w:val="00AF70BA"/>
    <w:rsid w:val="00AF7CF1"/>
    <w:rsid w:val="00B07423"/>
    <w:rsid w:val="00B113E0"/>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6570"/>
    <w:rsid w:val="00B7704D"/>
    <w:rsid w:val="00B825D2"/>
    <w:rsid w:val="00B91AFA"/>
    <w:rsid w:val="00B94CBC"/>
    <w:rsid w:val="00BA1BA2"/>
    <w:rsid w:val="00BA2DA3"/>
    <w:rsid w:val="00BA42FA"/>
    <w:rsid w:val="00BA4B1F"/>
    <w:rsid w:val="00BA75D1"/>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6EA2"/>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DC2"/>
    <w:rsid w:val="00CF1455"/>
    <w:rsid w:val="00CF3347"/>
    <w:rsid w:val="00CF61D9"/>
    <w:rsid w:val="00D02536"/>
    <w:rsid w:val="00D03F86"/>
    <w:rsid w:val="00D05039"/>
    <w:rsid w:val="00D0600E"/>
    <w:rsid w:val="00D15DDB"/>
    <w:rsid w:val="00D15DE2"/>
    <w:rsid w:val="00D15F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5A45"/>
    <w:rsid w:val="00D966E9"/>
    <w:rsid w:val="00DA10C6"/>
    <w:rsid w:val="00DA28CB"/>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1E82"/>
    <w:rsid w:val="00EF1F00"/>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3B3F"/>
    <w:rsid w:val="00FE5018"/>
    <w:rsid w:val="00FE5FFE"/>
    <w:rsid w:val="00FE64BE"/>
    <w:rsid w:val="00FF2E1A"/>
    <w:rsid w:val="00FF6DBC"/>
    <w:rsid w:val="4AA58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B2295-19A9-404C-8C83-B1706EAF0E62}">
  <ds:schemaRefs>
    <ds:schemaRef ds:uri="http://schemas.microsoft.com/sharepoint/v3/contenttype/forms"/>
  </ds:schemaRefs>
</ds:datastoreItem>
</file>

<file path=customXml/itemProps2.xml><?xml version="1.0" encoding="utf-8"?>
<ds:datastoreItem xmlns:ds="http://schemas.openxmlformats.org/officeDocument/2006/customXml" ds:itemID="{A55A9795-4FD8-48F3-9658-D54FC332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customXml/itemProps4.xml><?xml version="1.0" encoding="utf-8"?>
<ds:datastoreItem xmlns:ds="http://schemas.openxmlformats.org/officeDocument/2006/customXml" ds:itemID="{7037C695-5CAB-45D5-B739-0EB825B7A0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11699</Characters>
  <Application>Microsoft Office Word</Application>
  <DocSecurity>0</DocSecurity>
  <Lines>232</Lines>
  <Paragraphs>87</Paragraphs>
  <ScaleCrop>false</ScaleCrop>
  <Company>AB bankas FINASTA</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Jurgita Mikalauskienė</cp:lastModifiedBy>
  <cp:revision>4</cp:revision>
  <cp:lastPrinted>2018-03-13T09:46:00Z</cp:lastPrinted>
  <dcterms:created xsi:type="dcterms:W3CDTF">2025-12-01T16:11:00Z</dcterms:created>
  <dcterms:modified xsi:type="dcterms:W3CDTF">2025-12-01T16:11:00Z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0x0101006DF789B1DC3B7746A389DE888DA2CC3E</vt:lpwstr>
  </property>
</Properties>
</file>