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3FA33" w14:textId="638BFF46" w:rsidR="00FC3BDC" w:rsidRPr="00C01F51" w:rsidRDefault="00416283" w:rsidP="00536088">
      <w:pPr>
        <w:suppressAutoHyphens w:val="0"/>
        <w:jc w:val="right"/>
        <w:rPr>
          <w:rFonts w:eastAsiaTheme="minorHAnsi"/>
          <w:lang w:eastAsia="en-US"/>
        </w:rPr>
      </w:pPr>
      <w:r w:rsidRPr="00164A8E">
        <w:rPr>
          <w:rFonts w:eastAsiaTheme="minorHAnsi"/>
          <w:lang w:eastAsia="en-US"/>
        </w:rPr>
        <w:t>Pirkimo</w:t>
      </w:r>
      <w:r w:rsidR="00FC3BDC" w:rsidRPr="00164A8E">
        <w:rPr>
          <w:rFonts w:eastAsiaTheme="minorHAnsi"/>
          <w:lang w:eastAsia="en-US"/>
        </w:rPr>
        <w:t xml:space="preserve"> sąlygų</w:t>
      </w:r>
      <w:r w:rsidR="009B55B3" w:rsidRPr="00164A8E">
        <w:rPr>
          <w:rFonts w:eastAsiaTheme="minorHAnsi"/>
          <w:lang w:eastAsia="en-US"/>
        </w:rPr>
        <w:t xml:space="preserve"> 2 priedas</w:t>
      </w:r>
    </w:p>
    <w:p w14:paraId="123C067D" w14:textId="233739EE" w:rsidR="00F0562B" w:rsidRDefault="00644BCD" w:rsidP="00F0562B">
      <w:pPr>
        <w:tabs>
          <w:tab w:val="center" w:pos="7568"/>
          <w:tab w:val="left" w:pos="10800"/>
        </w:tabs>
        <w:autoSpaceDE w:val="0"/>
        <w:spacing w:after="120"/>
        <w:jc w:val="center"/>
        <w:outlineLvl w:val="0"/>
        <w:rPr>
          <w:b/>
          <w:bCs/>
        </w:rPr>
      </w:pPr>
      <w:r w:rsidRPr="00973777">
        <w:rPr>
          <w:b/>
          <w:bCs/>
        </w:rPr>
        <w:t>TECHNIN</w:t>
      </w:r>
      <w:r w:rsidR="00854188" w:rsidRPr="00973777">
        <w:rPr>
          <w:b/>
          <w:bCs/>
        </w:rPr>
        <w:t>Ė</w:t>
      </w:r>
      <w:r w:rsidRPr="00973777">
        <w:rPr>
          <w:b/>
          <w:bCs/>
        </w:rPr>
        <w:t xml:space="preserve"> SPECIFIKACIJ</w:t>
      </w:r>
      <w:r w:rsidR="00CA4EAE" w:rsidRPr="00973777">
        <w:rPr>
          <w:b/>
          <w:bCs/>
        </w:rPr>
        <w:t>A</w:t>
      </w:r>
    </w:p>
    <w:p w14:paraId="59833662" w14:textId="45B50459" w:rsidR="00B25AF9" w:rsidRPr="00C01F51" w:rsidRDefault="00B25AF9" w:rsidP="00B25AF9">
      <w:pPr>
        <w:tabs>
          <w:tab w:val="center" w:pos="7568"/>
          <w:tab w:val="left" w:pos="10800"/>
        </w:tabs>
        <w:autoSpaceDE w:val="0"/>
        <w:spacing w:after="120"/>
        <w:jc w:val="center"/>
        <w:outlineLvl w:val="0"/>
        <w:rPr>
          <w:rFonts w:eastAsiaTheme="minorHAnsi"/>
          <w:lang w:eastAsia="en-US"/>
        </w:rPr>
      </w:pPr>
      <w:r>
        <w:rPr>
          <w:b/>
          <w:bCs/>
        </w:rPr>
        <w:t>VPN KONCENTRATORIAI</w:t>
      </w:r>
    </w:p>
    <w:p w14:paraId="53C8C070" w14:textId="77777777" w:rsidR="005E7C28" w:rsidRPr="00C01F51" w:rsidRDefault="005E7C28" w:rsidP="001476F6"/>
    <w:tbl>
      <w:tblPr>
        <w:tblpPr w:leftFromText="180" w:rightFromText="180"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6971"/>
        <w:gridCol w:w="5958"/>
      </w:tblGrid>
      <w:tr w:rsidR="00446C2C" w:rsidRPr="00C01F51" w14:paraId="71A5C057" w14:textId="7B60F636" w:rsidTr="006628C3">
        <w:trPr>
          <w:trHeight w:val="324"/>
        </w:trPr>
        <w:tc>
          <w:tcPr>
            <w:tcW w:w="1246" w:type="dxa"/>
            <w:noWrap/>
          </w:tcPr>
          <w:p w14:paraId="4B50CAE7" w14:textId="77777777" w:rsidR="00446C2C" w:rsidRPr="00C01F51" w:rsidRDefault="00446C2C" w:rsidP="00EB0979">
            <w:pPr>
              <w:rPr>
                <w:b/>
                <w:bCs/>
              </w:rPr>
            </w:pPr>
          </w:p>
        </w:tc>
        <w:tc>
          <w:tcPr>
            <w:tcW w:w="6971" w:type="dxa"/>
          </w:tcPr>
          <w:p w14:paraId="64C1C436" w14:textId="53EDCDE3" w:rsidR="00446C2C" w:rsidRDefault="00446C2C" w:rsidP="006628C3">
            <w:pPr>
              <w:pStyle w:val="Heading1"/>
              <w:rPr>
                <w:szCs w:val="24"/>
              </w:rPr>
            </w:pPr>
            <w:r w:rsidRPr="00C01F51">
              <w:rPr>
                <w:szCs w:val="24"/>
              </w:rPr>
              <w:t>Pirkimo dokumentuose nustatyti prekių techniniai rodikliai</w:t>
            </w:r>
            <w:r w:rsidR="00143843">
              <w:rPr>
                <w:szCs w:val="24"/>
              </w:rPr>
              <w:t>*</w:t>
            </w:r>
          </w:p>
          <w:p w14:paraId="7584D9C1" w14:textId="6182CACD" w:rsidR="006628C3" w:rsidRPr="005603C5" w:rsidRDefault="005603C5" w:rsidP="005603C5">
            <w:pPr>
              <w:jc w:val="both"/>
              <w:rPr>
                <w:sz w:val="22"/>
                <w:szCs w:val="22"/>
                <w:lang w:eastAsia="en-US"/>
              </w:rPr>
            </w:pPr>
            <w:r w:rsidRPr="005603C5">
              <w:rPr>
                <w:sz w:val="22"/>
                <w:szCs w:val="22"/>
              </w:rPr>
              <w:t xml:space="preserve">  * </w:t>
            </w:r>
            <w:r w:rsidR="006628C3" w:rsidRPr="005603C5">
              <w:rPr>
                <w:sz w:val="22"/>
                <w:szCs w:val="22"/>
              </w:rPr>
              <w:t>Galimai nurodyti (jei yra) konkretūs modeliai ar teikimo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tc>
        <w:tc>
          <w:tcPr>
            <w:tcW w:w="5958" w:type="dxa"/>
            <w:vAlign w:val="center"/>
          </w:tcPr>
          <w:p w14:paraId="10FBBC2D" w14:textId="3831E067" w:rsidR="00446C2C" w:rsidRPr="00284455" w:rsidRDefault="00446C2C" w:rsidP="00EB0979">
            <w:pPr>
              <w:pStyle w:val="Heading1"/>
              <w:rPr>
                <w:szCs w:val="24"/>
              </w:rPr>
            </w:pPr>
            <w:r w:rsidRPr="00284455">
              <w:rPr>
                <w:szCs w:val="24"/>
              </w:rPr>
              <w:t>Tiekėjo siūlomų rodiklių reikšmė  (įrašyti)*</w:t>
            </w:r>
            <w:r w:rsidR="00FD1905">
              <w:rPr>
                <w:szCs w:val="24"/>
              </w:rPr>
              <w:t>*</w:t>
            </w:r>
          </w:p>
          <w:p w14:paraId="70DF1203" w14:textId="58B5507C" w:rsidR="00446C2C" w:rsidRPr="002864C4" w:rsidRDefault="005603C5" w:rsidP="00EB0979">
            <w:pPr>
              <w:pStyle w:val="Heading1"/>
              <w:jc w:val="both"/>
              <w:rPr>
                <w:b w:val="0"/>
                <w:sz w:val="22"/>
                <w:szCs w:val="22"/>
              </w:rPr>
            </w:pPr>
            <w:r w:rsidRPr="002864C4">
              <w:rPr>
                <w:b w:val="0"/>
                <w:sz w:val="22"/>
                <w:szCs w:val="22"/>
              </w:rPr>
              <w:t xml:space="preserve">** </w:t>
            </w:r>
            <w:r w:rsidR="00446C2C" w:rsidRPr="002864C4">
              <w:rPr>
                <w:b w:val="0"/>
                <w:sz w:val="22"/>
                <w:szCs w:val="22"/>
              </w:rPr>
              <w:t xml:space="preserve">Reikalinga įrašyti tikslų, nedviprasmišką, detalų siūlomos prekės aprašymą dėl kiekvieno techninės specifikacijos punkto. Tiesiog  įrašius „atitinka“, „taip“ ar kitą formuluotę, kuri suteiktų tiekėjui galimybę tiekti nevienodos ar netinkamos komplektacijos prekes, pasiūlymas bus atmestas kaip neatitinkantis pirkimo sąlygų reikalavimų. </w:t>
            </w:r>
          </w:p>
          <w:p w14:paraId="51D27A04" w14:textId="6CE99A51" w:rsidR="00B13378" w:rsidRPr="00B13378" w:rsidRDefault="00B13378" w:rsidP="00B13378">
            <w:pPr>
              <w:rPr>
                <w:lang w:eastAsia="en-US"/>
              </w:rPr>
            </w:pPr>
          </w:p>
        </w:tc>
      </w:tr>
      <w:tr w:rsidR="00446C2C" w:rsidRPr="00C01F51" w14:paraId="71E43587" w14:textId="76638DF2" w:rsidTr="00EB0979">
        <w:trPr>
          <w:trHeight w:val="324"/>
        </w:trPr>
        <w:tc>
          <w:tcPr>
            <w:tcW w:w="14175" w:type="dxa"/>
            <w:gridSpan w:val="3"/>
            <w:noWrap/>
          </w:tcPr>
          <w:p w14:paraId="64496A02" w14:textId="0D3C06EC" w:rsidR="00446C2C" w:rsidRPr="005B4318" w:rsidRDefault="00446C2C" w:rsidP="00EB0979">
            <w:pPr>
              <w:rPr>
                <w:b/>
                <w:bCs/>
                <w:lang w:val="en-US"/>
              </w:rPr>
            </w:pPr>
            <w:r w:rsidRPr="00C01F51">
              <w:rPr>
                <w:b/>
                <w:bCs/>
              </w:rPr>
              <w:t xml:space="preserve">1. </w:t>
            </w:r>
            <w:r w:rsidRPr="00C01F51">
              <w:rPr>
                <w:b/>
              </w:rPr>
              <w:t>Bendrieji reikalavimai</w:t>
            </w:r>
            <w:r w:rsidR="007703DD">
              <w:rPr>
                <w:b/>
              </w:rPr>
              <w:t>:</w:t>
            </w:r>
          </w:p>
        </w:tc>
      </w:tr>
      <w:tr w:rsidR="00684F44" w:rsidRPr="00C01F51" w14:paraId="0EFEA276" w14:textId="6F74BA8C" w:rsidTr="00EB0979">
        <w:trPr>
          <w:trHeight w:val="324"/>
        </w:trPr>
        <w:tc>
          <w:tcPr>
            <w:tcW w:w="1246" w:type="dxa"/>
            <w:noWrap/>
            <w:vAlign w:val="center"/>
          </w:tcPr>
          <w:p w14:paraId="39F162E5" w14:textId="7A7FA462" w:rsidR="00684F44" w:rsidRPr="00C01F51" w:rsidRDefault="00684F44" w:rsidP="00684F44">
            <w:pPr>
              <w:jc w:val="center"/>
              <w:rPr>
                <w:b/>
                <w:bCs/>
              </w:rPr>
            </w:pPr>
            <w:r w:rsidRPr="00C01F51">
              <w:rPr>
                <w:bCs/>
              </w:rPr>
              <w:t>1.1.</w:t>
            </w:r>
          </w:p>
        </w:tc>
        <w:tc>
          <w:tcPr>
            <w:tcW w:w="6971" w:type="dxa"/>
          </w:tcPr>
          <w:p w14:paraId="7C6BB72A" w14:textId="49772647" w:rsidR="00684F44" w:rsidRPr="00684F44" w:rsidRDefault="00684F44" w:rsidP="00684F44">
            <w:pPr>
              <w:pStyle w:val="Heading1"/>
              <w:jc w:val="both"/>
              <w:rPr>
                <w:b w:val="0"/>
                <w:szCs w:val="24"/>
                <w:lang w:val="en-US"/>
              </w:rPr>
            </w:pPr>
            <w:r w:rsidRPr="00684F44">
              <w:rPr>
                <w:b w:val="0"/>
                <w:szCs w:val="24"/>
              </w:rPr>
              <w:t>V</w:t>
            </w:r>
            <w:r w:rsidRPr="00684F44">
              <w:rPr>
                <w:b w:val="0"/>
                <w:szCs w:val="24"/>
              </w:rPr>
              <w:t xml:space="preserve">isa pateikiama techninė įranga privalo būti nauja (negali būti atnaujinta, restauruota (angl. </w:t>
            </w:r>
            <w:r w:rsidRPr="00684F44">
              <w:rPr>
                <w:b w:val="0"/>
                <w:i/>
                <w:szCs w:val="24"/>
              </w:rPr>
              <w:t>refurbished</w:t>
            </w:r>
            <w:r w:rsidRPr="00684F44">
              <w:rPr>
                <w:b w:val="0"/>
                <w:szCs w:val="24"/>
              </w:rPr>
              <w:t>), nenaudota, pateikta nepažeistoje gamyklinėje pakuotėje;</w:t>
            </w:r>
          </w:p>
        </w:tc>
        <w:tc>
          <w:tcPr>
            <w:tcW w:w="5958" w:type="dxa"/>
          </w:tcPr>
          <w:p w14:paraId="6C25754F" w14:textId="77777777" w:rsidR="00684F44" w:rsidRPr="00C01F51" w:rsidRDefault="00684F44" w:rsidP="00684F44">
            <w:pPr>
              <w:pStyle w:val="Heading1"/>
              <w:jc w:val="left"/>
              <w:rPr>
                <w:szCs w:val="24"/>
              </w:rPr>
            </w:pPr>
          </w:p>
        </w:tc>
      </w:tr>
      <w:tr w:rsidR="00684F44" w:rsidRPr="00C01F51" w14:paraId="5666CAA2" w14:textId="741239A1" w:rsidTr="00EB0979">
        <w:trPr>
          <w:trHeight w:val="324"/>
        </w:trPr>
        <w:tc>
          <w:tcPr>
            <w:tcW w:w="1246" w:type="dxa"/>
            <w:noWrap/>
            <w:vAlign w:val="center"/>
          </w:tcPr>
          <w:p w14:paraId="5666CAA0" w14:textId="3E68119F" w:rsidR="00684F44" w:rsidRPr="00C01F51" w:rsidRDefault="00684F44" w:rsidP="00684F44">
            <w:pPr>
              <w:jc w:val="center"/>
              <w:rPr>
                <w:bCs/>
              </w:rPr>
            </w:pPr>
            <w:r w:rsidRPr="00C01F51">
              <w:rPr>
                <w:bCs/>
              </w:rPr>
              <w:t>1.2.</w:t>
            </w:r>
          </w:p>
        </w:tc>
        <w:tc>
          <w:tcPr>
            <w:tcW w:w="6971" w:type="dxa"/>
            <w:vAlign w:val="center"/>
          </w:tcPr>
          <w:p w14:paraId="5666CAA1" w14:textId="517DCC56" w:rsidR="00684F44" w:rsidRPr="00684F44" w:rsidRDefault="00684F44" w:rsidP="00684F44">
            <w:pPr>
              <w:pStyle w:val="Heading1"/>
              <w:jc w:val="left"/>
              <w:rPr>
                <w:b w:val="0"/>
                <w:szCs w:val="24"/>
              </w:rPr>
            </w:pPr>
            <w:r w:rsidRPr="00684F44">
              <w:rPr>
                <w:b w:val="0"/>
                <w:szCs w:val="24"/>
              </w:rPr>
              <w:t xml:space="preserve">tiekėjas turi užtikrinti, kad gamintojas nėra paskelbęs žinios apie siūlomos įrangos gamybos arba tobulinimo nutraukimą (pvz., angl. </w:t>
            </w:r>
            <w:r w:rsidRPr="00684F44">
              <w:rPr>
                <w:b w:val="0"/>
                <w:i/>
                <w:szCs w:val="24"/>
              </w:rPr>
              <w:t>end of life time</w:t>
            </w:r>
            <w:r w:rsidRPr="00684F44">
              <w:rPr>
                <w:b w:val="0"/>
                <w:szCs w:val="24"/>
              </w:rPr>
              <w:t xml:space="preserve"> ar </w:t>
            </w:r>
            <w:r w:rsidRPr="00684F44">
              <w:rPr>
                <w:b w:val="0"/>
                <w:i/>
                <w:szCs w:val="24"/>
              </w:rPr>
              <w:t>Discontinued</w:t>
            </w:r>
            <w:r w:rsidRPr="00684F44">
              <w:rPr>
                <w:b w:val="0"/>
                <w:szCs w:val="24"/>
              </w:rPr>
              <w:t xml:space="preserve">);   </w:t>
            </w:r>
          </w:p>
        </w:tc>
        <w:tc>
          <w:tcPr>
            <w:tcW w:w="5958" w:type="dxa"/>
          </w:tcPr>
          <w:p w14:paraId="7A39BEE9" w14:textId="63BDBF97" w:rsidR="00684F44" w:rsidRPr="00333ABD" w:rsidRDefault="00684F44" w:rsidP="00684F44">
            <w:pPr>
              <w:pStyle w:val="Heading1"/>
              <w:jc w:val="left"/>
              <w:rPr>
                <w:b w:val="0"/>
                <w:szCs w:val="24"/>
              </w:rPr>
            </w:pPr>
            <w:r w:rsidRPr="00333ABD">
              <w:rPr>
                <w:b w:val="0"/>
                <w:i/>
              </w:rPr>
              <w:t>(pateikiamas dokumentas)</w:t>
            </w:r>
          </w:p>
        </w:tc>
      </w:tr>
      <w:tr w:rsidR="00684F44" w:rsidRPr="00C01F51" w14:paraId="5666CAA9" w14:textId="145DE05E" w:rsidTr="00EB0979">
        <w:trPr>
          <w:trHeight w:val="324"/>
        </w:trPr>
        <w:tc>
          <w:tcPr>
            <w:tcW w:w="1246" w:type="dxa"/>
            <w:noWrap/>
            <w:vAlign w:val="center"/>
          </w:tcPr>
          <w:p w14:paraId="5666CAA7" w14:textId="358C81B7" w:rsidR="00684F44" w:rsidRPr="00C01F51" w:rsidRDefault="00684F44" w:rsidP="00684F44">
            <w:pPr>
              <w:jc w:val="center"/>
              <w:rPr>
                <w:bCs/>
              </w:rPr>
            </w:pPr>
            <w:r w:rsidRPr="00C01F51">
              <w:rPr>
                <w:bCs/>
              </w:rPr>
              <w:t>1.3.</w:t>
            </w:r>
          </w:p>
        </w:tc>
        <w:tc>
          <w:tcPr>
            <w:tcW w:w="6971" w:type="dxa"/>
          </w:tcPr>
          <w:p w14:paraId="5666CAA8" w14:textId="6214E0F2" w:rsidR="00684F44" w:rsidRPr="00C01F51" w:rsidRDefault="00684F44" w:rsidP="00684F44">
            <w:pPr>
              <w:jc w:val="both"/>
              <w:rPr>
                <w:bCs/>
              </w:rPr>
            </w:pPr>
            <w:r>
              <w:t>tiekėjas turi pateikti nuorodą į gamintojo puslapį, kuriame yra tiksli pasiūlymą atitinkančios techninės ar programinės įrangos techninė specifikacija;</w:t>
            </w:r>
          </w:p>
        </w:tc>
        <w:tc>
          <w:tcPr>
            <w:tcW w:w="5958" w:type="dxa"/>
          </w:tcPr>
          <w:p w14:paraId="70752307" w14:textId="4D95EC09" w:rsidR="00684F44" w:rsidRPr="006558A4" w:rsidRDefault="00684F44" w:rsidP="00684F44">
            <w:pPr>
              <w:jc w:val="both"/>
              <w:rPr>
                <w:bCs/>
                <w:i/>
              </w:rPr>
            </w:pPr>
            <w:r w:rsidRPr="006558A4">
              <w:rPr>
                <w:bCs/>
                <w:i/>
              </w:rPr>
              <w:t xml:space="preserve">(pateikiama </w:t>
            </w:r>
            <w:r>
              <w:rPr>
                <w:bCs/>
                <w:i/>
              </w:rPr>
              <w:t xml:space="preserve">internetinė </w:t>
            </w:r>
            <w:r w:rsidRPr="006558A4">
              <w:rPr>
                <w:bCs/>
                <w:i/>
              </w:rPr>
              <w:t>nuoroda)</w:t>
            </w:r>
          </w:p>
        </w:tc>
      </w:tr>
      <w:tr w:rsidR="00684F44" w:rsidRPr="00C01F51" w14:paraId="5666CAAC" w14:textId="58CDBC2D" w:rsidTr="00EB0979">
        <w:trPr>
          <w:trHeight w:val="324"/>
        </w:trPr>
        <w:tc>
          <w:tcPr>
            <w:tcW w:w="1246" w:type="dxa"/>
            <w:noWrap/>
            <w:vAlign w:val="center"/>
          </w:tcPr>
          <w:p w14:paraId="5666CAAA" w14:textId="104D6713" w:rsidR="00684F44" w:rsidRPr="00C01F51" w:rsidRDefault="00684F44" w:rsidP="00684F44">
            <w:pPr>
              <w:jc w:val="center"/>
              <w:rPr>
                <w:bCs/>
              </w:rPr>
            </w:pPr>
            <w:r w:rsidRPr="00C01F51">
              <w:rPr>
                <w:bCs/>
              </w:rPr>
              <w:t>1.4.</w:t>
            </w:r>
          </w:p>
        </w:tc>
        <w:tc>
          <w:tcPr>
            <w:tcW w:w="6971" w:type="dxa"/>
          </w:tcPr>
          <w:p w14:paraId="5666CAAB" w14:textId="56069EB8" w:rsidR="00684F44" w:rsidRPr="00C01F51" w:rsidRDefault="00684F44" w:rsidP="00684F44">
            <w:pPr>
              <w:jc w:val="both"/>
              <w:rPr>
                <w:bCs/>
              </w:rPr>
            </w:pPr>
            <w:r>
              <w:t>įrangos dokumentai turi būti lietuvių arba anglų kalba. Užrašai ant įrenginio ir jo dalių turi būti anglų arba lietuvių kalba. Gamintojo interneto svetainėje tvarkyklių ir dokumentų paieška atliekama anglų arba lietuvių kalba;</w:t>
            </w:r>
          </w:p>
        </w:tc>
        <w:tc>
          <w:tcPr>
            <w:tcW w:w="5958" w:type="dxa"/>
          </w:tcPr>
          <w:p w14:paraId="67B8F545" w14:textId="77777777" w:rsidR="00684F44" w:rsidRPr="00C01F51" w:rsidRDefault="00684F44" w:rsidP="00684F44">
            <w:pPr>
              <w:jc w:val="both"/>
            </w:pPr>
          </w:p>
        </w:tc>
      </w:tr>
      <w:tr w:rsidR="00684F44" w:rsidRPr="00C01F51" w14:paraId="5666CAAF" w14:textId="3DA639A0" w:rsidTr="00EB0979">
        <w:trPr>
          <w:trHeight w:val="324"/>
        </w:trPr>
        <w:tc>
          <w:tcPr>
            <w:tcW w:w="1246" w:type="dxa"/>
            <w:noWrap/>
            <w:vAlign w:val="center"/>
          </w:tcPr>
          <w:p w14:paraId="5666CAAD" w14:textId="072BC1E1" w:rsidR="00684F44" w:rsidRPr="00C01F51" w:rsidRDefault="00684F44" w:rsidP="00684F44">
            <w:pPr>
              <w:jc w:val="center"/>
              <w:rPr>
                <w:bCs/>
              </w:rPr>
            </w:pPr>
            <w:r w:rsidRPr="00C01F51">
              <w:rPr>
                <w:bCs/>
              </w:rPr>
              <w:t>1.5.</w:t>
            </w:r>
          </w:p>
        </w:tc>
        <w:tc>
          <w:tcPr>
            <w:tcW w:w="6971" w:type="dxa"/>
          </w:tcPr>
          <w:p w14:paraId="5666CAAE" w14:textId="5703EDE1" w:rsidR="00684F44" w:rsidRPr="00C01F51" w:rsidRDefault="00684F44" w:rsidP="00684F44">
            <w:pPr>
              <w:tabs>
                <w:tab w:val="left" w:pos="742"/>
              </w:tabs>
              <w:autoSpaceDN w:val="0"/>
              <w:jc w:val="both"/>
            </w:pPr>
            <w:r>
              <w:t>tiekėjas į savo pasiūlymą turi įtraukti visą aparatinę ir programinę įrangą bei medžiagas, reikalingas šioje specifikacijoje nurodytiems reikalavimams įvykdyti;</w:t>
            </w:r>
          </w:p>
        </w:tc>
        <w:tc>
          <w:tcPr>
            <w:tcW w:w="5958" w:type="dxa"/>
          </w:tcPr>
          <w:p w14:paraId="2CFD75A2" w14:textId="77777777" w:rsidR="00684F44" w:rsidRPr="00C01F51" w:rsidRDefault="00684F44" w:rsidP="00684F44">
            <w:pPr>
              <w:jc w:val="both"/>
            </w:pPr>
          </w:p>
        </w:tc>
      </w:tr>
      <w:tr w:rsidR="00684F44" w:rsidRPr="00C01F51" w14:paraId="05EE8E67" w14:textId="12969EC5" w:rsidTr="00EB0979">
        <w:trPr>
          <w:trHeight w:val="324"/>
        </w:trPr>
        <w:tc>
          <w:tcPr>
            <w:tcW w:w="1246" w:type="dxa"/>
            <w:noWrap/>
            <w:vAlign w:val="center"/>
          </w:tcPr>
          <w:p w14:paraId="1E4ADE51" w14:textId="6F306D5D" w:rsidR="00684F44" w:rsidRPr="00C01F51" w:rsidRDefault="00684F44" w:rsidP="00684F44">
            <w:pPr>
              <w:jc w:val="center"/>
              <w:rPr>
                <w:bCs/>
              </w:rPr>
            </w:pPr>
            <w:r>
              <w:rPr>
                <w:bCs/>
              </w:rPr>
              <w:t>1.6.</w:t>
            </w:r>
          </w:p>
        </w:tc>
        <w:tc>
          <w:tcPr>
            <w:tcW w:w="6971" w:type="dxa"/>
          </w:tcPr>
          <w:p w14:paraId="393F9627" w14:textId="4CC9C64D" w:rsidR="00684F44" w:rsidRPr="00C01F51" w:rsidRDefault="00684F44" w:rsidP="00684F44">
            <w:pPr>
              <w:tabs>
                <w:tab w:val="left" w:pos="742"/>
              </w:tabs>
              <w:autoSpaceDN w:val="0"/>
              <w:jc w:val="both"/>
            </w:pPr>
            <w:r>
              <w:t xml:space="preserve">visos programinės įrangos licencijos turi būti suteikiamos neribotam laikui; </w:t>
            </w:r>
          </w:p>
        </w:tc>
        <w:tc>
          <w:tcPr>
            <w:tcW w:w="5958" w:type="dxa"/>
          </w:tcPr>
          <w:p w14:paraId="3755BA04" w14:textId="77777777" w:rsidR="00684F44" w:rsidRPr="00C01F51" w:rsidRDefault="00684F44" w:rsidP="00684F44">
            <w:pPr>
              <w:jc w:val="both"/>
            </w:pPr>
          </w:p>
        </w:tc>
      </w:tr>
      <w:tr w:rsidR="00684F44" w:rsidRPr="00C01F51" w14:paraId="5C1371E8" w14:textId="6ECE0C1C" w:rsidTr="00EB0979">
        <w:trPr>
          <w:trHeight w:val="324"/>
        </w:trPr>
        <w:tc>
          <w:tcPr>
            <w:tcW w:w="1246" w:type="dxa"/>
            <w:noWrap/>
            <w:vAlign w:val="center"/>
          </w:tcPr>
          <w:p w14:paraId="0CAAD7FC" w14:textId="1D2EA95A" w:rsidR="00684F44" w:rsidRDefault="00684F44" w:rsidP="00684F44">
            <w:pPr>
              <w:jc w:val="center"/>
              <w:rPr>
                <w:bCs/>
              </w:rPr>
            </w:pPr>
            <w:r>
              <w:rPr>
                <w:bCs/>
              </w:rPr>
              <w:t>1.7.</w:t>
            </w:r>
          </w:p>
        </w:tc>
        <w:tc>
          <w:tcPr>
            <w:tcW w:w="6971" w:type="dxa"/>
            <w:vAlign w:val="center"/>
          </w:tcPr>
          <w:p w14:paraId="112C8836" w14:textId="73C95196" w:rsidR="00684F44" w:rsidRPr="00CA6A4C" w:rsidRDefault="00684F44" w:rsidP="00684F44">
            <w:pPr>
              <w:tabs>
                <w:tab w:val="left" w:pos="742"/>
              </w:tabs>
              <w:autoSpaceDN w:val="0"/>
              <w:jc w:val="both"/>
            </w:pPr>
            <w:r>
              <w:t>visos techninės įrangos maitinimo įtampa turi būti 230V 50Hz su Europos kontinentinėje dalyje naudojama jungtimi (CEE 7/7);</w:t>
            </w:r>
          </w:p>
        </w:tc>
        <w:tc>
          <w:tcPr>
            <w:tcW w:w="5958" w:type="dxa"/>
          </w:tcPr>
          <w:p w14:paraId="71B37426" w14:textId="77777777" w:rsidR="00684F44" w:rsidRPr="00C01F51" w:rsidRDefault="00684F44" w:rsidP="00684F44">
            <w:pPr>
              <w:jc w:val="both"/>
            </w:pPr>
          </w:p>
        </w:tc>
      </w:tr>
      <w:tr w:rsidR="00684F44" w:rsidRPr="00C01F51" w14:paraId="197D23A2" w14:textId="0C7BB7E4" w:rsidTr="00EB0979">
        <w:trPr>
          <w:trHeight w:val="324"/>
        </w:trPr>
        <w:tc>
          <w:tcPr>
            <w:tcW w:w="1246" w:type="dxa"/>
            <w:noWrap/>
            <w:vAlign w:val="center"/>
          </w:tcPr>
          <w:p w14:paraId="3C232FC7" w14:textId="4FBFABC6" w:rsidR="00684F44" w:rsidRDefault="00684F44" w:rsidP="00684F44">
            <w:pPr>
              <w:jc w:val="center"/>
              <w:rPr>
                <w:bCs/>
              </w:rPr>
            </w:pPr>
            <w:r>
              <w:rPr>
                <w:bCs/>
              </w:rPr>
              <w:lastRenderedPageBreak/>
              <w:t>1.8.</w:t>
            </w:r>
          </w:p>
        </w:tc>
        <w:tc>
          <w:tcPr>
            <w:tcW w:w="6971" w:type="dxa"/>
            <w:vAlign w:val="center"/>
          </w:tcPr>
          <w:p w14:paraId="2CECBD09" w14:textId="0D4BCAA0" w:rsidR="00684F44" w:rsidRPr="00290944" w:rsidRDefault="00684F44" w:rsidP="00684F44">
            <w:pPr>
              <w:tabs>
                <w:tab w:val="left" w:pos="742"/>
              </w:tabs>
              <w:autoSpaceDN w:val="0"/>
              <w:jc w:val="both"/>
              <w:rPr>
                <w:highlight w:val="green"/>
              </w:rPr>
            </w:pPr>
            <w:r w:rsidRPr="005E7321">
              <w:rPr>
                <w:bCs/>
              </w:rPr>
              <w:t>tiekėjas privalo pasiūlyme pateikti įrangos ir visų jos sudėtinių dalių gamintojo identifikacinius kodus;</w:t>
            </w:r>
          </w:p>
        </w:tc>
        <w:tc>
          <w:tcPr>
            <w:tcW w:w="5958" w:type="dxa"/>
          </w:tcPr>
          <w:p w14:paraId="650FB98C" w14:textId="77777777" w:rsidR="00684F44" w:rsidRPr="00C60C86" w:rsidRDefault="00684F44" w:rsidP="00684F44">
            <w:pPr>
              <w:rPr>
                <w:rFonts w:eastAsia="Calibri"/>
                <w:i/>
              </w:rPr>
            </w:pPr>
            <w:r w:rsidRPr="00C60C86">
              <w:rPr>
                <w:i/>
              </w:rPr>
              <w:t xml:space="preserve">(pateikiamas dokumentas, kuriame </w:t>
            </w:r>
            <w:r w:rsidRPr="00C60C86">
              <w:rPr>
                <w:rFonts w:eastAsia="Calibri"/>
                <w:i/>
              </w:rPr>
              <w:t xml:space="preserve"> teikėjas pateikia įrangos ir visų jos sudėtinių dalių gamintojo identifikacinius kodus)</w:t>
            </w:r>
          </w:p>
          <w:p w14:paraId="014A5077" w14:textId="265F0AE4" w:rsidR="00684F44" w:rsidRPr="00DD4336" w:rsidRDefault="00684F44" w:rsidP="00684F44">
            <w:pPr>
              <w:jc w:val="both"/>
              <w:rPr>
                <w:i/>
              </w:rPr>
            </w:pPr>
          </w:p>
        </w:tc>
      </w:tr>
      <w:tr w:rsidR="00684F44" w:rsidRPr="00C01F51" w14:paraId="372430B4" w14:textId="77777777" w:rsidTr="00EB0979">
        <w:trPr>
          <w:trHeight w:val="324"/>
        </w:trPr>
        <w:tc>
          <w:tcPr>
            <w:tcW w:w="1246" w:type="dxa"/>
            <w:noWrap/>
            <w:vAlign w:val="center"/>
          </w:tcPr>
          <w:p w14:paraId="271A6B67" w14:textId="30CCFE09" w:rsidR="00684F44" w:rsidRDefault="00684F44" w:rsidP="00684F44">
            <w:pPr>
              <w:jc w:val="center"/>
              <w:rPr>
                <w:bCs/>
              </w:rPr>
            </w:pPr>
            <w:r>
              <w:rPr>
                <w:bCs/>
              </w:rPr>
              <w:t>1.8.1.</w:t>
            </w:r>
          </w:p>
        </w:tc>
        <w:tc>
          <w:tcPr>
            <w:tcW w:w="6971" w:type="dxa"/>
            <w:vAlign w:val="center"/>
          </w:tcPr>
          <w:p w14:paraId="3B971A8C" w14:textId="2FA91B97" w:rsidR="00684F44" w:rsidRPr="0019665B" w:rsidRDefault="00684F44" w:rsidP="00684F44">
            <w:pPr>
              <w:tabs>
                <w:tab w:val="left" w:pos="742"/>
              </w:tabs>
              <w:autoSpaceDN w:val="0"/>
              <w:jc w:val="both"/>
            </w:pPr>
            <w:r w:rsidRPr="005E7321">
              <w:rPr>
                <w:bCs/>
              </w:rPr>
              <w:t>įranga turi būti pateikta įrangos gamintojo nustatytu keliu;</w:t>
            </w:r>
          </w:p>
        </w:tc>
        <w:tc>
          <w:tcPr>
            <w:tcW w:w="5958" w:type="dxa"/>
          </w:tcPr>
          <w:p w14:paraId="2EE23551" w14:textId="2781C98C" w:rsidR="00684F44" w:rsidRPr="00DD4336" w:rsidRDefault="00684F44" w:rsidP="00684F44">
            <w:pPr>
              <w:jc w:val="both"/>
              <w:rPr>
                <w:i/>
              </w:rPr>
            </w:pPr>
          </w:p>
        </w:tc>
      </w:tr>
      <w:tr w:rsidR="00684F44" w:rsidRPr="00C01F51" w14:paraId="796E73B3" w14:textId="77777777" w:rsidTr="00EB0979">
        <w:trPr>
          <w:trHeight w:val="324"/>
        </w:trPr>
        <w:tc>
          <w:tcPr>
            <w:tcW w:w="1246" w:type="dxa"/>
            <w:noWrap/>
            <w:vAlign w:val="center"/>
          </w:tcPr>
          <w:p w14:paraId="04C18E78" w14:textId="24DA258E" w:rsidR="00684F44" w:rsidRDefault="00684F44" w:rsidP="00684F44">
            <w:pPr>
              <w:jc w:val="center"/>
              <w:rPr>
                <w:bCs/>
              </w:rPr>
            </w:pPr>
            <w:r>
              <w:rPr>
                <w:bCs/>
              </w:rPr>
              <w:t>1.8.2.</w:t>
            </w:r>
          </w:p>
        </w:tc>
        <w:tc>
          <w:tcPr>
            <w:tcW w:w="6971" w:type="dxa"/>
            <w:vAlign w:val="center"/>
          </w:tcPr>
          <w:p w14:paraId="1083545C" w14:textId="059443EE" w:rsidR="00684F44" w:rsidRPr="0019665B" w:rsidRDefault="00684F44" w:rsidP="00684F44">
            <w:pPr>
              <w:tabs>
                <w:tab w:val="left" w:pos="742"/>
              </w:tabs>
              <w:autoSpaceDN w:val="0"/>
              <w:jc w:val="both"/>
            </w:pPr>
            <w:r w:rsidRPr="005E7321">
              <w:rPr>
                <w:bCs/>
              </w:rPr>
              <w:t xml:space="preserve">turi būti pateikta gamintojo autorizacijos forma (angl. </w:t>
            </w:r>
            <w:r w:rsidRPr="005E7321">
              <w:rPr>
                <w:bCs/>
                <w:i/>
              </w:rPr>
              <w:t>Manufacturer Authorization Form</w:t>
            </w:r>
            <w:r w:rsidRPr="005E7321">
              <w:rPr>
                <w:bCs/>
              </w:rPr>
              <w:t>), adresuota perkančiajai organizacijai;</w:t>
            </w:r>
          </w:p>
        </w:tc>
        <w:tc>
          <w:tcPr>
            <w:tcW w:w="5958" w:type="dxa"/>
          </w:tcPr>
          <w:p w14:paraId="1947FAD5" w14:textId="2EAD3A66" w:rsidR="00684F44" w:rsidRPr="007861F0" w:rsidRDefault="00684F44" w:rsidP="00684F44">
            <w:pPr>
              <w:jc w:val="both"/>
            </w:pPr>
            <w:r w:rsidRPr="00DD4336">
              <w:rPr>
                <w:i/>
              </w:rPr>
              <w:t>(pateikiamas dokumentas)</w:t>
            </w:r>
          </w:p>
        </w:tc>
      </w:tr>
      <w:tr w:rsidR="00684F44" w:rsidRPr="00C01F51" w14:paraId="5E4B0C81" w14:textId="1AFDA645" w:rsidTr="00EB0979">
        <w:trPr>
          <w:trHeight w:val="324"/>
        </w:trPr>
        <w:tc>
          <w:tcPr>
            <w:tcW w:w="1246" w:type="dxa"/>
            <w:noWrap/>
            <w:vAlign w:val="center"/>
          </w:tcPr>
          <w:p w14:paraId="25C9CC4B" w14:textId="23932A2D" w:rsidR="00684F44" w:rsidRDefault="00684F44" w:rsidP="00684F44">
            <w:pPr>
              <w:jc w:val="center"/>
              <w:rPr>
                <w:bCs/>
              </w:rPr>
            </w:pPr>
            <w:r>
              <w:rPr>
                <w:bCs/>
              </w:rPr>
              <w:t>1.9.</w:t>
            </w:r>
          </w:p>
        </w:tc>
        <w:tc>
          <w:tcPr>
            <w:tcW w:w="6971" w:type="dxa"/>
            <w:vAlign w:val="center"/>
          </w:tcPr>
          <w:p w14:paraId="747EEC98" w14:textId="23FEAD4C" w:rsidR="00684F44" w:rsidRPr="00911B02" w:rsidRDefault="00684F44" w:rsidP="00684F44">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5958" w:type="dxa"/>
          </w:tcPr>
          <w:p w14:paraId="0FE07206" w14:textId="77777777" w:rsidR="00684F44" w:rsidRPr="0061550E" w:rsidRDefault="00684F44" w:rsidP="00684F44">
            <w:pPr>
              <w:rPr>
                <w:i/>
              </w:rPr>
            </w:pPr>
          </w:p>
        </w:tc>
      </w:tr>
      <w:tr w:rsidR="00684F44" w:rsidRPr="00C01F51" w14:paraId="51DF0689" w14:textId="3082FDB3" w:rsidTr="00EB0979">
        <w:trPr>
          <w:trHeight w:val="324"/>
        </w:trPr>
        <w:tc>
          <w:tcPr>
            <w:tcW w:w="1246" w:type="dxa"/>
            <w:noWrap/>
            <w:vAlign w:val="center"/>
          </w:tcPr>
          <w:p w14:paraId="4A302BC5" w14:textId="1608A8FE" w:rsidR="00684F44" w:rsidRPr="00794473" w:rsidRDefault="00684F44" w:rsidP="00684F44">
            <w:pPr>
              <w:jc w:val="center"/>
              <w:rPr>
                <w:bCs/>
              </w:rPr>
            </w:pPr>
            <w:r>
              <w:rPr>
                <w:bCs/>
              </w:rPr>
              <w:t>1.9.1.</w:t>
            </w:r>
          </w:p>
        </w:tc>
        <w:tc>
          <w:tcPr>
            <w:tcW w:w="6971" w:type="dxa"/>
            <w:vAlign w:val="center"/>
          </w:tcPr>
          <w:p w14:paraId="350C07FF" w14:textId="7C4AFA0C" w:rsidR="00684F44" w:rsidRPr="006131B0" w:rsidRDefault="00684F44" w:rsidP="00684F44">
            <w:pPr>
              <w:tabs>
                <w:tab w:val="left" w:pos="742"/>
              </w:tabs>
              <w:autoSpaceDN w:val="0"/>
              <w:jc w:val="both"/>
              <w:rPr>
                <w:color w:val="FF0000"/>
              </w:rPr>
            </w:pPr>
            <w:r>
              <w:t>įranga grąžinama tiekėjui arba keičiama nauja lygiaverte ar geresne, tačiau saugumo reikalavimus atitinkančia įranga;</w:t>
            </w:r>
          </w:p>
        </w:tc>
        <w:tc>
          <w:tcPr>
            <w:tcW w:w="5958" w:type="dxa"/>
          </w:tcPr>
          <w:p w14:paraId="2C4B8FFC" w14:textId="77777777" w:rsidR="00684F44" w:rsidRPr="00D0648F" w:rsidRDefault="00684F44" w:rsidP="00684F44">
            <w:pPr>
              <w:jc w:val="both"/>
              <w:rPr>
                <w:i/>
              </w:rPr>
            </w:pPr>
          </w:p>
        </w:tc>
      </w:tr>
      <w:tr w:rsidR="00684F44" w:rsidRPr="00C01F51" w14:paraId="5CFC9D91" w14:textId="69DF9178" w:rsidTr="00EB0979">
        <w:trPr>
          <w:trHeight w:val="324"/>
        </w:trPr>
        <w:tc>
          <w:tcPr>
            <w:tcW w:w="1246" w:type="dxa"/>
            <w:noWrap/>
            <w:vAlign w:val="center"/>
          </w:tcPr>
          <w:p w14:paraId="0B1C3EC5" w14:textId="5E513F5C" w:rsidR="00684F44" w:rsidRDefault="00684F44" w:rsidP="00684F44">
            <w:pPr>
              <w:jc w:val="center"/>
              <w:rPr>
                <w:bCs/>
              </w:rPr>
            </w:pPr>
            <w:r>
              <w:rPr>
                <w:bCs/>
              </w:rPr>
              <w:t>1.9.2.</w:t>
            </w:r>
          </w:p>
        </w:tc>
        <w:tc>
          <w:tcPr>
            <w:tcW w:w="6971" w:type="dxa"/>
            <w:vAlign w:val="center"/>
          </w:tcPr>
          <w:p w14:paraId="55A0B826" w14:textId="63679C76" w:rsidR="00684F44" w:rsidRPr="00CA6A4C" w:rsidRDefault="00684F44" w:rsidP="00684F44">
            <w:pPr>
              <w:tabs>
                <w:tab w:val="left" w:pos="742"/>
              </w:tabs>
              <w:autoSpaceDN w:val="0"/>
              <w:jc w:val="both"/>
            </w:pPr>
            <w:r>
              <w:t>tiekėjas padengia pirkimo proceso metu pirkėjo patirtą materialinę žalą;</w:t>
            </w:r>
          </w:p>
        </w:tc>
        <w:tc>
          <w:tcPr>
            <w:tcW w:w="5958" w:type="dxa"/>
          </w:tcPr>
          <w:p w14:paraId="40DCA5C3" w14:textId="3FB29F2D" w:rsidR="00684F44" w:rsidRPr="00C01F51" w:rsidRDefault="00684F44" w:rsidP="00684F44">
            <w:pPr>
              <w:jc w:val="both"/>
            </w:pPr>
          </w:p>
        </w:tc>
      </w:tr>
      <w:tr w:rsidR="00684F44" w:rsidRPr="00C01F51" w14:paraId="5E1C52D5" w14:textId="6BD0010E" w:rsidTr="00EB0979">
        <w:trPr>
          <w:trHeight w:val="324"/>
        </w:trPr>
        <w:tc>
          <w:tcPr>
            <w:tcW w:w="1246" w:type="dxa"/>
            <w:noWrap/>
            <w:vAlign w:val="center"/>
          </w:tcPr>
          <w:p w14:paraId="2EE07F63" w14:textId="5BDC6767" w:rsidR="00684F44" w:rsidRDefault="00684F44" w:rsidP="00684F44">
            <w:pPr>
              <w:tabs>
                <w:tab w:val="left" w:pos="735"/>
              </w:tabs>
              <w:jc w:val="center"/>
              <w:rPr>
                <w:bCs/>
              </w:rPr>
            </w:pPr>
            <w:r>
              <w:rPr>
                <w:bCs/>
              </w:rPr>
              <w:t>1.10</w:t>
            </w:r>
          </w:p>
        </w:tc>
        <w:tc>
          <w:tcPr>
            <w:tcW w:w="6971" w:type="dxa"/>
            <w:vAlign w:val="center"/>
          </w:tcPr>
          <w:p w14:paraId="7583D2A7" w14:textId="43D88A07" w:rsidR="00684F44" w:rsidRPr="00CA6A4C" w:rsidRDefault="00684F44" w:rsidP="00684F44">
            <w:pPr>
              <w:tabs>
                <w:tab w:val="left" w:pos="742"/>
              </w:tabs>
              <w:autoSpaceDN w:val="0"/>
              <w:jc w:val="both"/>
            </w:pPr>
            <w:r w:rsidRPr="00E06753">
              <w:t>saugumo reikalavimai (netaikoma programinei įrangai):</w:t>
            </w:r>
          </w:p>
        </w:tc>
        <w:tc>
          <w:tcPr>
            <w:tcW w:w="5958" w:type="dxa"/>
          </w:tcPr>
          <w:p w14:paraId="25C56069" w14:textId="77777777" w:rsidR="00684F44" w:rsidRPr="00C01F51" w:rsidRDefault="00684F44" w:rsidP="00684F44">
            <w:pPr>
              <w:jc w:val="both"/>
            </w:pPr>
          </w:p>
        </w:tc>
      </w:tr>
      <w:tr w:rsidR="00684F44" w:rsidRPr="00C01F51" w14:paraId="46B4222F" w14:textId="20106C65" w:rsidTr="00EB0979">
        <w:trPr>
          <w:trHeight w:val="324"/>
        </w:trPr>
        <w:tc>
          <w:tcPr>
            <w:tcW w:w="1246" w:type="dxa"/>
            <w:noWrap/>
            <w:vAlign w:val="center"/>
          </w:tcPr>
          <w:p w14:paraId="4F9E4736" w14:textId="75040303" w:rsidR="00684F44" w:rsidRDefault="00684F44" w:rsidP="00684F44">
            <w:pPr>
              <w:jc w:val="center"/>
              <w:rPr>
                <w:bCs/>
              </w:rPr>
            </w:pPr>
            <w:r>
              <w:rPr>
                <w:bCs/>
              </w:rPr>
              <w:t>1.10.1.</w:t>
            </w:r>
          </w:p>
        </w:tc>
        <w:tc>
          <w:tcPr>
            <w:tcW w:w="6971" w:type="dxa"/>
            <w:vAlign w:val="center"/>
          </w:tcPr>
          <w:p w14:paraId="061ECF58" w14:textId="6533FF04" w:rsidR="00684F44" w:rsidRPr="00CA6A4C" w:rsidRDefault="00684F44" w:rsidP="00684F44">
            <w:pPr>
              <w:tabs>
                <w:tab w:val="left" w:pos="742"/>
              </w:tabs>
              <w:autoSpaceDN w:val="0"/>
              <w:jc w:val="both"/>
            </w:pPr>
            <w:r>
              <w:rPr>
                <w:bCs/>
              </w:rPr>
              <w:t xml:space="preserve">standieji ar puslaidininkiniai diskai (angl. </w:t>
            </w:r>
            <w:r>
              <w:rPr>
                <w:bCs/>
                <w:i/>
              </w:rPr>
              <w:t>HDD/SSD</w:t>
            </w:r>
            <w:r>
              <w:rPr>
                <w:bCs/>
              </w:rPr>
              <w:t>) ar kitos atminties laikmenos gedimo atveju turi būti keičiamos naujomis. sugedusios atminties laikmenos sunaikinamos pirkėjo patalpose ir tiekėjui negrąžinamos;</w:t>
            </w:r>
          </w:p>
        </w:tc>
        <w:tc>
          <w:tcPr>
            <w:tcW w:w="5958" w:type="dxa"/>
          </w:tcPr>
          <w:p w14:paraId="311B26C6" w14:textId="77777777" w:rsidR="00684F44" w:rsidRPr="00C01F51" w:rsidRDefault="00684F44" w:rsidP="00684F44">
            <w:pPr>
              <w:jc w:val="both"/>
            </w:pPr>
          </w:p>
        </w:tc>
      </w:tr>
      <w:tr w:rsidR="00684F44" w:rsidRPr="00C01F51" w14:paraId="062F019D" w14:textId="79AB49BA" w:rsidTr="00EB0979">
        <w:trPr>
          <w:trHeight w:val="324"/>
        </w:trPr>
        <w:tc>
          <w:tcPr>
            <w:tcW w:w="1246" w:type="dxa"/>
            <w:noWrap/>
            <w:vAlign w:val="center"/>
          </w:tcPr>
          <w:p w14:paraId="30887772" w14:textId="650CF978" w:rsidR="00684F44" w:rsidRDefault="00684F44" w:rsidP="00684F44">
            <w:pPr>
              <w:jc w:val="center"/>
              <w:rPr>
                <w:bCs/>
              </w:rPr>
            </w:pPr>
            <w:r>
              <w:rPr>
                <w:bCs/>
              </w:rPr>
              <w:t>1.10.2.</w:t>
            </w:r>
          </w:p>
        </w:tc>
        <w:tc>
          <w:tcPr>
            <w:tcW w:w="6971" w:type="dxa"/>
            <w:vAlign w:val="center"/>
          </w:tcPr>
          <w:p w14:paraId="7E5B1293" w14:textId="16CB1971" w:rsidR="00684F44" w:rsidRPr="00CA6A4C" w:rsidRDefault="00684F44" w:rsidP="00684F44">
            <w:pPr>
              <w:tabs>
                <w:tab w:val="left" w:pos="742"/>
              </w:tabs>
              <w:autoSpaceDN w:val="0"/>
              <w:jc w:val="both"/>
            </w:pPr>
            <w:r>
              <w:rPr>
                <w:bCs/>
              </w:rPr>
              <w:t xml:space="preserve">įrangos gedimo atveju iš instaliacijos vietos remontui išvežamą pas tiekėją (jo atstovą) sugedusią įrangą pirkėjas pateikia be joje sumontuotų standžiųjų ar puslaidininkinių diskų (angl. </w:t>
            </w:r>
            <w:r>
              <w:rPr>
                <w:bCs/>
                <w:i/>
              </w:rPr>
              <w:t>HDD/SSD</w:t>
            </w:r>
            <w:r>
              <w:rPr>
                <w:bCs/>
              </w:rPr>
              <w:t>) ar kitų atminties laikmenų;</w:t>
            </w:r>
          </w:p>
        </w:tc>
        <w:tc>
          <w:tcPr>
            <w:tcW w:w="5958" w:type="dxa"/>
          </w:tcPr>
          <w:p w14:paraId="3B384F92" w14:textId="77777777" w:rsidR="00684F44" w:rsidRPr="00C01F51" w:rsidRDefault="00684F44" w:rsidP="00684F44">
            <w:pPr>
              <w:jc w:val="both"/>
            </w:pPr>
          </w:p>
        </w:tc>
      </w:tr>
      <w:tr w:rsidR="00684F44" w:rsidRPr="00C01F51" w14:paraId="674DC756" w14:textId="7A515633" w:rsidTr="00EB0979">
        <w:trPr>
          <w:trHeight w:val="324"/>
        </w:trPr>
        <w:tc>
          <w:tcPr>
            <w:tcW w:w="1246" w:type="dxa"/>
            <w:noWrap/>
            <w:vAlign w:val="center"/>
          </w:tcPr>
          <w:p w14:paraId="0847DFE9" w14:textId="38C2BCE3" w:rsidR="00684F44" w:rsidRDefault="00684F44" w:rsidP="00684F44">
            <w:pPr>
              <w:jc w:val="center"/>
              <w:rPr>
                <w:bCs/>
              </w:rPr>
            </w:pPr>
            <w:r>
              <w:rPr>
                <w:bCs/>
              </w:rPr>
              <w:t>1.11.</w:t>
            </w:r>
          </w:p>
        </w:tc>
        <w:tc>
          <w:tcPr>
            <w:tcW w:w="6971" w:type="dxa"/>
          </w:tcPr>
          <w:p w14:paraId="48659CED" w14:textId="089BC77D" w:rsidR="00684F44" w:rsidRPr="00CA6A4C" w:rsidRDefault="00684F44" w:rsidP="00684F44">
            <w:pPr>
              <w:tabs>
                <w:tab w:val="left" w:pos="742"/>
              </w:tabs>
              <w:autoSpaceDN w:val="0"/>
              <w:jc w:val="both"/>
            </w:pPr>
            <w:r>
              <w:rPr>
                <w:bCs/>
              </w:rPr>
              <w:t>pirkimo objektas – prekės (VPN koncentratorius), vadovaujantis Viešųjų pirkimų įstatymu, turi nekelti grėsmės nacionaliniam saugumui;</w:t>
            </w:r>
          </w:p>
        </w:tc>
        <w:tc>
          <w:tcPr>
            <w:tcW w:w="5958" w:type="dxa"/>
          </w:tcPr>
          <w:p w14:paraId="1D64CB48" w14:textId="77777777" w:rsidR="00684F44" w:rsidRPr="00C01F51" w:rsidRDefault="00684F44" w:rsidP="00684F44">
            <w:pPr>
              <w:jc w:val="both"/>
            </w:pPr>
          </w:p>
        </w:tc>
      </w:tr>
      <w:tr w:rsidR="00684F44" w:rsidRPr="00C01F51" w14:paraId="3AFC0F68" w14:textId="3ED73A3C" w:rsidTr="00EB0979">
        <w:trPr>
          <w:trHeight w:val="636"/>
        </w:trPr>
        <w:tc>
          <w:tcPr>
            <w:tcW w:w="1246" w:type="dxa"/>
            <w:noWrap/>
            <w:vAlign w:val="center"/>
          </w:tcPr>
          <w:p w14:paraId="66E70905" w14:textId="014B7205" w:rsidR="00684F44" w:rsidRDefault="00684F44" w:rsidP="00684F44">
            <w:pPr>
              <w:jc w:val="center"/>
              <w:rPr>
                <w:bCs/>
              </w:rPr>
            </w:pPr>
            <w:r>
              <w:rPr>
                <w:bCs/>
              </w:rPr>
              <w:t>1.12.</w:t>
            </w:r>
          </w:p>
        </w:tc>
        <w:tc>
          <w:tcPr>
            <w:tcW w:w="6971" w:type="dxa"/>
          </w:tcPr>
          <w:p w14:paraId="4851FDC0" w14:textId="5B40CC2B" w:rsidR="00684F44" w:rsidRPr="00CA6A4C" w:rsidRDefault="00684F44" w:rsidP="00684F44">
            <w:pPr>
              <w:tabs>
                <w:tab w:val="left" w:pos="742"/>
              </w:tabs>
              <w:autoSpaceDN w:val="0"/>
              <w:jc w:val="both"/>
            </w:pPr>
            <w:r>
              <w:rPr>
                <w:bCs/>
              </w:rPr>
              <w:t xml:space="preserve">žaliojo pirkimo reikalavimas: </w:t>
            </w:r>
            <w:r w:rsidRPr="005E7321">
              <w:rPr>
                <w:bCs/>
              </w:rPr>
              <w:t xml:space="preserve">įrangos gamintojas privalo užtikrinti Europos Sąjungos RoHS (angl. </w:t>
            </w:r>
            <w:r w:rsidRPr="005E7321">
              <w:rPr>
                <w:bCs/>
                <w:i/>
              </w:rPr>
              <w:t>„Restriction of Hazardous Substances“</w:t>
            </w:r>
            <w:r w:rsidRPr="005E7321">
              <w:rPr>
                <w:bCs/>
              </w:rPr>
              <w:t xml:space="preserve">) direktyvų (2002/95/EC (RoHS 1), 2011/65/EU (RoHS 2), 2015/863 (RoHS 2 amendment)), draudžiančių gamyboje naudoti  </w:t>
            </w:r>
            <w:r w:rsidRPr="005E7321">
              <w:rPr>
                <w:bCs/>
              </w:rPr>
              <w:lastRenderedPageBreak/>
              <w:t>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5958" w:type="dxa"/>
          </w:tcPr>
          <w:p w14:paraId="61E1E8A9" w14:textId="0B233F13" w:rsidR="00684F44" w:rsidRPr="00902CD4" w:rsidRDefault="00684F44" w:rsidP="00684F44">
            <w:pPr>
              <w:jc w:val="both"/>
              <w:rPr>
                <w:i/>
              </w:rPr>
            </w:pPr>
            <w:r w:rsidRPr="00DD4336">
              <w:rPr>
                <w:i/>
              </w:rPr>
              <w:lastRenderedPageBreak/>
              <w:t>(pateikiamas dokumentas)</w:t>
            </w:r>
          </w:p>
        </w:tc>
      </w:tr>
      <w:tr w:rsidR="00684F44" w:rsidRPr="00C01F51" w:rsidDel="000E621D" w14:paraId="798C647E" w14:textId="32A78592" w:rsidTr="00EB0979">
        <w:trPr>
          <w:trHeight w:val="324"/>
        </w:trPr>
        <w:tc>
          <w:tcPr>
            <w:tcW w:w="14175" w:type="dxa"/>
            <w:gridSpan w:val="3"/>
            <w:noWrap/>
          </w:tcPr>
          <w:p w14:paraId="5FBBF446" w14:textId="3BE00CF5" w:rsidR="00684F44" w:rsidRPr="00C01F51" w:rsidRDefault="00684F44" w:rsidP="00684F44">
            <w:pPr>
              <w:rPr>
                <w:b/>
                <w:bCs/>
              </w:rPr>
            </w:pPr>
            <w:r w:rsidRPr="00C01F51">
              <w:rPr>
                <w:b/>
                <w:bCs/>
              </w:rPr>
              <w:t xml:space="preserve">2. </w:t>
            </w:r>
            <w:r>
              <w:rPr>
                <w:b/>
              </w:rPr>
              <w:t>VPN koncentratorius. Specialieji reikalavimai:</w:t>
            </w:r>
          </w:p>
        </w:tc>
      </w:tr>
      <w:tr w:rsidR="00684F44" w:rsidRPr="00C01F51" w14:paraId="5666CD0A" w14:textId="48971126" w:rsidTr="00475D74">
        <w:trPr>
          <w:trHeight w:val="57"/>
        </w:trPr>
        <w:tc>
          <w:tcPr>
            <w:tcW w:w="1246" w:type="dxa"/>
            <w:noWrap/>
            <w:vAlign w:val="center"/>
          </w:tcPr>
          <w:p w14:paraId="5666CD07" w14:textId="63BDD416" w:rsidR="00684F44" w:rsidRPr="00C01F51" w:rsidRDefault="00684F44" w:rsidP="00684F44">
            <w:pPr>
              <w:jc w:val="center"/>
            </w:pPr>
            <w:r w:rsidRPr="00C01F51">
              <w:t>2.1.</w:t>
            </w:r>
          </w:p>
        </w:tc>
        <w:tc>
          <w:tcPr>
            <w:tcW w:w="6971" w:type="dxa"/>
          </w:tcPr>
          <w:p w14:paraId="33B669A9" w14:textId="0192ABBA" w:rsidR="00684F44" w:rsidRPr="00C646C4" w:rsidRDefault="00684F44" w:rsidP="00684F44">
            <w:pPr>
              <w:jc w:val="both"/>
            </w:pPr>
            <w:r w:rsidRPr="009E421C">
              <w:rPr>
                <w:rFonts w:eastAsia="Arial"/>
                <w:noProof/>
                <w:color w:val="000000"/>
              </w:rPr>
              <w:t>Specializuotas įrenginys, susidedantis iš techninės ir programinės įrangos, montuojamos į 19 colių komutacinę spintą. Įrenginio aukštis turi būti ne didesnis nei 1 RU. Montavimo detalės turi būti pateiktos kartu su VPN koncentratoriumi.</w:t>
            </w:r>
          </w:p>
        </w:tc>
        <w:tc>
          <w:tcPr>
            <w:tcW w:w="5958" w:type="dxa"/>
          </w:tcPr>
          <w:p w14:paraId="6679B1F9" w14:textId="77777777" w:rsidR="00684F44" w:rsidRDefault="00684F44" w:rsidP="00684F44">
            <w:pPr>
              <w:jc w:val="both"/>
            </w:pPr>
          </w:p>
        </w:tc>
      </w:tr>
      <w:tr w:rsidR="00684F44" w:rsidRPr="00C01F51" w14:paraId="64B6AEF9" w14:textId="65AD8F1F" w:rsidTr="00EB0979">
        <w:trPr>
          <w:trHeight w:val="57"/>
        </w:trPr>
        <w:tc>
          <w:tcPr>
            <w:tcW w:w="1246" w:type="dxa"/>
            <w:noWrap/>
            <w:vAlign w:val="center"/>
          </w:tcPr>
          <w:p w14:paraId="0C4D1FDF" w14:textId="4CFC0C29" w:rsidR="00684F44" w:rsidRPr="00C01F51" w:rsidRDefault="00684F44" w:rsidP="00684F44">
            <w:pPr>
              <w:jc w:val="center"/>
            </w:pPr>
            <w:r>
              <w:t>2.2</w:t>
            </w:r>
          </w:p>
        </w:tc>
        <w:tc>
          <w:tcPr>
            <w:tcW w:w="6971" w:type="dxa"/>
          </w:tcPr>
          <w:p w14:paraId="0D2F254D" w14:textId="72D2B9B0" w:rsidR="00684F44" w:rsidRPr="00C01F51" w:rsidRDefault="00684F44" w:rsidP="00684F44">
            <w:pPr>
              <w:jc w:val="both"/>
            </w:pPr>
            <w:r w:rsidRPr="009E421C">
              <w:rPr>
                <w:rFonts w:eastAsia="Calibri"/>
                <w:color w:val="000000"/>
              </w:rPr>
              <w:t>Įrenginiai turi būti pateikti su dubliuot</w:t>
            </w:r>
            <w:r>
              <w:rPr>
                <w:rFonts w:eastAsia="Calibri"/>
                <w:color w:val="000000"/>
              </w:rPr>
              <w:t>ais maitinimo šaltiniais ir aušinimo ventiliatoriais</w:t>
            </w:r>
            <w:r w:rsidRPr="009E421C">
              <w:rPr>
                <w:rFonts w:eastAsia="Calibri"/>
                <w:color w:val="000000"/>
              </w:rPr>
              <w:t>.</w:t>
            </w:r>
          </w:p>
        </w:tc>
        <w:tc>
          <w:tcPr>
            <w:tcW w:w="5958" w:type="dxa"/>
          </w:tcPr>
          <w:p w14:paraId="4E588728" w14:textId="77777777" w:rsidR="00684F44" w:rsidRPr="00C07095" w:rsidRDefault="00684F44" w:rsidP="00684F44"/>
        </w:tc>
      </w:tr>
      <w:tr w:rsidR="00684F44" w:rsidRPr="00C01F51" w14:paraId="7FC61BDB" w14:textId="3545DCC7" w:rsidTr="00EB0979">
        <w:trPr>
          <w:trHeight w:val="57"/>
        </w:trPr>
        <w:tc>
          <w:tcPr>
            <w:tcW w:w="1246" w:type="dxa"/>
            <w:noWrap/>
            <w:vAlign w:val="center"/>
          </w:tcPr>
          <w:p w14:paraId="5F602735" w14:textId="70C3FD06" w:rsidR="00684F44" w:rsidRPr="00C01F51" w:rsidRDefault="00684F44" w:rsidP="00684F44">
            <w:pPr>
              <w:jc w:val="center"/>
            </w:pPr>
            <w:r>
              <w:t>2.3</w:t>
            </w:r>
          </w:p>
        </w:tc>
        <w:tc>
          <w:tcPr>
            <w:tcW w:w="6971" w:type="dxa"/>
          </w:tcPr>
          <w:p w14:paraId="05288D6C" w14:textId="192A7AD8" w:rsidR="00684F44" w:rsidRPr="00C01F51" w:rsidRDefault="00684F44" w:rsidP="00684F44">
            <w:pPr>
              <w:jc w:val="both"/>
            </w:pPr>
            <w:r w:rsidRPr="009E421C">
              <w:rPr>
                <w:rFonts w:eastAsia="Arial"/>
                <w:color w:val="000000"/>
              </w:rPr>
              <w:t>Turi būti</w:t>
            </w:r>
            <w:r w:rsidRPr="009E421C">
              <w:rPr>
                <w:rFonts w:eastAsia="Arial"/>
                <w:noProof/>
                <w:color w:val="000000"/>
              </w:rPr>
              <w:t xml:space="preserve"> integruotas SSD tipo talpos kaupiklis, kurio talpa ne mažesnė nei </w:t>
            </w:r>
            <w:r>
              <w:rPr>
                <w:rFonts w:eastAsia="Arial"/>
                <w:noProof/>
                <w:color w:val="000000"/>
              </w:rPr>
              <w:t>8</w:t>
            </w:r>
            <w:r w:rsidRPr="009E421C">
              <w:rPr>
                <w:rFonts w:eastAsia="Arial"/>
                <w:noProof/>
                <w:color w:val="000000"/>
              </w:rPr>
              <w:t>00 GB. Turi būti galimybė įdėti papildomą diską.</w:t>
            </w:r>
          </w:p>
        </w:tc>
        <w:tc>
          <w:tcPr>
            <w:tcW w:w="5958" w:type="dxa"/>
          </w:tcPr>
          <w:p w14:paraId="54339090" w14:textId="77777777" w:rsidR="00684F44" w:rsidRPr="00C01F51" w:rsidRDefault="00684F44" w:rsidP="00684F44"/>
        </w:tc>
      </w:tr>
      <w:tr w:rsidR="00684F44" w:rsidRPr="00C01F51" w14:paraId="7C958DAD" w14:textId="593DCF16" w:rsidTr="00EB0979">
        <w:trPr>
          <w:trHeight w:val="57"/>
        </w:trPr>
        <w:tc>
          <w:tcPr>
            <w:tcW w:w="1246" w:type="dxa"/>
            <w:noWrap/>
            <w:vAlign w:val="center"/>
          </w:tcPr>
          <w:p w14:paraId="24BB1890" w14:textId="25909DDC" w:rsidR="00684F44" w:rsidRPr="00C01F51" w:rsidRDefault="00684F44" w:rsidP="00684F44">
            <w:pPr>
              <w:jc w:val="center"/>
            </w:pPr>
            <w:r>
              <w:t>2.4.</w:t>
            </w:r>
          </w:p>
        </w:tc>
        <w:tc>
          <w:tcPr>
            <w:tcW w:w="6971" w:type="dxa"/>
            <w:vAlign w:val="center"/>
          </w:tcPr>
          <w:p w14:paraId="719502B3" w14:textId="0DB770B0" w:rsidR="00684F44" w:rsidRPr="00C01F51" w:rsidRDefault="00684F44" w:rsidP="00684F44">
            <w:pPr>
              <w:jc w:val="both"/>
            </w:pPr>
            <w:r w:rsidRPr="009E421C">
              <w:rPr>
                <w:rFonts w:eastAsia="Arial"/>
                <w:noProof/>
                <w:color w:val="000000"/>
              </w:rPr>
              <w:t xml:space="preserve">Ne mažiau kaip </w:t>
            </w:r>
            <w:r>
              <w:rPr>
                <w:rFonts w:eastAsia="Arial"/>
                <w:noProof/>
                <w:color w:val="000000"/>
              </w:rPr>
              <w:t>8</w:t>
            </w:r>
            <w:r w:rsidRPr="009E421C">
              <w:rPr>
                <w:rFonts w:eastAsia="Arial"/>
                <w:noProof/>
                <w:color w:val="000000"/>
              </w:rPr>
              <w:t xml:space="preserve"> (</w:t>
            </w:r>
            <w:r>
              <w:rPr>
                <w:rFonts w:eastAsia="Arial"/>
                <w:noProof/>
                <w:color w:val="000000"/>
              </w:rPr>
              <w:t>aštuoni</w:t>
            </w:r>
            <w:r w:rsidRPr="009E421C">
              <w:rPr>
                <w:rFonts w:eastAsia="Arial"/>
                <w:noProof/>
                <w:color w:val="000000"/>
              </w:rPr>
              <w:t xml:space="preserve">) 10/100/1000 Base-T ir nemažiau, kaip </w:t>
            </w:r>
            <w:r>
              <w:rPr>
                <w:rFonts w:eastAsia="Arial"/>
                <w:noProof/>
                <w:color w:val="000000"/>
              </w:rPr>
              <w:t>8</w:t>
            </w:r>
            <w:r w:rsidRPr="009E421C">
              <w:rPr>
                <w:rFonts w:eastAsia="Arial"/>
                <w:noProof/>
                <w:color w:val="000000"/>
              </w:rPr>
              <w:t xml:space="preserve"> (</w:t>
            </w:r>
            <w:r>
              <w:rPr>
                <w:rFonts w:eastAsia="Arial"/>
                <w:noProof/>
                <w:color w:val="000000"/>
              </w:rPr>
              <w:t>aštuoni</w:t>
            </w:r>
            <w:r w:rsidRPr="009E421C">
              <w:rPr>
                <w:rFonts w:eastAsia="Arial"/>
                <w:noProof/>
                <w:color w:val="000000"/>
              </w:rPr>
              <w:t xml:space="preserve">) </w:t>
            </w:r>
            <w:r>
              <w:rPr>
                <w:rFonts w:eastAsia="Arial"/>
                <w:noProof/>
                <w:color w:val="000000"/>
              </w:rPr>
              <w:t>1/</w:t>
            </w:r>
            <w:r w:rsidRPr="009E421C">
              <w:rPr>
                <w:rFonts w:eastAsia="Arial"/>
                <w:color w:val="000000"/>
                <w:lang w:val="en-US"/>
              </w:rPr>
              <w:t>10</w:t>
            </w:r>
            <w:r w:rsidRPr="009E421C">
              <w:rPr>
                <w:rFonts w:eastAsia="Arial"/>
                <w:noProof/>
                <w:color w:val="000000"/>
              </w:rPr>
              <w:t> Gigabit SFP+ prievadai.</w:t>
            </w:r>
          </w:p>
        </w:tc>
        <w:tc>
          <w:tcPr>
            <w:tcW w:w="5958" w:type="dxa"/>
          </w:tcPr>
          <w:p w14:paraId="333E529D" w14:textId="77777777" w:rsidR="00684F44" w:rsidRPr="00C01F51" w:rsidRDefault="00684F44" w:rsidP="00684F44"/>
        </w:tc>
      </w:tr>
      <w:tr w:rsidR="00684F44" w:rsidRPr="00C01F51" w14:paraId="6A592944" w14:textId="78F41FC8" w:rsidTr="00475D74">
        <w:trPr>
          <w:trHeight w:val="57"/>
        </w:trPr>
        <w:tc>
          <w:tcPr>
            <w:tcW w:w="1246" w:type="dxa"/>
            <w:noWrap/>
            <w:vAlign w:val="center"/>
          </w:tcPr>
          <w:p w14:paraId="68061163" w14:textId="0BEE0263" w:rsidR="00684F44" w:rsidRPr="00C01F51" w:rsidRDefault="00684F44" w:rsidP="00684F44">
            <w:pPr>
              <w:jc w:val="center"/>
            </w:pPr>
            <w:r>
              <w:t>2.5.</w:t>
            </w:r>
          </w:p>
        </w:tc>
        <w:tc>
          <w:tcPr>
            <w:tcW w:w="6971" w:type="dxa"/>
          </w:tcPr>
          <w:p w14:paraId="69F15510" w14:textId="516AB69A" w:rsidR="00684F44" w:rsidRPr="00C01F51" w:rsidRDefault="00684F44" w:rsidP="00684F44">
            <w:pPr>
              <w:jc w:val="both"/>
            </w:pPr>
            <w:r w:rsidRPr="009E421C">
              <w:rPr>
                <w:rFonts w:eastAsia="Calibri"/>
                <w:color w:val="000000"/>
              </w:rPr>
              <w:t xml:space="preserve">Turi būti dedikuotas </w:t>
            </w:r>
            <w:r>
              <w:rPr>
                <w:rFonts w:eastAsia="Calibri"/>
                <w:color w:val="000000"/>
              </w:rPr>
              <w:t>SFP</w:t>
            </w:r>
            <w:r w:rsidRPr="009E421C">
              <w:rPr>
                <w:rFonts w:eastAsia="Calibri"/>
                <w:color w:val="000000"/>
              </w:rPr>
              <w:t xml:space="preserve"> Ethernet prievadas konfigūravimui</w:t>
            </w:r>
            <w:r>
              <w:rPr>
                <w:rFonts w:eastAsia="Calibri"/>
                <w:color w:val="000000"/>
              </w:rPr>
              <w:t>, sukomplektuotas su 1000BaseT RJ45 moduliuku.</w:t>
            </w:r>
          </w:p>
        </w:tc>
        <w:tc>
          <w:tcPr>
            <w:tcW w:w="5958" w:type="dxa"/>
          </w:tcPr>
          <w:p w14:paraId="48743830" w14:textId="77777777" w:rsidR="00684F44" w:rsidRPr="00C01F51" w:rsidRDefault="00684F44" w:rsidP="00684F44"/>
        </w:tc>
      </w:tr>
      <w:tr w:rsidR="00684F44" w:rsidRPr="00C01F51" w14:paraId="4F3531E8" w14:textId="2D9C5F15" w:rsidTr="00475D74">
        <w:trPr>
          <w:trHeight w:val="57"/>
        </w:trPr>
        <w:tc>
          <w:tcPr>
            <w:tcW w:w="1246" w:type="dxa"/>
            <w:noWrap/>
            <w:vAlign w:val="center"/>
          </w:tcPr>
          <w:p w14:paraId="0BD64A28" w14:textId="109254B0" w:rsidR="00684F44" w:rsidRPr="00C01F51" w:rsidRDefault="00684F44" w:rsidP="00684F44">
            <w:pPr>
              <w:jc w:val="center"/>
            </w:pPr>
            <w:r>
              <w:t>2.6</w:t>
            </w:r>
            <w:r w:rsidRPr="00C01F51">
              <w:t>.</w:t>
            </w:r>
          </w:p>
        </w:tc>
        <w:tc>
          <w:tcPr>
            <w:tcW w:w="6971" w:type="dxa"/>
          </w:tcPr>
          <w:p w14:paraId="701420A4" w14:textId="05EC014C" w:rsidR="00684F44" w:rsidRPr="00C01F51" w:rsidRDefault="00684F44" w:rsidP="00684F44">
            <w:pPr>
              <w:jc w:val="both"/>
            </w:pPr>
            <w:r w:rsidRPr="009E421C">
              <w:rPr>
                <w:rFonts w:eastAsia="Calibri"/>
                <w:color w:val="000000"/>
              </w:rPr>
              <w:t>Turi būti serijinis (konsolės) prievadas.</w:t>
            </w:r>
          </w:p>
        </w:tc>
        <w:tc>
          <w:tcPr>
            <w:tcW w:w="5958" w:type="dxa"/>
          </w:tcPr>
          <w:p w14:paraId="62F873B5" w14:textId="77777777" w:rsidR="00684F44" w:rsidRPr="00C01F51" w:rsidRDefault="00684F44" w:rsidP="00684F44"/>
        </w:tc>
      </w:tr>
      <w:tr w:rsidR="00684F44" w:rsidRPr="00C01F51" w14:paraId="60A50B93" w14:textId="707BC0BD" w:rsidTr="00475D74">
        <w:trPr>
          <w:trHeight w:val="57"/>
        </w:trPr>
        <w:tc>
          <w:tcPr>
            <w:tcW w:w="1246" w:type="dxa"/>
            <w:noWrap/>
            <w:vAlign w:val="center"/>
          </w:tcPr>
          <w:p w14:paraId="6ED0177C" w14:textId="0158C1C4" w:rsidR="00684F44" w:rsidRPr="00C01F51" w:rsidRDefault="00684F44" w:rsidP="00684F44">
            <w:pPr>
              <w:jc w:val="center"/>
            </w:pPr>
            <w:r>
              <w:t>2.7.</w:t>
            </w:r>
          </w:p>
        </w:tc>
        <w:tc>
          <w:tcPr>
            <w:tcW w:w="6971" w:type="dxa"/>
          </w:tcPr>
          <w:p w14:paraId="6DB1FF89" w14:textId="49FA81CC" w:rsidR="00684F44" w:rsidRPr="00C01F51" w:rsidRDefault="00684F44" w:rsidP="00684F44">
            <w:pPr>
              <w:jc w:val="both"/>
            </w:pPr>
            <w:r w:rsidRPr="009E421C">
              <w:rPr>
                <w:rFonts w:eastAsia="Calibri"/>
                <w:color w:val="000000"/>
              </w:rPr>
              <w:t>Galimybė vykdyti IPS funkcijas (apsauga nuo kibernetinių atakų realiu laiku ir jų blokavimas, paketų analize iki aplikacijų lygmens, aktualiausių atakų atpažinimas).</w:t>
            </w:r>
          </w:p>
        </w:tc>
        <w:tc>
          <w:tcPr>
            <w:tcW w:w="5958" w:type="dxa"/>
          </w:tcPr>
          <w:p w14:paraId="569E18A2" w14:textId="77777777" w:rsidR="00684F44" w:rsidRPr="00C01F51" w:rsidRDefault="00684F44" w:rsidP="00684F44"/>
        </w:tc>
      </w:tr>
      <w:tr w:rsidR="00684F44" w:rsidRPr="00C01F51" w14:paraId="69C948C8" w14:textId="0A23D001" w:rsidTr="00475D74">
        <w:trPr>
          <w:trHeight w:val="57"/>
        </w:trPr>
        <w:tc>
          <w:tcPr>
            <w:tcW w:w="1246" w:type="dxa"/>
            <w:noWrap/>
            <w:vAlign w:val="center"/>
          </w:tcPr>
          <w:p w14:paraId="740286B0" w14:textId="497602FD" w:rsidR="00684F44" w:rsidRPr="00C01F51" w:rsidRDefault="00684F44" w:rsidP="00684F44">
            <w:pPr>
              <w:jc w:val="center"/>
            </w:pPr>
            <w:r>
              <w:t>2.8</w:t>
            </w:r>
            <w:r w:rsidRPr="00C01F51">
              <w:t>.</w:t>
            </w:r>
          </w:p>
        </w:tc>
        <w:tc>
          <w:tcPr>
            <w:tcW w:w="6971" w:type="dxa"/>
          </w:tcPr>
          <w:p w14:paraId="3A33A18C" w14:textId="2A524A00" w:rsidR="00684F44" w:rsidRPr="00C01F51" w:rsidRDefault="00684F44" w:rsidP="00684F44">
            <w:pPr>
              <w:jc w:val="both"/>
            </w:pPr>
            <w:r w:rsidRPr="009E421C">
              <w:rPr>
                <w:rFonts w:eastAsia="Calibri"/>
                <w:color w:val="000000"/>
              </w:rPr>
              <w:t>Galimybė vykdyti kenkėjiškų programų aptikimo funkcijas (apsauga nuo kenkėjiškų, nepageidaujamų programų galinčių sutrikdyti įrenginių darbą, nutekinti informaciją).</w:t>
            </w:r>
          </w:p>
        </w:tc>
        <w:tc>
          <w:tcPr>
            <w:tcW w:w="5958" w:type="dxa"/>
          </w:tcPr>
          <w:p w14:paraId="1AEF5EFA" w14:textId="77777777" w:rsidR="00684F44" w:rsidRPr="00C01F51" w:rsidRDefault="00684F44" w:rsidP="00684F44"/>
        </w:tc>
      </w:tr>
      <w:tr w:rsidR="00684F44" w:rsidRPr="00C01F51" w14:paraId="0DFCD30A" w14:textId="6C1B6187" w:rsidTr="00475D74">
        <w:trPr>
          <w:trHeight w:val="57"/>
        </w:trPr>
        <w:tc>
          <w:tcPr>
            <w:tcW w:w="1246" w:type="dxa"/>
            <w:noWrap/>
            <w:vAlign w:val="center"/>
          </w:tcPr>
          <w:p w14:paraId="135E3C7F" w14:textId="3717000A" w:rsidR="00684F44" w:rsidRPr="00C01F51" w:rsidRDefault="00684F44" w:rsidP="00684F44">
            <w:pPr>
              <w:jc w:val="center"/>
            </w:pPr>
            <w:r>
              <w:t>2.9</w:t>
            </w:r>
            <w:r w:rsidRPr="00C01F51">
              <w:t>.</w:t>
            </w:r>
          </w:p>
        </w:tc>
        <w:tc>
          <w:tcPr>
            <w:tcW w:w="6971" w:type="dxa"/>
          </w:tcPr>
          <w:p w14:paraId="37713B4D" w14:textId="31EDA224" w:rsidR="00684F44" w:rsidRPr="00C01F51" w:rsidRDefault="00684F44" w:rsidP="00684F44">
            <w:pPr>
              <w:jc w:val="both"/>
            </w:pPr>
            <w:r w:rsidRPr="009E421C">
              <w:rPr>
                <w:rFonts w:eastAsia="Calibri"/>
                <w:color w:val="000000"/>
              </w:rPr>
              <w:t>Galimybė vykdyti URL filtravimo funkcijas (URL tinklapių ar tinklapių kategorijų filtravimas, blokavimo funkcionalumas, tinklapių paieškos filtravimas).</w:t>
            </w:r>
          </w:p>
        </w:tc>
        <w:tc>
          <w:tcPr>
            <w:tcW w:w="5958" w:type="dxa"/>
          </w:tcPr>
          <w:p w14:paraId="71796789" w14:textId="77777777" w:rsidR="00684F44" w:rsidRPr="00C01F51" w:rsidRDefault="00684F44" w:rsidP="00684F44"/>
        </w:tc>
      </w:tr>
      <w:tr w:rsidR="00684F44" w:rsidRPr="00C01F51" w14:paraId="30C43F7C" w14:textId="5985D766" w:rsidTr="00475D74">
        <w:trPr>
          <w:trHeight w:val="57"/>
        </w:trPr>
        <w:tc>
          <w:tcPr>
            <w:tcW w:w="1246" w:type="dxa"/>
            <w:noWrap/>
            <w:vAlign w:val="center"/>
          </w:tcPr>
          <w:p w14:paraId="179578E1" w14:textId="3B2A45F7" w:rsidR="00684F44" w:rsidRPr="00C01F51" w:rsidRDefault="00684F44" w:rsidP="00684F44">
            <w:pPr>
              <w:jc w:val="center"/>
            </w:pPr>
            <w:r>
              <w:t>2.10.</w:t>
            </w:r>
          </w:p>
        </w:tc>
        <w:tc>
          <w:tcPr>
            <w:tcW w:w="6971" w:type="dxa"/>
          </w:tcPr>
          <w:p w14:paraId="4611B7C8" w14:textId="04720524" w:rsidR="00684F44" w:rsidRPr="00C01F51" w:rsidRDefault="00684F44" w:rsidP="00684F44">
            <w:pPr>
              <w:jc w:val="both"/>
            </w:pPr>
            <w:r w:rsidRPr="009E421C">
              <w:rPr>
                <w:rFonts w:eastAsia="Calibri"/>
                <w:color w:val="000000"/>
              </w:rPr>
              <w:t>Turi būti TCP/IP filtravimo režimas (L3).</w:t>
            </w:r>
          </w:p>
        </w:tc>
        <w:tc>
          <w:tcPr>
            <w:tcW w:w="5958" w:type="dxa"/>
          </w:tcPr>
          <w:p w14:paraId="7EA53BCB" w14:textId="77777777" w:rsidR="00684F44" w:rsidRPr="00C01F51" w:rsidRDefault="00684F44" w:rsidP="00684F44"/>
        </w:tc>
      </w:tr>
      <w:tr w:rsidR="00684F44" w:rsidRPr="00C01F51" w14:paraId="1362ED62" w14:textId="23F3CF7D" w:rsidTr="00EB0979">
        <w:trPr>
          <w:trHeight w:val="57"/>
        </w:trPr>
        <w:tc>
          <w:tcPr>
            <w:tcW w:w="1246" w:type="dxa"/>
            <w:noWrap/>
            <w:vAlign w:val="center"/>
          </w:tcPr>
          <w:p w14:paraId="3AA9136E" w14:textId="602507EF" w:rsidR="00684F44" w:rsidRPr="00C01F51" w:rsidRDefault="00684F44" w:rsidP="00684F44">
            <w:pPr>
              <w:jc w:val="center"/>
            </w:pPr>
            <w:r>
              <w:t>2.11.</w:t>
            </w:r>
          </w:p>
        </w:tc>
        <w:tc>
          <w:tcPr>
            <w:tcW w:w="6971" w:type="dxa"/>
          </w:tcPr>
          <w:p w14:paraId="5AABFF03" w14:textId="3EA25E4A" w:rsidR="00684F44" w:rsidRPr="00C01F51" w:rsidRDefault="00684F44" w:rsidP="00684F44">
            <w:pPr>
              <w:jc w:val="both"/>
            </w:pPr>
            <w:r w:rsidRPr="009E421C">
              <w:rPr>
                <w:rFonts w:eastAsia="Calibri"/>
                <w:color w:val="000000"/>
              </w:rPr>
              <w:t>Turi būti NAT (Network Address Translation)/PAT (Port Address Translation) palaikymas.</w:t>
            </w:r>
          </w:p>
        </w:tc>
        <w:tc>
          <w:tcPr>
            <w:tcW w:w="5958" w:type="dxa"/>
          </w:tcPr>
          <w:p w14:paraId="5B6BA1E2" w14:textId="77777777" w:rsidR="00684F44" w:rsidRPr="00C01F51" w:rsidRDefault="00684F44" w:rsidP="00684F44"/>
        </w:tc>
      </w:tr>
      <w:tr w:rsidR="00684F44" w:rsidRPr="00C01F51" w14:paraId="0201F7FB" w14:textId="4B2E5323" w:rsidTr="00193353">
        <w:trPr>
          <w:trHeight w:val="57"/>
        </w:trPr>
        <w:tc>
          <w:tcPr>
            <w:tcW w:w="1246" w:type="dxa"/>
            <w:noWrap/>
            <w:vAlign w:val="center"/>
          </w:tcPr>
          <w:p w14:paraId="2AE366AB" w14:textId="7DF6C0AB" w:rsidR="00684F44" w:rsidRPr="00C01F51" w:rsidRDefault="00684F44" w:rsidP="00684F44">
            <w:pPr>
              <w:jc w:val="center"/>
            </w:pPr>
            <w:r>
              <w:t>2.12.</w:t>
            </w:r>
          </w:p>
        </w:tc>
        <w:tc>
          <w:tcPr>
            <w:tcW w:w="6971" w:type="dxa"/>
          </w:tcPr>
          <w:p w14:paraId="5365C34B" w14:textId="760801AA" w:rsidR="00684F44" w:rsidRPr="00C01F51" w:rsidRDefault="00684F44" w:rsidP="00684F44">
            <w:pPr>
              <w:jc w:val="both"/>
            </w:pPr>
            <w:r w:rsidRPr="009E421C">
              <w:rPr>
                <w:rFonts w:eastAsia="Calibri"/>
                <w:color w:val="000000"/>
              </w:rPr>
              <w:t>Turi būti palaikomi darbo režimai: įprastas ir skaidrus (L2 transparent) maršrutizavimas.</w:t>
            </w:r>
          </w:p>
        </w:tc>
        <w:tc>
          <w:tcPr>
            <w:tcW w:w="5958" w:type="dxa"/>
          </w:tcPr>
          <w:p w14:paraId="4B383F1B" w14:textId="77777777" w:rsidR="00684F44" w:rsidRPr="00C01F51" w:rsidRDefault="00684F44" w:rsidP="00684F44"/>
        </w:tc>
      </w:tr>
      <w:tr w:rsidR="00684F44" w:rsidRPr="00C01F51" w14:paraId="592CD12E" w14:textId="47D9BD09" w:rsidTr="00EB0979">
        <w:trPr>
          <w:trHeight w:val="57"/>
        </w:trPr>
        <w:tc>
          <w:tcPr>
            <w:tcW w:w="1246" w:type="dxa"/>
            <w:noWrap/>
            <w:vAlign w:val="center"/>
          </w:tcPr>
          <w:p w14:paraId="595C4758" w14:textId="1763A007" w:rsidR="00684F44" w:rsidRPr="00C01F51" w:rsidRDefault="00684F44" w:rsidP="00684F44">
            <w:pPr>
              <w:jc w:val="center"/>
            </w:pPr>
            <w:r>
              <w:lastRenderedPageBreak/>
              <w:t>2.13.</w:t>
            </w:r>
          </w:p>
        </w:tc>
        <w:tc>
          <w:tcPr>
            <w:tcW w:w="6971" w:type="dxa"/>
            <w:vAlign w:val="center"/>
          </w:tcPr>
          <w:p w14:paraId="1323A2E4" w14:textId="2C34CD39" w:rsidR="00684F44" w:rsidRPr="00C01F51" w:rsidRDefault="00684F44" w:rsidP="00684F44">
            <w:pPr>
              <w:jc w:val="both"/>
            </w:pPr>
            <w:r w:rsidRPr="009E421C">
              <w:rPr>
                <w:rFonts w:eastAsia="Calibri"/>
                <w:color w:val="000000"/>
              </w:rPr>
              <w:t>Turi būti autentifikuotos darbo sesijos palaikymas.</w:t>
            </w:r>
          </w:p>
        </w:tc>
        <w:tc>
          <w:tcPr>
            <w:tcW w:w="5958" w:type="dxa"/>
          </w:tcPr>
          <w:p w14:paraId="0735CE07" w14:textId="77777777" w:rsidR="00684F44" w:rsidRPr="00C01F51" w:rsidRDefault="00684F44" w:rsidP="00684F44"/>
        </w:tc>
      </w:tr>
      <w:tr w:rsidR="00684F44" w:rsidRPr="00C01F51" w14:paraId="65E725EE" w14:textId="362D8828" w:rsidTr="00193353">
        <w:trPr>
          <w:trHeight w:val="57"/>
        </w:trPr>
        <w:tc>
          <w:tcPr>
            <w:tcW w:w="1246" w:type="dxa"/>
            <w:noWrap/>
            <w:vAlign w:val="center"/>
          </w:tcPr>
          <w:p w14:paraId="61B43B82" w14:textId="7E79D7CC" w:rsidR="00684F44" w:rsidRPr="00C01F51" w:rsidRDefault="00684F44" w:rsidP="00684F44">
            <w:pPr>
              <w:jc w:val="center"/>
            </w:pPr>
            <w:r>
              <w:t>2.14.</w:t>
            </w:r>
          </w:p>
        </w:tc>
        <w:tc>
          <w:tcPr>
            <w:tcW w:w="6971" w:type="dxa"/>
          </w:tcPr>
          <w:p w14:paraId="0FE1D64E" w14:textId="00B1BDEE" w:rsidR="00684F44" w:rsidRPr="00C01F51" w:rsidRDefault="00684F44" w:rsidP="00684F44">
            <w:pPr>
              <w:jc w:val="both"/>
            </w:pPr>
            <w:r w:rsidRPr="009E421C">
              <w:rPr>
                <w:rFonts w:eastAsia="Calibri"/>
                <w:color w:val="000000"/>
              </w:rPr>
              <w:t>Turi būti RADIUS bei TACACS+ autentifikacijos palaikymas.</w:t>
            </w:r>
          </w:p>
        </w:tc>
        <w:tc>
          <w:tcPr>
            <w:tcW w:w="5958" w:type="dxa"/>
          </w:tcPr>
          <w:p w14:paraId="0BCD476B" w14:textId="77777777" w:rsidR="00684F44" w:rsidRPr="00C01F51" w:rsidRDefault="00684F44" w:rsidP="00684F44"/>
        </w:tc>
      </w:tr>
      <w:tr w:rsidR="00684F44" w:rsidRPr="00C01F51" w14:paraId="507D176F" w14:textId="5D398207" w:rsidTr="00EB0979">
        <w:trPr>
          <w:trHeight w:val="57"/>
        </w:trPr>
        <w:tc>
          <w:tcPr>
            <w:tcW w:w="1246" w:type="dxa"/>
            <w:noWrap/>
            <w:vAlign w:val="center"/>
          </w:tcPr>
          <w:p w14:paraId="659BBE32" w14:textId="5AB54DEF" w:rsidR="00684F44" w:rsidRPr="00C01F51" w:rsidRDefault="00684F44" w:rsidP="00684F44">
            <w:pPr>
              <w:jc w:val="center"/>
            </w:pPr>
            <w:r>
              <w:t>2.15.</w:t>
            </w:r>
          </w:p>
        </w:tc>
        <w:tc>
          <w:tcPr>
            <w:tcW w:w="6971" w:type="dxa"/>
            <w:vAlign w:val="center"/>
          </w:tcPr>
          <w:p w14:paraId="7DDADDD4" w14:textId="3DD00C1B" w:rsidR="00684F44" w:rsidRPr="00C01F51" w:rsidRDefault="00684F44" w:rsidP="00684F44">
            <w:pPr>
              <w:jc w:val="both"/>
            </w:pPr>
            <w:r w:rsidRPr="009E421C">
              <w:rPr>
                <w:rFonts w:eastAsia="Calibri"/>
                <w:color w:val="000000"/>
              </w:rPr>
              <w:t>Turi būti galimybė atlikti DoS (Denial of  Service) atakų prevenciją.</w:t>
            </w:r>
          </w:p>
        </w:tc>
        <w:tc>
          <w:tcPr>
            <w:tcW w:w="5958" w:type="dxa"/>
          </w:tcPr>
          <w:p w14:paraId="023E1C31" w14:textId="77777777" w:rsidR="00684F44" w:rsidRPr="00C01F51" w:rsidRDefault="00684F44" w:rsidP="00684F44"/>
        </w:tc>
      </w:tr>
      <w:tr w:rsidR="00684F44" w:rsidRPr="00C01F51" w14:paraId="3CE08C39" w14:textId="23CC2885" w:rsidTr="00193353">
        <w:trPr>
          <w:trHeight w:val="57"/>
        </w:trPr>
        <w:tc>
          <w:tcPr>
            <w:tcW w:w="1246" w:type="dxa"/>
            <w:noWrap/>
            <w:vAlign w:val="center"/>
          </w:tcPr>
          <w:p w14:paraId="2E77582D" w14:textId="5BB0D4FF" w:rsidR="00684F44" w:rsidRPr="00C01F51" w:rsidRDefault="00684F44" w:rsidP="00684F44">
            <w:pPr>
              <w:jc w:val="center"/>
            </w:pPr>
            <w:r>
              <w:t>2.16.</w:t>
            </w:r>
          </w:p>
        </w:tc>
        <w:tc>
          <w:tcPr>
            <w:tcW w:w="6971" w:type="dxa"/>
          </w:tcPr>
          <w:p w14:paraId="169713D5" w14:textId="716D4DEF" w:rsidR="00684F44" w:rsidRPr="00C01F51" w:rsidRDefault="00684F44" w:rsidP="00684F44">
            <w:pPr>
              <w:jc w:val="both"/>
            </w:pPr>
            <w:r w:rsidRPr="009E421C">
              <w:rPr>
                <w:rFonts w:eastAsia="Calibri"/>
                <w:color w:val="000000"/>
              </w:rPr>
              <w:t>Srauto tikrinimo pagal aplikacijų specifikacijas funkcionalumas: turi būti ne mažiau nei 4000 iš anksto numatytų pagrindinių aplikacijų.</w:t>
            </w:r>
          </w:p>
        </w:tc>
        <w:tc>
          <w:tcPr>
            <w:tcW w:w="5958" w:type="dxa"/>
          </w:tcPr>
          <w:p w14:paraId="6A3B29F1" w14:textId="77777777" w:rsidR="00684F44" w:rsidRPr="00C01F51" w:rsidRDefault="00684F44" w:rsidP="00684F44"/>
        </w:tc>
      </w:tr>
      <w:tr w:rsidR="00684F44" w:rsidRPr="00C01F51" w14:paraId="281CA3C4" w14:textId="7AC4F929" w:rsidTr="00193353">
        <w:trPr>
          <w:trHeight w:val="57"/>
        </w:trPr>
        <w:tc>
          <w:tcPr>
            <w:tcW w:w="1246" w:type="dxa"/>
            <w:noWrap/>
            <w:vAlign w:val="center"/>
          </w:tcPr>
          <w:p w14:paraId="2151D084" w14:textId="2763710B" w:rsidR="00684F44" w:rsidRPr="00C01F51" w:rsidRDefault="00684F44" w:rsidP="00684F44">
            <w:pPr>
              <w:jc w:val="center"/>
            </w:pPr>
            <w:r>
              <w:t>2.17.</w:t>
            </w:r>
          </w:p>
        </w:tc>
        <w:tc>
          <w:tcPr>
            <w:tcW w:w="6971" w:type="dxa"/>
          </w:tcPr>
          <w:p w14:paraId="09DE16C8" w14:textId="0953C53C" w:rsidR="00684F44" w:rsidRPr="00C01F51" w:rsidRDefault="00684F44" w:rsidP="00684F44">
            <w:pPr>
              <w:jc w:val="both"/>
            </w:pPr>
            <w:r>
              <w:rPr>
                <w:rFonts w:eastAsia="Calibri"/>
                <w:color w:val="000000"/>
              </w:rPr>
              <w:t>G</w:t>
            </w:r>
            <w:r w:rsidRPr="009E421C">
              <w:rPr>
                <w:rFonts w:eastAsia="Calibri"/>
                <w:color w:val="000000"/>
              </w:rPr>
              <w:t>alimybė filtruoti svetainių adresus pagal URL kategorijas. URL kategorijų skaičius – ne mažiau kaip 80.</w:t>
            </w:r>
          </w:p>
        </w:tc>
        <w:tc>
          <w:tcPr>
            <w:tcW w:w="5958" w:type="dxa"/>
          </w:tcPr>
          <w:p w14:paraId="71978856" w14:textId="77777777" w:rsidR="00684F44" w:rsidRPr="00C01F51" w:rsidRDefault="00684F44" w:rsidP="00684F44"/>
        </w:tc>
      </w:tr>
      <w:tr w:rsidR="00684F44" w:rsidRPr="00C01F51" w14:paraId="50B4947F" w14:textId="5D56418D" w:rsidTr="00193353">
        <w:trPr>
          <w:trHeight w:val="57"/>
        </w:trPr>
        <w:tc>
          <w:tcPr>
            <w:tcW w:w="1246" w:type="dxa"/>
            <w:noWrap/>
            <w:vAlign w:val="center"/>
          </w:tcPr>
          <w:p w14:paraId="7AF00753" w14:textId="3FB9EAEA" w:rsidR="00684F44" w:rsidRPr="00C01F51" w:rsidRDefault="00684F44" w:rsidP="00684F44">
            <w:pPr>
              <w:jc w:val="center"/>
            </w:pPr>
            <w:r>
              <w:t>2.18.</w:t>
            </w:r>
          </w:p>
        </w:tc>
        <w:tc>
          <w:tcPr>
            <w:tcW w:w="6971" w:type="dxa"/>
          </w:tcPr>
          <w:p w14:paraId="2C4E3E30" w14:textId="6DC24890" w:rsidR="00684F44" w:rsidRPr="00B5601C" w:rsidRDefault="00684F44" w:rsidP="00684F44">
            <w:pPr>
              <w:jc w:val="both"/>
            </w:pPr>
            <w:r w:rsidRPr="009E421C">
              <w:rPr>
                <w:rFonts w:eastAsia="Calibri"/>
                <w:color w:val="000000"/>
              </w:rPr>
              <w:t>Turi būti IPSec ir SSL VPN tunelių palaikymas.</w:t>
            </w:r>
          </w:p>
        </w:tc>
        <w:tc>
          <w:tcPr>
            <w:tcW w:w="5958" w:type="dxa"/>
          </w:tcPr>
          <w:p w14:paraId="511DB73B" w14:textId="65FEFE6A" w:rsidR="00684F44" w:rsidRPr="00B5601C" w:rsidRDefault="00684F44" w:rsidP="00684F44"/>
        </w:tc>
      </w:tr>
      <w:tr w:rsidR="00684F44" w:rsidRPr="00C01F51" w14:paraId="55C02505" w14:textId="77777777" w:rsidTr="00193353">
        <w:trPr>
          <w:trHeight w:val="57"/>
        </w:trPr>
        <w:tc>
          <w:tcPr>
            <w:tcW w:w="1246" w:type="dxa"/>
            <w:noWrap/>
            <w:vAlign w:val="center"/>
          </w:tcPr>
          <w:p w14:paraId="19639B17" w14:textId="6AAF0BC3" w:rsidR="00684F44" w:rsidRDefault="00684F44" w:rsidP="00684F44">
            <w:pPr>
              <w:jc w:val="center"/>
            </w:pPr>
            <w:r>
              <w:t>2.19.</w:t>
            </w:r>
          </w:p>
        </w:tc>
        <w:tc>
          <w:tcPr>
            <w:tcW w:w="6971" w:type="dxa"/>
          </w:tcPr>
          <w:p w14:paraId="1D417A61" w14:textId="5166BE3D" w:rsidR="00684F44" w:rsidRPr="00B5601C" w:rsidRDefault="00684F44" w:rsidP="00684F44">
            <w:pPr>
              <w:jc w:val="both"/>
            </w:pPr>
            <w:r w:rsidRPr="009E421C">
              <w:rPr>
                <w:rFonts w:eastAsia="Calibri"/>
                <w:color w:val="000000"/>
              </w:rPr>
              <w:t>Turi būti Preshared Key ir CA IPSec autentifikavimo mechanizmų palaikymas.</w:t>
            </w:r>
          </w:p>
        </w:tc>
        <w:tc>
          <w:tcPr>
            <w:tcW w:w="5958" w:type="dxa"/>
          </w:tcPr>
          <w:p w14:paraId="7400977A" w14:textId="77777777" w:rsidR="00684F44" w:rsidRPr="00B5601C" w:rsidRDefault="00684F44" w:rsidP="00684F44"/>
        </w:tc>
      </w:tr>
      <w:tr w:rsidR="00684F44" w:rsidRPr="00C01F51" w14:paraId="535E0C38" w14:textId="77777777" w:rsidTr="00EB0979">
        <w:trPr>
          <w:trHeight w:val="57"/>
        </w:trPr>
        <w:tc>
          <w:tcPr>
            <w:tcW w:w="1246" w:type="dxa"/>
            <w:noWrap/>
            <w:vAlign w:val="center"/>
          </w:tcPr>
          <w:p w14:paraId="25518CF3" w14:textId="2F43CE37" w:rsidR="00684F44" w:rsidRDefault="00684F44" w:rsidP="00684F44">
            <w:pPr>
              <w:jc w:val="center"/>
            </w:pPr>
            <w:r>
              <w:t>2.20.</w:t>
            </w:r>
          </w:p>
        </w:tc>
        <w:tc>
          <w:tcPr>
            <w:tcW w:w="6971" w:type="dxa"/>
            <w:vAlign w:val="center"/>
          </w:tcPr>
          <w:p w14:paraId="4499128E" w14:textId="6D9D02CC" w:rsidR="00684F44" w:rsidRPr="00B5601C" w:rsidRDefault="00684F44" w:rsidP="00684F44">
            <w:pPr>
              <w:jc w:val="both"/>
            </w:pPr>
            <w:r w:rsidRPr="009E421C">
              <w:rPr>
                <w:rFonts w:eastAsia="Calibri"/>
                <w:color w:val="000000"/>
              </w:rPr>
              <w:t>Pirmos raktų apsikeitimo (IKE) fazės hibridinio autentifikavimo režimo palaikymas.</w:t>
            </w:r>
          </w:p>
        </w:tc>
        <w:tc>
          <w:tcPr>
            <w:tcW w:w="5958" w:type="dxa"/>
          </w:tcPr>
          <w:p w14:paraId="3F69A7FB" w14:textId="77777777" w:rsidR="00684F44" w:rsidRPr="00B5601C" w:rsidRDefault="00684F44" w:rsidP="00684F44"/>
        </w:tc>
      </w:tr>
      <w:tr w:rsidR="00684F44" w:rsidRPr="00C01F51" w14:paraId="1C5FB8C7" w14:textId="77777777" w:rsidTr="00193353">
        <w:trPr>
          <w:trHeight w:val="57"/>
        </w:trPr>
        <w:tc>
          <w:tcPr>
            <w:tcW w:w="1246" w:type="dxa"/>
            <w:noWrap/>
            <w:vAlign w:val="center"/>
          </w:tcPr>
          <w:p w14:paraId="56BBC729" w14:textId="732E9D0C" w:rsidR="00684F44" w:rsidRDefault="00684F44" w:rsidP="00684F44">
            <w:pPr>
              <w:jc w:val="center"/>
            </w:pPr>
            <w:r>
              <w:t>2.21.</w:t>
            </w:r>
          </w:p>
        </w:tc>
        <w:tc>
          <w:tcPr>
            <w:tcW w:w="6971" w:type="dxa"/>
          </w:tcPr>
          <w:p w14:paraId="7CD45AAA" w14:textId="3B8147BE" w:rsidR="00684F44" w:rsidRPr="00B5601C" w:rsidRDefault="00684F44" w:rsidP="00684F44">
            <w:pPr>
              <w:jc w:val="both"/>
            </w:pPr>
            <w:r w:rsidRPr="009E421C">
              <w:rPr>
                <w:rFonts w:eastAsia="Calibri"/>
                <w:color w:val="000000"/>
              </w:rPr>
              <w:t>Turi būti antros raktų apsikeitimo (IKE) fazės palaikymas.</w:t>
            </w:r>
          </w:p>
        </w:tc>
        <w:tc>
          <w:tcPr>
            <w:tcW w:w="5958" w:type="dxa"/>
          </w:tcPr>
          <w:p w14:paraId="79A725BD" w14:textId="77777777" w:rsidR="00684F44" w:rsidRPr="00B5601C" w:rsidRDefault="00684F44" w:rsidP="00684F44"/>
        </w:tc>
      </w:tr>
      <w:tr w:rsidR="00684F44" w:rsidRPr="00C01F51" w14:paraId="267E9247" w14:textId="77777777" w:rsidTr="00EB0979">
        <w:trPr>
          <w:trHeight w:val="57"/>
        </w:trPr>
        <w:tc>
          <w:tcPr>
            <w:tcW w:w="1246" w:type="dxa"/>
            <w:noWrap/>
            <w:vAlign w:val="center"/>
          </w:tcPr>
          <w:p w14:paraId="403C3EBB" w14:textId="02BCCC45" w:rsidR="00684F44" w:rsidRDefault="00684F44" w:rsidP="00684F44">
            <w:pPr>
              <w:jc w:val="center"/>
            </w:pPr>
            <w:r>
              <w:t>2.22.</w:t>
            </w:r>
          </w:p>
        </w:tc>
        <w:tc>
          <w:tcPr>
            <w:tcW w:w="6971" w:type="dxa"/>
            <w:vAlign w:val="center"/>
          </w:tcPr>
          <w:p w14:paraId="623F5985" w14:textId="69AA12C5" w:rsidR="00684F44" w:rsidRPr="00B5601C" w:rsidRDefault="00684F44" w:rsidP="00684F44">
            <w:pPr>
              <w:jc w:val="both"/>
            </w:pPr>
            <w:r w:rsidRPr="009E421C">
              <w:rPr>
                <w:rFonts w:eastAsia="Calibri"/>
                <w:color w:val="000000"/>
              </w:rPr>
              <w:t>Galimybė naudoti nuotolinės prieigos VPN tunelius mobiliesiems įrenginiams.</w:t>
            </w:r>
          </w:p>
        </w:tc>
        <w:tc>
          <w:tcPr>
            <w:tcW w:w="5958" w:type="dxa"/>
          </w:tcPr>
          <w:p w14:paraId="335A33B6" w14:textId="77777777" w:rsidR="00684F44" w:rsidRPr="00B5601C" w:rsidRDefault="00684F44" w:rsidP="00684F44"/>
        </w:tc>
      </w:tr>
      <w:tr w:rsidR="00684F44" w:rsidRPr="00C01F51" w14:paraId="5A905C8D" w14:textId="77777777" w:rsidTr="00193353">
        <w:trPr>
          <w:trHeight w:val="57"/>
        </w:trPr>
        <w:tc>
          <w:tcPr>
            <w:tcW w:w="1246" w:type="dxa"/>
            <w:noWrap/>
            <w:vAlign w:val="center"/>
          </w:tcPr>
          <w:p w14:paraId="38CC1717" w14:textId="316A1D68" w:rsidR="00684F44" w:rsidRDefault="00684F44" w:rsidP="00684F44">
            <w:pPr>
              <w:jc w:val="center"/>
            </w:pPr>
            <w:r>
              <w:t>2.23.</w:t>
            </w:r>
          </w:p>
        </w:tc>
        <w:tc>
          <w:tcPr>
            <w:tcW w:w="6971" w:type="dxa"/>
          </w:tcPr>
          <w:p w14:paraId="089EA639" w14:textId="3C9F0C19" w:rsidR="00684F44" w:rsidRPr="00B5601C" w:rsidRDefault="00684F44" w:rsidP="00684F44">
            <w:pPr>
              <w:jc w:val="both"/>
            </w:pPr>
            <w:r w:rsidRPr="009E421C">
              <w:rPr>
                <w:rFonts w:eastAsia="Calibri"/>
                <w:color w:val="000000"/>
              </w:rPr>
              <w:t>Dviejų tinklų sujungimo VPN tuneliu, palaikymas (Site-to-Site VPN).</w:t>
            </w:r>
          </w:p>
        </w:tc>
        <w:tc>
          <w:tcPr>
            <w:tcW w:w="5958" w:type="dxa"/>
          </w:tcPr>
          <w:p w14:paraId="495B9C84" w14:textId="77777777" w:rsidR="00684F44" w:rsidRPr="00B5601C" w:rsidRDefault="00684F44" w:rsidP="00684F44"/>
        </w:tc>
      </w:tr>
      <w:tr w:rsidR="00684F44" w:rsidRPr="00C01F51" w14:paraId="1CEB37FE" w14:textId="77777777" w:rsidTr="00193353">
        <w:trPr>
          <w:trHeight w:val="57"/>
        </w:trPr>
        <w:tc>
          <w:tcPr>
            <w:tcW w:w="1246" w:type="dxa"/>
            <w:noWrap/>
            <w:vAlign w:val="center"/>
          </w:tcPr>
          <w:p w14:paraId="11F2891A" w14:textId="140259F9" w:rsidR="00684F44" w:rsidRDefault="00684F44" w:rsidP="00684F44">
            <w:pPr>
              <w:jc w:val="center"/>
            </w:pPr>
            <w:r>
              <w:t>2.24.</w:t>
            </w:r>
          </w:p>
        </w:tc>
        <w:tc>
          <w:tcPr>
            <w:tcW w:w="6971" w:type="dxa"/>
          </w:tcPr>
          <w:p w14:paraId="20826DCF" w14:textId="3C9FF093" w:rsidR="00684F44" w:rsidRPr="00B5601C" w:rsidRDefault="00684F44" w:rsidP="00684F44">
            <w:pPr>
              <w:jc w:val="both"/>
            </w:pPr>
            <w:r>
              <w:rPr>
                <w:rFonts w:eastAsia="Calibri"/>
                <w:color w:val="000000"/>
              </w:rPr>
              <w:t>Turi būti g</w:t>
            </w:r>
            <w:r w:rsidRPr="009E421C">
              <w:rPr>
                <w:rFonts w:eastAsia="Calibri"/>
                <w:color w:val="000000"/>
              </w:rPr>
              <w:t>alimybė palaikyti nuotolinės prieigos VPN tunelius (Remote-Access VPN).</w:t>
            </w:r>
          </w:p>
        </w:tc>
        <w:tc>
          <w:tcPr>
            <w:tcW w:w="5958" w:type="dxa"/>
          </w:tcPr>
          <w:p w14:paraId="46BB5CFD" w14:textId="77777777" w:rsidR="00684F44" w:rsidRPr="00B5601C" w:rsidRDefault="00684F44" w:rsidP="00684F44"/>
        </w:tc>
      </w:tr>
      <w:tr w:rsidR="000F6B3B" w:rsidRPr="00C01F51" w14:paraId="1FCDA9E2" w14:textId="77777777" w:rsidTr="00193353">
        <w:trPr>
          <w:trHeight w:val="57"/>
        </w:trPr>
        <w:tc>
          <w:tcPr>
            <w:tcW w:w="1246" w:type="dxa"/>
            <w:noWrap/>
            <w:vAlign w:val="center"/>
          </w:tcPr>
          <w:p w14:paraId="7A9A4406" w14:textId="14791CC2" w:rsidR="000F6B3B" w:rsidRDefault="000F6B3B" w:rsidP="000F6B3B">
            <w:pPr>
              <w:jc w:val="center"/>
            </w:pPr>
            <w:r>
              <w:t>2.25.</w:t>
            </w:r>
          </w:p>
        </w:tc>
        <w:tc>
          <w:tcPr>
            <w:tcW w:w="6971" w:type="dxa"/>
          </w:tcPr>
          <w:p w14:paraId="0B30A27A" w14:textId="2057C172" w:rsidR="000F6B3B" w:rsidRDefault="000F6B3B" w:rsidP="000F6B3B">
            <w:pPr>
              <w:jc w:val="both"/>
              <w:rPr>
                <w:rFonts w:eastAsia="Calibri"/>
                <w:color w:val="000000"/>
              </w:rPr>
            </w:pPr>
            <w:r w:rsidRPr="009E421C">
              <w:rPr>
                <w:rFonts w:eastAsia="Calibri"/>
                <w:color w:val="000000"/>
              </w:rPr>
              <w:t xml:space="preserve">Nuotolinės prieigos VPN įranga turi būti suderinama su šiomis OS: Windows </w:t>
            </w:r>
            <w:r>
              <w:rPr>
                <w:rFonts w:eastAsia="Calibri"/>
                <w:color w:val="000000"/>
              </w:rPr>
              <w:t xml:space="preserve">10 </w:t>
            </w:r>
            <w:r w:rsidRPr="009E421C">
              <w:rPr>
                <w:rFonts w:eastAsia="Calibri"/>
                <w:color w:val="000000"/>
              </w:rPr>
              <w:t xml:space="preserve">(32-bit, 64-bit) </w:t>
            </w:r>
            <w:r>
              <w:rPr>
                <w:rFonts w:eastAsia="Calibri"/>
                <w:color w:val="000000"/>
              </w:rPr>
              <w:t xml:space="preserve">ir Windows 11 </w:t>
            </w:r>
            <w:r w:rsidRPr="009E421C">
              <w:rPr>
                <w:rFonts w:eastAsia="Calibri"/>
                <w:color w:val="000000"/>
              </w:rPr>
              <w:t>operacinėmis sistemomis.</w:t>
            </w:r>
          </w:p>
        </w:tc>
        <w:tc>
          <w:tcPr>
            <w:tcW w:w="5958" w:type="dxa"/>
          </w:tcPr>
          <w:p w14:paraId="63D5E561" w14:textId="77777777" w:rsidR="000F6B3B" w:rsidRPr="00B5601C" w:rsidRDefault="000F6B3B" w:rsidP="000F6B3B"/>
        </w:tc>
      </w:tr>
      <w:tr w:rsidR="000F6B3B" w:rsidRPr="00C01F51" w14:paraId="65F0ED47" w14:textId="77777777" w:rsidTr="00193353">
        <w:trPr>
          <w:trHeight w:val="57"/>
        </w:trPr>
        <w:tc>
          <w:tcPr>
            <w:tcW w:w="1246" w:type="dxa"/>
            <w:noWrap/>
            <w:vAlign w:val="center"/>
          </w:tcPr>
          <w:p w14:paraId="5A12A06D" w14:textId="0B27C4CD" w:rsidR="000F6B3B" w:rsidRDefault="000F6B3B" w:rsidP="000F6B3B">
            <w:pPr>
              <w:jc w:val="center"/>
            </w:pPr>
            <w:r>
              <w:t>2.26.</w:t>
            </w:r>
          </w:p>
        </w:tc>
        <w:tc>
          <w:tcPr>
            <w:tcW w:w="6971" w:type="dxa"/>
          </w:tcPr>
          <w:p w14:paraId="17A14BB1" w14:textId="61A4E54A" w:rsidR="000F6B3B" w:rsidRDefault="000F6B3B" w:rsidP="000F6B3B">
            <w:pPr>
              <w:jc w:val="both"/>
              <w:rPr>
                <w:rFonts w:eastAsia="Calibri"/>
                <w:color w:val="000000"/>
              </w:rPr>
            </w:pPr>
            <w:r w:rsidRPr="009E421C">
              <w:rPr>
                <w:rFonts w:eastAsia="Calibri"/>
                <w:color w:val="000000"/>
              </w:rPr>
              <w:t>Turi būti galimybė VPN programinę įrangą sukonfigūruoti taip, kad būtų apsaugomas tik konkrečios programos srautas.</w:t>
            </w:r>
          </w:p>
        </w:tc>
        <w:tc>
          <w:tcPr>
            <w:tcW w:w="5958" w:type="dxa"/>
          </w:tcPr>
          <w:p w14:paraId="21E193D4" w14:textId="77777777" w:rsidR="000F6B3B" w:rsidRPr="00B5601C" w:rsidRDefault="000F6B3B" w:rsidP="000F6B3B"/>
        </w:tc>
      </w:tr>
      <w:tr w:rsidR="000F6B3B" w:rsidRPr="00C01F51" w14:paraId="39C36207" w14:textId="77777777" w:rsidTr="00193353">
        <w:trPr>
          <w:trHeight w:val="57"/>
        </w:trPr>
        <w:tc>
          <w:tcPr>
            <w:tcW w:w="1246" w:type="dxa"/>
            <w:noWrap/>
            <w:vAlign w:val="center"/>
          </w:tcPr>
          <w:p w14:paraId="778BDE39" w14:textId="57028125" w:rsidR="000F6B3B" w:rsidRDefault="000F6B3B" w:rsidP="000F6B3B">
            <w:pPr>
              <w:jc w:val="center"/>
            </w:pPr>
            <w:r>
              <w:t>2.27.</w:t>
            </w:r>
          </w:p>
        </w:tc>
        <w:tc>
          <w:tcPr>
            <w:tcW w:w="6971" w:type="dxa"/>
          </w:tcPr>
          <w:p w14:paraId="4BD927C5" w14:textId="0DFD2E8A" w:rsidR="000F6B3B" w:rsidRDefault="000F6B3B" w:rsidP="000F6B3B">
            <w:pPr>
              <w:jc w:val="both"/>
              <w:rPr>
                <w:rFonts w:eastAsia="Calibri"/>
                <w:color w:val="000000"/>
              </w:rPr>
            </w:pPr>
            <w:r w:rsidRPr="009E421C">
              <w:rPr>
                <w:rFonts w:eastAsia="Calibri"/>
                <w:color w:val="000000"/>
              </w:rPr>
              <w:t>Nuotolinės prieigos VPN įranga turi turėti galimybę palaikyti tokius kriptavimo algoritmus: AES-256, ESPv3 su IKEv2, 4096-bit RSA raktais, Diffie-Hellman Group 24, SHA-256, SHA-384.</w:t>
            </w:r>
          </w:p>
        </w:tc>
        <w:tc>
          <w:tcPr>
            <w:tcW w:w="5958" w:type="dxa"/>
          </w:tcPr>
          <w:p w14:paraId="64D77C2B" w14:textId="77777777" w:rsidR="000F6B3B" w:rsidRPr="00B5601C" w:rsidRDefault="000F6B3B" w:rsidP="000F6B3B"/>
        </w:tc>
      </w:tr>
      <w:tr w:rsidR="000F6B3B" w:rsidRPr="00C01F51" w14:paraId="567B330A" w14:textId="77777777" w:rsidTr="00193353">
        <w:trPr>
          <w:trHeight w:val="57"/>
        </w:trPr>
        <w:tc>
          <w:tcPr>
            <w:tcW w:w="1246" w:type="dxa"/>
            <w:noWrap/>
            <w:vAlign w:val="center"/>
          </w:tcPr>
          <w:p w14:paraId="0AF04ED1" w14:textId="1551F56A" w:rsidR="000F6B3B" w:rsidRDefault="000F6B3B" w:rsidP="000F6B3B">
            <w:pPr>
              <w:jc w:val="center"/>
            </w:pPr>
            <w:r>
              <w:t>2.28.</w:t>
            </w:r>
          </w:p>
        </w:tc>
        <w:tc>
          <w:tcPr>
            <w:tcW w:w="6971" w:type="dxa"/>
          </w:tcPr>
          <w:p w14:paraId="400C5508" w14:textId="44EF11C4" w:rsidR="000F6B3B" w:rsidRDefault="000F6B3B" w:rsidP="000F6B3B">
            <w:pPr>
              <w:jc w:val="both"/>
              <w:rPr>
                <w:rFonts w:eastAsia="Calibri"/>
                <w:color w:val="000000"/>
              </w:rPr>
            </w:pPr>
            <w:r w:rsidRPr="009E421C">
              <w:rPr>
                <w:rFonts w:eastAsia="Arial"/>
                <w:color w:val="000000"/>
              </w:rPr>
              <w:t xml:space="preserve">Turi būti </w:t>
            </w:r>
            <w:r w:rsidRPr="009E421C">
              <w:rPr>
                <w:rFonts w:eastAsia="Arial"/>
                <w:noProof/>
                <w:color w:val="000000"/>
              </w:rPr>
              <w:t xml:space="preserve">ne mažesnis nei </w:t>
            </w:r>
            <w:r>
              <w:rPr>
                <w:rFonts w:eastAsia="Arial"/>
                <w:noProof/>
                <w:color w:val="000000"/>
              </w:rPr>
              <w:t>10</w:t>
            </w:r>
            <w:r w:rsidRPr="009E421C">
              <w:rPr>
                <w:rFonts w:eastAsia="Arial"/>
                <w:noProof/>
                <w:color w:val="000000"/>
              </w:rPr>
              <w:t xml:space="preserve">00 </w:t>
            </w:r>
            <w:r w:rsidRPr="009E421C">
              <w:rPr>
                <w:rFonts w:eastAsia="Arial"/>
                <w:color w:val="000000"/>
              </w:rPr>
              <w:t>IPsec VPN „Site-to-site“ tunelių palaikymas.</w:t>
            </w:r>
          </w:p>
        </w:tc>
        <w:tc>
          <w:tcPr>
            <w:tcW w:w="5958" w:type="dxa"/>
          </w:tcPr>
          <w:p w14:paraId="3426FB15" w14:textId="77777777" w:rsidR="000F6B3B" w:rsidRPr="00B5601C" w:rsidRDefault="000F6B3B" w:rsidP="000F6B3B"/>
        </w:tc>
      </w:tr>
      <w:tr w:rsidR="000F6B3B" w:rsidRPr="00C01F51" w14:paraId="6B882485" w14:textId="77777777" w:rsidTr="00193353">
        <w:trPr>
          <w:trHeight w:val="57"/>
        </w:trPr>
        <w:tc>
          <w:tcPr>
            <w:tcW w:w="1246" w:type="dxa"/>
            <w:noWrap/>
            <w:vAlign w:val="center"/>
          </w:tcPr>
          <w:p w14:paraId="2E61B117" w14:textId="34A18B23" w:rsidR="000F6B3B" w:rsidRDefault="000F6B3B" w:rsidP="000F6B3B">
            <w:pPr>
              <w:jc w:val="center"/>
            </w:pPr>
            <w:r>
              <w:t>2.29.</w:t>
            </w:r>
          </w:p>
        </w:tc>
        <w:tc>
          <w:tcPr>
            <w:tcW w:w="6971" w:type="dxa"/>
          </w:tcPr>
          <w:p w14:paraId="74D380FD" w14:textId="2289576F" w:rsidR="000F6B3B" w:rsidRDefault="000F6B3B" w:rsidP="000F6B3B">
            <w:pPr>
              <w:jc w:val="both"/>
              <w:rPr>
                <w:rFonts w:eastAsia="Calibri"/>
                <w:color w:val="000000"/>
              </w:rPr>
            </w:pPr>
            <w:r w:rsidRPr="009E421C">
              <w:rPr>
                <w:rFonts w:eastAsia="Arial"/>
                <w:color w:val="000000"/>
              </w:rPr>
              <w:t xml:space="preserve">SSL VPN „Remote access“ tunelių palaikymas – ne mažiau </w:t>
            </w:r>
            <w:r>
              <w:rPr>
                <w:rFonts w:eastAsia="Arial"/>
                <w:color w:val="000000"/>
              </w:rPr>
              <w:t>2</w:t>
            </w:r>
            <w:r w:rsidRPr="009E421C">
              <w:rPr>
                <w:rFonts w:eastAsia="Arial"/>
                <w:color w:val="000000"/>
              </w:rPr>
              <w:t>000.</w:t>
            </w:r>
          </w:p>
        </w:tc>
        <w:tc>
          <w:tcPr>
            <w:tcW w:w="5958" w:type="dxa"/>
          </w:tcPr>
          <w:p w14:paraId="71086E9B" w14:textId="77777777" w:rsidR="000F6B3B" w:rsidRPr="00B5601C" w:rsidRDefault="000F6B3B" w:rsidP="000F6B3B"/>
        </w:tc>
      </w:tr>
      <w:tr w:rsidR="000F6B3B" w:rsidRPr="00C01F51" w14:paraId="36A7C4FD" w14:textId="77777777" w:rsidTr="00193353">
        <w:trPr>
          <w:trHeight w:val="57"/>
        </w:trPr>
        <w:tc>
          <w:tcPr>
            <w:tcW w:w="1246" w:type="dxa"/>
            <w:noWrap/>
            <w:vAlign w:val="center"/>
          </w:tcPr>
          <w:p w14:paraId="3A47B4F5" w14:textId="7A8A250F" w:rsidR="000F6B3B" w:rsidRDefault="000F6B3B" w:rsidP="000F6B3B">
            <w:pPr>
              <w:jc w:val="center"/>
            </w:pPr>
            <w:r>
              <w:t>2.30.</w:t>
            </w:r>
          </w:p>
        </w:tc>
        <w:tc>
          <w:tcPr>
            <w:tcW w:w="6971" w:type="dxa"/>
          </w:tcPr>
          <w:p w14:paraId="09EBFEE4" w14:textId="77777777" w:rsidR="000F6B3B" w:rsidRDefault="000F6B3B" w:rsidP="000F6B3B">
            <w:pPr>
              <w:jc w:val="both"/>
              <w:rPr>
                <w:rFonts w:eastAsia="Arial"/>
                <w:color w:val="000000"/>
              </w:rPr>
            </w:pPr>
            <w:r w:rsidRPr="009E421C">
              <w:rPr>
                <w:rFonts w:eastAsia="Arial"/>
                <w:color w:val="000000"/>
              </w:rPr>
              <w:t>Turi būti galimybė naudoti Pirkėjo turimas „Cisco Anyconnect Plus“ licencijas SSL VPN „Remote access“ funkcionalumo įgyvendinimui.</w:t>
            </w:r>
          </w:p>
          <w:p w14:paraId="6BF5E841" w14:textId="3D9E21D5" w:rsidR="000F6B3B" w:rsidRDefault="000F6B3B" w:rsidP="000F6B3B">
            <w:pPr>
              <w:jc w:val="both"/>
              <w:rPr>
                <w:rFonts w:eastAsia="Calibri"/>
                <w:color w:val="000000"/>
              </w:rPr>
            </w:pPr>
            <w:r>
              <w:rPr>
                <w:rFonts w:eastAsia="Arial"/>
                <w:color w:val="000000"/>
              </w:rPr>
              <w:t>Įrenginys turi būti pateiktas su atitinkama programine įranga.</w:t>
            </w:r>
          </w:p>
        </w:tc>
        <w:tc>
          <w:tcPr>
            <w:tcW w:w="5958" w:type="dxa"/>
          </w:tcPr>
          <w:p w14:paraId="53DBE9DE" w14:textId="77777777" w:rsidR="000F6B3B" w:rsidRPr="00B5601C" w:rsidRDefault="000F6B3B" w:rsidP="000F6B3B"/>
        </w:tc>
      </w:tr>
      <w:tr w:rsidR="000F6B3B" w:rsidRPr="00C01F51" w14:paraId="6737F483" w14:textId="77777777" w:rsidTr="00193353">
        <w:trPr>
          <w:trHeight w:val="57"/>
        </w:trPr>
        <w:tc>
          <w:tcPr>
            <w:tcW w:w="1246" w:type="dxa"/>
            <w:noWrap/>
            <w:vAlign w:val="center"/>
          </w:tcPr>
          <w:p w14:paraId="49BD1D2C" w14:textId="4714278F" w:rsidR="000F6B3B" w:rsidRDefault="000F6B3B" w:rsidP="000F6B3B">
            <w:pPr>
              <w:jc w:val="center"/>
            </w:pPr>
            <w:r>
              <w:t>2.31.</w:t>
            </w:r>
          </w:p>
        </w:tc>
        <w:tc>
          <w:tcPr>
            <w:tcW w:w="6971" w:type="dxa"/>
          </w:tcPr>
          <w:p w14:paraId="77150AB5" w14:textId="7684BA46" w:rsidR="000F6B3B" w:rsidRDefault="000F6B3B" w:rsidP="000F6B3B">
            <w:pPr>
              <w:jc w:val="both"/>
              <w:rPr>
                <w:rFonts w:eastAsia="Calibri"/>
                <w:color w:val="000000"/>
              </w:rPr>
            </w:pPr>
            <w:r w:rsidRPr="009E421C">
              <w:rPr>
                <w:rFonts w:eastAsia="Calibri"/>
                <w:color w:val="000000"/>
              </w:rPr>
              <w:t>Turi būti galimybė automatiškai atnaujinti kliento programinę įrangą.</w:t>
            </w:r>
          </w:p>
        </w:tc>
        <w:tc>
          <w:tcPr>
            <w:tcW w:w="5958" w:type="dxa"/>
          </w:tcPr>
          <w:p w14:paraId="7D48A6E7" w14:textId="77777777" w:rsidR="000F6B3B" w:rsidRPr="00B5601C" w:rsidRDefault="000F6B3B" w:rsidP="000F6B3B"/>
        </w:tc>
      </w:tr>
      <w:tr w:rsidR="000F6B3B" w:rsidRPr="00C01F51" w14:paraId="58E8AB13" w14:textId="77777777" w:rsidTr="00193353">
        <w:trPr>
          <w:trHeight w:val="57"/>
        </w:trPr>
        <w:tc>
          <w:tcPr>
            <w:tcW w:w="1246" w:type="dxa"/>
            <w:noWrap/>
            <w:vAlign w:val="center"/>
          </w:tcPr>
          <w:p w14:paraId="44091A37" w14:textId="4FCBD8F5" w:rsidR="000F6B3B" w:rsidRDefault="000F6B3B" w:rsidP="000F6B3B">
            <w:pPr>
              <w:jc w:val="center"/>
            </w:pPr>
            <w:r>
              <w:t>2.32.</w:t>
            </w:r>
          </w:p>
        </w:tc>
        <w:tc>
          <w:tcPr>
            <w:tcW w:w="6971" w:type="dxa"/>
          </w:tcPr>
          <w:p w14:paraId="2C3F766A" w14:textId="5CEAFDB9" w:rsidR="000F6B3B" w:rsidRDefault="000F6B3B" w:rsidP="000F6B3B">
            <w:pPr>
              <w:jc w:val="both"/>
              <w:rPr>
                <w:rFonts w:eastAsia="Calibri"/>
                <w:color w:val="000000"/>
              </w:rPr>
            </w:pPr>
            <w:r w:rsidRPr="009E421C">
              <w:rPr>
                <w:rFonts w:eastAsia="Calibri"/>
                <w:color w:val="000000"/>
              </w:rPr>
              <w:t>Naudotojų autentifikavimas naudojantis išoriniu RADIUS serveriu.</w:t>
            </w:r>
          </w:p>
        </w:tc>
        <w:tc>
          <w:tcPr>
            <w:tcW w:w="5958" w:type="dxa"/>
          </w:tcPr>
          <w:p w14:paraId="19AE9075" w14:textId="77777777" w:rsidR="000F6B3B" w:rsidRPr="00B5601C" w:rsidRDefault="000F6B3B" w:rsidP="000F6B3B"/>
        </w:tc>
      </w:tr>
      <w:tr w:rsidR="000F6B3B" w:rsidRPr="00C01F51" w14:paraId="55616042" w14:textId="77777777" w:rsidTr="005D1685">
        <w:trPr>
          <w:trHeight w:val="57"/>
        </w:trPr>
        <w:tc>
          <w:tcPr>
            <w:tcW w:w="1246" w:type="dxa"/>
            <w:noWrap/>
            <w:vAlign w:val="center"/>
          </w:tcPr>
          <w:p w14:paraId="592FA23C" w14:textId="6A72E379" w:rsidR="000F6B3B" w:rsidRDefault="000F6B3B" w:rsidP="000F6B3B">
            <w:pPr>
              <w:jc w:val="center"/>
            </w:pPr>
            <w:r>
              <w:lastRenderedPageBreak/>
              <w:t>2.33.</w:t>
            </w:r>
          </w:p>
        </w:tc>
        <w:tc>
          <w:tcPr>
            <w:tcW w:w="6971" w:type="dxa"/>
            <w:vAlign w:val="center"/>
          </w:tcPr>
          <w:p w14:paraId="136FCC17" w14:textId="3E148A6F" w:rsidR="000F6B3B" w:rsidRDefault="000F6B3B" w:rsidP="000F6B3B">
            <w:pPr>
              <w:jc w:val="both"/>
              <w:rPr>
                <w:rFonts w:eastAsia="Calibri"/>
                <w:color w:val="000000"/>
              </w:rPr>
            </w:pPr>
            <w:r w:rsidRPr="009E421C">
              <w:rPr>
                <w:rFonts w:eastAsia="Calibri"/>
                <w:color w:val="000000"/>
              </w:rPr>
              <w:t>Galimybė VLAN, IP adresą ir taisykles priskirti pagal RADIUS atributus.</w:t>
            </w:r>
          </w:p>
        </w:tc>
        <w:tc>
          <w:tcPr>
            <w:tcW w:w="5958" w:type="dxa"/>
          </w:tcPr>
          <w:p w14:paraId="42F53E3C" w14:textId="77777777" w:rsidR="000F6B3B" w:rsidRPr="00B5601C" w:rsidRDefault="000F6B3B" w:rsidP="000F6B3B"/>
        </w:tc>
      </w:tr>
      <w:tr w:rsidR="000F6B3B" w:rsidRPr="00C01F51" w14:paraId="57ECD9A0" w14:textId="77777777" w:rsidTr="00193353">
        <w:trPr>
          <w:trHeight w:val="57"/>
        </w:trPr>
        <w:tc>
          <w:tcPr>
            <w:tcW w:w="1246" w:type="dxa"/>
            <w:noWrap/>
            <w:vAlign w:val="center"/>
          </w:tcPr>
          <w:p w14:paraId="06E5AE37" w14:textId="10390848" w:rsidR="000F6B3B" w:rsidRDefault="000F6B3B" w:rsidP="000F6B3B">
            <w:pPr>
              <w:jc w:val="center"/>
            </w:pPr>
            <w:r>
              <w:t>2.34.</w:t>
            </w:r>
          </w:p>
        </w:tc>
        <w:tc>
          <w:tcPr>
            <w:tcW w:w="6971" w:type="dxa"/>
          </w:tcPr>
          <w:p w14:paraId="345922BD" w14:textId="350F9134" w:rsidR="000F6B3B" w:rsidRDefault="000F6B3B" w:rsidP="000F6B3B">
            <w:pPr>
              <w:jc w:val="both"/>
              <w:rPr>
                <w:rFonts w:eastAsia="Calibri"/>
                <w:color w:val="000000"/>
              </w:rPr>
            </w:pPr>
            <w:r w:rsidRPr="009E421C">
              <w:rPr>
                <w:rFonts w:eastAsia="Calibri"/>
                <w:color w:val="000000"/>
              </w:rPr>
              <w:t xml:space="preserve">Siūlomo įrenginio ugniasienės našumas (naudojant aplikacijų aptikimą ir IPS funkcionalumą) – ne mažiau kaip </w:t>
            </w:r>
            <w:r>
              <w:rPr>
                <w:rFonts w:eastAsia="Calibri"/>
                <w:color w:val="000000"/>
              </w:rPr>
              <w:t>8</w:t>
            </w:r>
            <w:r w:rsidRPr="009E421C">
              <w:rPr>
                <w:rFonts w:eastAsia="Calibri"/>
                <w:color w:val="000000"/>
              </w:rPr>
              <w:t xml:space="preserve"> Gbps.</w:t>
            </w:r>
          </w:p>
        </w:tc>
        <w:tc>
          <w:tcPr>
            <w:tcW w:w="5958" w:type="dxa"/>
          </w:tcPr>
          <w:p w14:paraId="5A966D52" w14:textId="77777777" w:rsidR="000F6B3B" w:rsidRPr="00B5601C" w:rsidRDefault="000F6B3B" w:rsidP="000F6B3B"/>
        </w:tc>
      </w:tr>
      <w:tr w:rsidR="000F6B3B" w:rsidRPr="00C01F51" w14:paraId="35CA16A0" w14:textId="77777777" w:rsidTr="005D1685">
        <w:trPr>
          <w:trHeight w:val="57"/>
        </w:trPr>
        <w:tc>
          <w:tcPr>
            <w:tcW w:w="1246" w:type="dxa"/>
            <w:noWrap/>
            <w:vAlign w:val="center"/>
          </w:tcPr>
          <w:p w14:paraId="65F44C1E" w14:textId="64A302CF" w:rsidR="000F6B3B" w:rsidRDefault="000F6B3B" w:rsidP="000F6B3B">
            <w:pPr>
              <w:jc w:val="center"/>
            </w:pPr>
            <w:r>
              <w:t>2.35.</w:t>
            </w:r>
          </w:p>
        </w:tc>
        <w:tc>
          <w:tcPr>
            <w:tcW w:w="6971" w:type="dxa"/>
            <w:vAlign w:val="center"/>
          </w:tcPr>
          <w:p w14:paraId="68190D29" w14:textId="3142394E" w:rsidR="000F6B3B" w:rsidRDefault="000F6B3B" w:rsidP="000F6B3B">
            <w:pPr>
              <w:jc w:val="both"/>
              <w:rPr>
                <w:rFonts w:eastAsia="Calibri"/>
                <w:color w:val="000000"/>
              </w:rPr>
            </w:pPr>
            <w:r w:rsidRPr="009E421C">
              <w:rPr>
                <w:rFonts w:eastAsia="Calibri"/>
                <w:color w:val="000000"/>
              </w:rPr>
              <w:t xml:space="preserve">Šifruoto IPSec VPN srauto našumas – ne mažiau </w:t>
            </w:r>
            <w:r>
              <w:rPr>
                <w:rFonts w:eastAsia="Calibri"/>
                <w:color w:val="000000"/>
              </w:rPr>
              <w:t>5</w:t>
            </w:r>
            <w:r w:rsidRPr="009E421C">
              <w:rPr>
                <w:rFonts w:eastAsia="Calibri"/>
                <w:color w:val="000000"/>
              </w:rPr>
              <w:t xml:space="preserve"> </w:t>
            </w:r>
            <w:r>
              <w:rPr>
                <w:rFonts w:eastAsia="Calibri"/>
                <w:color w:val="000000"/>
              </w:rPr>
              <w:t>G</w:t>
            </w:r>
            <w:r w:rsidRPr="009E421C">
              <w:rPr>
                <w:rFonts w:eastAsia="Calibri"/>
                <w:color w:val="000000"/>
              </w:rPr>
              <w:t>bps.</w:t>
            </w:r>
          </w:p>
        </w:tc>
        <w:tc>
          <w:tcPr>
            <w:tcW w:w="5958" w:type="dxa"/>
          </w:tcPr>
          <w:p w14:paraId="241ADE2C" w14:textId="77777777" w:rsidR="000F6B3B" w:rsidRPr="00B5601C" w:rsidRDefault="000F6B3B" w:rsidP="000F6B3B"/>
        </w:tc>
      </w:tr>
      <w:tr w:rsidR="000F6B3B" w:rsidRPr="00C01F51" w14:paraId="1C9159CB" w14:textId="77777777" w:rsidTr="005D1685">
        <w:trPr>
          <w:trHeight w:val="57"/>
        </w:trPr>
        <w:tc>
          <w:tcPr>
            <w:tcW w:w="1246" w:type="dxa"/>
            <w:noWrap/>
            <w:vAlign w:val="center"/>
          </w:tcPr>
          <w:p w14:paraId="512E9425" w14:textId="2F188E9E" w:rsidR="000F6B3B" w:rsidRDefault="000F6B3B" w:rsidP="000F6B3B">
            <w:pPr>
              <w:jc w:val="center"/>
            </w:pPr>
            <w:r>
              <w:t>2.36.</w:t>
            </w:r>
          </w:p>
        </w:tc>
        <w:tc>
          <w:tcPr>
            <w:tcW w:w="6971" w:type="dxa"/>
            <w:vAlign w:val="center"/>
          </w:tcPr>
          <w:p w14:paraId="02F61D5F" w14:textId="549D2EC4" w:rsidR="000F6B3B" w:rsidRDefault="000F6B3B" w:rsidP="000F6B3B">
            <w:pPr>
              <w:jc w:val="both"/>
              <w:rPr>
                <w:rFonts w:eastAsia="Calibri"/>
                <w:color w:val="000000"/>
              </w:rPr>
            </w:pPr>
            <w:r w:rsidRPr="009E421C">
              <w:rPr>
                <w:rFonts w:eastAsia="Calibri"/>
                <w:color w:val="000000"/>
              </w:rPr>
              <w:t xml:space="preserve">Vienu metu palaikomų loginių sujungimų (IP sesijų) skaičius – ne mažiau kaip 1 </w:t>
            </w:r>
            <w:r w:rsidRPr="009E421C">
              <w:rPr>
                <w:rFonts w:eastAsia="Arial"/>
                <w:noProof/>
                <w:color w:val="000000"/>
              </w:rPr>
              <w:t>800 000.</w:t>
            </w:r>
          </w:p>
        </w:tc>
        <w:tc>
          <w:tcPr>
            <w:tcW w:w="5958" w:type="dxa"/>
          </w:tcPr>
          <w:p w14:paraId="36D17564" w14:textId="77777777" w:rsidR="000F6B3B" w:rsidRPr="00B5601C" w:rsidRDefault="000F6B3B" w:rsidP="000F6B3B"/>
        </w:tc>
      </w:tr>
      <w:tr w:rsidR="000F6B3B" w:rsidRPr="00C01F51" w14:paraId="3B9EDAA7" w14:textId="77777777" w:rsidTr="00193353">
        <w:trPr>
          <w:trHeight w:val="57"/>
        </w:trPr>
        <w:tc>
          <w:tcPr>
            <w:tcW w:w="1246" w:type="dxa"/>
            <w:noWrap/>
            <w:vAlign w:val="center"/>
          </w:tcPr>
          <w:p w14:paraId="48B763BF" w14:textId="539D9B92" w:rsidR="000F6B3B" w:rsidRDefault="000F6B3B" w:rsidP="000F6B3B">
            <w:pPr>
              <w:jc w:val="center"/>
            </w:pPr>
            <w:r>
              <w:t>2.37.</w:t>
            </w:r>
          </w:p>
        </w:tc>
        <w:tc>
          <w:tcPr>
            <w:tcW w:w="6971" w:type="dxa"/>
          </w:tcPr>
          <w:p w14:paraId="3E7A758C" w14:textId="2D17EF58" w:rsidR="000F6B3B" w:rsidRDefault="000F6B3B" w:rsidP="000F6B3B">
            <w:pPr>
              <w:jc w:val="both"/>
              <w:rPr>
                <w:rFonts w:eastAsia="Calibri"/>
                <w:color w:val="000000"/>
              </w:rPr>
            </w:pPr>
            <w:r w:rsidRPr="009E421C">
              <w:rPr>
                <w:rFonts w:eastAsia="Calibri"/>
                <w:color w:val="000000"/>
              </w:rPr>
              <w:t xml:space="preserve">Naujų prisijungimų per sekundę skaičius – ne mažiau kaip </w:t>
            </w:r>
            <w:r>
              <w:rPr>
                <w:rFonts w:eastAsia="Calibri"/>
                <w:color w:val="000000"/>
              </w:rPr>
              <w:t>140</w:t>
            </w:r>
            <w:r w:rsidRPr="009E421C">
              <w:rPr>
                <w:rFonts w:eastAsia="Calibri"/>
                <w:color w:val="000000"/>
              </w:rPr>
              <w:t xml:space="preserve"> 000.</w:t>
            </w:r>
          </w:p>
        </w:tc>
        <w:tc>
          <w:tcPr>
            <w:tcW w:w="5958" w:type="dxa"/>
          </w:tcPr>
          <w:p w14:paraId="7AFC498F" w14:textId="77777777" w:rsidR="000F6B3B" w:rsidRPr="00B5601C" w:rsidRDefault="000F6B3B" w:rsidP="000F6B3B"/>
        </w:tc>
      </w:tr>
      <w:tr w:rsidR="000F6B3B" w:rsidRPr="00C01F51" w14:paraId="3DCA1343" w14:textId="77777777" w:rsidTr="005D1685">
        <w:trPr>
          <w:trHeight w:val="57"/>
        </w:trPr>
        <w:tc>
          <w:tcPr>
            <w:tcW w:w="1246" w:type="dxa"/>
            <w:noWrap/>
            <w:vAlign w:val="center"/>
          </w:tcPr>
          <w:p w14:paraId="08236A71" w14:textId="3C886D56" w:rsidR="000F6B3B" w:rsidRDefault="000F6B3B" w:rsidP="000F6B3B">
            <w:pPr>
              <w:jc w:val="center"/>
            </w:pPr>
            <w:r>
              <w:t>2.38.</w:t>
            </w:r>
          </w:p>
        </w:tc>
        <w:tc>
          <w:tcPr>
            <w:tcW w:w="6971" w:type="dxa"/>
            <w:vAlign w:val="center"/>
          </w:tcPr>
          <w:p w14:paraId="51B72234" w14:textId="0A45CA27" w:rsidR="000F6B3B" w:rsidRDefault="000F6B3B" w:rsidP="000F6B3B">
            <w:pPr>
              <w:jc w:val="both"/>
              <w:rPr>
                <w:rFonts w:eastAsia="Calibri"/>
                <w:color w:val="000000"/>
              </w:rPr>
            </w:pPr>
            <w:r w:rsidRPr="009E421C">
              <w:rPr>
                <w:rFonts w:eastAsia="Calibri"/>
                <w:color w:val="000000"/>
              </w:rPr>
              <w:t>Turi būti galimybė du vienodus įrenginius sujungti į klasterį, režimu Aktyvus/Pasyvus. Aukšto patikimumo sistema turi užtikrinti sesijų būsenos sinchronizaciją.</w:t>
            </w:r>
          </w:p>
        </w:tc>
        <w:tc>
          <w:tcPr>
            <w:tcW w:w="5958" w:type="dxa"/>
          </w:tcPr>
          <w:p w14:paraId="79A804B9" w14:textId="77777777" w:rsidR="000F6B3B" w:rsidRPr="00B5601C" w:rsidRDefault="000F6B3B" w:rsidP="000F6B3B"/>
        </w:tc>
      </w:tr>
      <w:tr w:rsidR="000F6B3B" w:rsidRPr="00C01F51" w14:paraId="6597A425" w14:textId="77777777" w:rsidTr="00193353">
        <w:trPr>
          <w:trHeight w:val="57"/>
        </w:trPr>
        <w:tc>
          <w:tcPr>
            <w:tcW w:w="1246" w:type="dxa"/>
            <w:noWrap/>
            <w:vAlign w:val="center"/>
          </w:tcPr>
          <w:p w14:paraId="2B78DEF1" w14:textId="0E22232D" w:rsidR="000F6B3B" w:rsidRDefault="000F6B3B" w:rsidP="000F6B3B">
            <w:pPr>
              <w:jc w:val="center"/>
            </w:pPr>
            <w:r>
              <w:t>2.39.</w:t>
            </w:r>
          </w:p>
        </w:tc>
        <w:tc>
          <w:tcPr>
            <w:tcW w:w="6971" w:type="dxa"/>
          </w:tcPr>
          <w:p w14:paraId="570D8E7A" w14:textId="32690313" w:rsidR="000F6B3B" w:rsidRDefault="000F6B3B" w:rsidP="000F6B3B">
            <w:pPr>
              <w:jc w:val="both"/>
              <w:rPr>
                <w:rFonts w:eastAsia="Calibri"/>
                <w:color w:val="000000"/>
              </w:rPr>
            </w:pPr>
            <w:r w:rsidRPr="009E421C">
              <w:rPr>
                <w:rFonts w:eastAsia="Arial"/>
                <w:color w:val="000000"/>
              </w:rPr>
              <w:t>Peržiūrint įvykių žurnalus, turi būti galimybė filtruoti įvykius.</w:t>
            </w:r>
          </w:p>
        </w:tc>
        <w:tc>
          <w:tcPr>
            <w:tcW w:w="5958" w:type="dxa"/>
          </w:tcPr>
          <w:p w14:paraId="3E1FD0BC" w14:textId="77777777" w:rsidR="000F6B3B" w:rsidRPr="00B5601C" w:rsidRDefault="000F6B3B" w:rsidP="000F6B3B"/>
        </w:tc>
      </w:tr>
      <w:tr w:rsidR="000F6B3B" w:rsidRPr="00C01F51" w14:paraId="60DFE101" w14:textId="77777777" w:rsidTr="00193353">
        <w:trPr>
          <w:trHeight w:val="57"/>
        </w:trPr>
        <w:tc>
          <w:tcPr>
            <w:tcW w:w="1246" w:type="dxa"/>
            <w:noWrap/>
            <w:vAlign w:val="center"/>
          </w:tcPr>
          <w:p w14:paraId="515A5672" w14:textId="16A98E86" w:rsidR="000F6B3B" w:rsidRDefault="000F6B3B" w:rsidP="000F6B3B">
            <w:pPr>
              <w:jc w:val="center"/>
            </w:pPr>
            <w:r>
              <w:t>2.40.</w:t>
            </w:r>
          </w:p>
        </w:tc>
        <w:tc>
          <w:tcPr>
            <w:tcW w:w="6971" w:type="dxa"/>
          </w:tcPr>
          <w:p w14:paraId="11B33619" w14:textId="01A7BFA1" w:rsidR="000F6B3B" w:rsidRDefault="000F6B3B" w:rsidP="000F6B3B">
            <w:pPr>
              <w:jc w:val="both"/>
              <w:rPr>
                <w:rFonts w:eastAsia="Calibri"/>
                <w:color w:val="000000"/>
              </w:rPr>
            </w:pPr>
            <w:r w:rsidRPr="009E421C">
              <w:rPr>
                <w:rFonts w:eastAsia="Calibri"/>
                <w:color w:val="000000"/>
              </w:rPr>
              <w:t>Įrenginys realiu laiku turi pateikti informaciją apie perduodamus duomenų srautus.</w:t>
            </w:r>
          </w:p>
        </w:tc>
        <w:tc>
          <w:tcPr>
            <w:tcW w:w="5958" w:type="dxa"/>
          </w:tcPr>
          <w:p w14:paraId="232F1907" w14:textId="77777777" w:rsidR="000F6B3B" w:rsidRPr="00B5601C" w:rsidRDefault="000F6B3B" w:rsidP="000F6B3B"/>
        </w:tc>
      </w:tr>
      <w:tr w:rsidR="000F6B3B" w:rsidRPr="00C01F51" w14:paraId="1885EF6B" w14:textId="77777777" w:rsidTr="00193353">
        <w:trPr>
          <w:trHeight w:val="57"/>
        </w:trPr>
        <w:tc>
          <w:tcPr>
            <w:tcW w:w="1246" w:type="dxa"/>
            <w:noWrap/>
            <w:vAlign w:val="center"/>
          </w:tcPr>
          <w:p w14:paraId="7D560A79" w14:textId="1C80A447" w:rsidR="000F6B3B" w:rsidRDefault="000F6B3B" w:rsidP="000F6B3B">
            <w:pPr>
              <w:jc w:val="center"/>
            </w:pPr>
            <w:r>
              <w:t>2.41.</w:t>
            </w:r>
          </w:p>
        </w:tc>
        <w:tc>
          <w:tcPr>
            <w:tcW w:w="6971" w:type="dxa"/>
          </w:tcPr>
          <w:p w14:paraId="68DCC1AF" w14:textId="1B6F4128" w:rsidR="000F6B3B" w:rsidRDefault="000F6B3B" w:rsidP="000F6B3B">
            <w:pPr>
              <w:jc w:val="both"/>
              <w:rPr>
                <w:rFonts w:eastAsia="Calibri"/>
                <w:color w:val="000000"/>
              </w:rPr>
            </w:pPr>
            <w:r w:rsidRPr="009E421C">
              <w:rPr>
                <w:rFonts w:eastAsia="Arial"/>
                <w:color w:val="000000"/>
              </w:rPr>
              <w:t>Turi būti galimybė nurodyti, kuriuos laukus rodyti/nerodyti peržiūrint žurnalinius įvykius.</w:t>
            </w:r>
          </w:p>
        </w:tc>
        <w:tc>
          <w:tcPr>
            <w:tcW w:w="5958" w:type="dxa"/>
          </w:tcPr>
          <w:p w14:paraId="77FF4EFB" w14:textId="77777777" w:rsidR="000F6B3B" w:rsidRPr="00B5601C" w:rsidRDefault="000F6B3B" w:rsidP="000F6B3B"/>
        </w:tc>
      </w:tr>
      <w:tr w:rsidR="000F6B3B" w:rsidRPr="00C01F51" w14:paraId="177F1629" w14:textId="77777777" w:rsidTr="00193353">
        <w:trPr>
          <w:trHeight w:val="57"/>
        </w:trPr>
        <w:tc>
          <w:tcPr>
            <w:tcW w:w="1246" w:type="dxa"/>
            <w:noWrap/>
            <w:vAlign w:val="center"/>
          </w:tcPr>
          <w:p w14:paraId="39FCCB0D" w14:textId="5DC1C1E3" w:rsidR="000F6B3B" w:rsidRDefault="000F6B3B" w:rsidP="000F6B3B">
            <w:pPr>
              <w:jc w:val="center"/>
            </w:pPr>
            <w:r>
              <w:t>2.42.</w:t>
            </w:r>
          </w:p>
        </w:tc>
        <w:tc>
          <w:tcPr>
            <w:tcW w:w="6971" w:type="dxa"/>
          </w:tcPr>
          <w:p w14:paraId="32069035" w14:textId="162361D1" w:rsidR="000F6B3B" w:rsidRDefault="000F6B3B" w:rsidP="000F6B3B">
            <w:pPr>
              <w:jc w:val="both"/>
              <w:rPr>
                <w:rFonts w:eastAsia="Calibri"/>
                <w:color w:val="000000"/>
              </w:rPr>
            </w:pPr>
            <w:r w:rsidRPr="009E421C">
              <w:rPr>
                <w:rFonts w:eastAsia="Arial"/>
                <w:color w:val="000000"/>
              </w:rPr>
              <w:t>Galimybė pateikti ataskaitas pagal šias kategorijas: vartotojus, aplikacijas, URL kategorijas, taisyklių naudojimą, top šaltinius ir paskirties vietą, bylų blokavimą, top puolėjus ir jų taikinius.</w:t>
            </w:r>
          </w:p>
        </w:tc>
        <w:tc>
          <w:tcPr>
            <w:tcW w:w="5958" w:type="dxa"/>
          </w:tcPr>
          <w:p w14:paraId="40D71CF7" w14:textId="77777777" w:rsidR="000F6B3B" w:rsidRPr="00B5601C" w:rsidRDefault="000F6B3B" w:rsidP="000F6B3B"/>
        </w:tc>
      </w:tr>
      <w:tr w:rsidR="000F6B3B" w:rsidRPr="00C01F51" w14:paraId="5361DA54" w14:textId="77777777" w:rsidTr="00193353">
        <w:trPr>
          <w:trHeight w:val="57"/>
        </w:trPr>
        <w:tc>
          <w:tcPr>
            <w:tcW w:w="1246" w:type="dxa"/>
            <w:noWrap/>
            <w:vAlign w:val="center"/>
          </w:tcPr>
          <w:p w14:paraId="0E2547C0" w14:textId="77509506" w:rsidR="000F6B3B" w:rsidRDefault="000F6B3B" w:rsidP="000F6B3B">
            <w:pPr>
              <w:jc w:val="center"/>
            </w:pPr>
            <w:r>
              <w:t>2.43.</w:t>
            </w:r>
          </w:p>
        </w:tc>
        <w:tc>
          <w:tcPr>
            <w:tcW w:w="6971" w:type="dxa"/>
          </w:tcPr>
          <w:p w14:paraId="473E3C0F" w14:textId="666C5C70" w:rsidR="000F6B3B" w:rsidRDefault="000F6B3B" w:rsidP="000F6B3B">
            <w:pPr>
              <w:jc w:val="both"/>
              <w:rPr>
                <w:rFonts w:eastAsia="Calibri"/>
                <w:color w:val="000000"/>
              </w:rPr>
            </w:pPr>
            <w:r w:rsidRPr="009E421C">
              <w:rPr>
                <w:rFonts w:eastAsia="Arial"/>
                <w:color w:val="000000"/>
              </w:rPr>
              <w:t>Turi būti galimybė rodyti ataskaitų suvestinę viename lange, iš kurio būtų galimybė detaliau peržiūrėti konkrečią ataskaitą.</w:t>
            </w:r>
          </w:p>
        </w:tc>
        <w:tc>
          <w:tcPr>
            <w:tcW w:w="5958" w:type="dxa"/>
          </w:tcPr>
          <w:p w14:paraId="3992E4D7" w14:textId="77777777" w:rsidR="000F6B3B" w:rsidRPr="00B5601C" w:rsidRDefault="000F6B3B" w:rsidP="000F6B3B"/>
        </w:tc>
      </w:tr>
      <w:tr w:rsidR="000F6B3B" w:rsidRPr="00C01F51" w14:paraId="14BE965C" w14:textId="77777777" w:rsidTr="005D1685">
        <w:trPr>
          <w:trHeight w:val="57"/>
        </w:trPr>
        <w:tc>
          <w:tcPr>
            <w:tcW w:w="1246" w:type="dxa"/>
            <w:noWrap/>
            <w:vAlign w:val="center"/>
          </w:tcPr>
          <w:p w14:paraId="7F62F4E1" w14:textId="41CA2FB4" w:rsidR="000F6B3B" w:rsidRDefault="000F6B3B" w:rsidP="000F6B3B">
            <w:pPr>
              <w:jc w:val="center"/>
            </w:pPr>
            <w:r>
              <w:t>2.44.</w:t>
            </w:r>
          </w:p>
        </w:tc>
        <w:tc>
          <w:tcPr>
            <w:tcW w:w="6971" w:type="dxa"/>
            <w:vAlign w:val="center"/>
          </w:tcPr>
          <w:p w14:paraId="12594F6E" w14:textId="66231E26" w:rsidR="000F6B3B" w:rsidRDefault="000F6B3B" w:rsidP="000F6B3B">
            <w:pPr>
              <w:jc w:val="both"/>
              <w:rPr>
                <w:rFonts w:eastAsia="Calibri"/>
                <w:color w:val="000000"/>
              </w:rPr>
            </w:pPr>
            <w:r w:rsidRPr="009E421C">
              <w:rPr>
                <w:rFonts w:eastAsia="Arial"/>
                <w:color w:val="000000"/>
              </w:rPr>
              <w:t>Turi būti galimybę parinkti numatytą laiko tarpą, už kokį laikotarpį atvaizduoti ataskaitą. Turi būti galimybė nurodyti savo pasirinktą laiko periodą.</w:t>
            </w:r>
          </w:p>
        </w:tc>
        <w:tc>
          <w:tcPr>
            <w:tcW w:w="5958" w:type="dxa"/>
          </w:tcPr>
          <w:p w14:paraId="0748F3D3" w14:textId="77777777" w:rsidR="000F6B3B" w:rsidRPr="00B5601C" w:rsidRDefault="000F6B3B" w:rsidP="000F6B3B"/>
        </w:tc>
      </w:tr>
      <w:tr w:rsidR="000F6B3B" w:rsidRPr="00C01F51" w14:paraId="2BE72FD6" w14:textId="77777777" w:rsidTr="00193353">
        <w:trPr>
          <w:trHeight w:val="57"/>
        </w:trPr>
        <w:tc>
          <w:tcPr>
            <w:tcW w:w="1246" w:type="dxa"/>
            <w:noWrap/>
            <w:vAlign w:val="center"/>
          </w:tcPr>
          <w:p w14:paraId="745080C6" w14:textId="50738780" w:rsidR="000F6B3B" w:rsidRDefault="000F6B3B" w:rsidP="000F6B3B">
            <w:pPr>
              <w:jc w:val="center"/>
            </w:pPr>
            <w:r>
              <w:t>2.45.</w:t>
            </w:r>
          </w:p>
        </w:tc>
        <w:tc>
          <w:tcPr>
            <w:tcW w:w="6971" w:type="dxa"/>
          </w:tcPr>
          <w:p w14:paraId="4F69174D" w14:textId="6C4877B6" w:rsidR="000F6B3B" w:rsidRDefault="000F6B3B" w:rsidP="000F6B3B">
            <w:pPr>
              <w:jc w:val="both"/>
              <w:rPr>
                <w:rFonts w:eastAsia="Calibri"/>
                <w:color w:val="000000"/>
              </w:rPr>
            </w:pPr>
            <w:r w:rsidRPr="009E421C">
              <w:rPr>
                <w:rFonts w:eastAsia="Arial"/>
                <w:noProof/>
                <w:color w:val="000000"/>
              </w:rPr>
              <w:t>Siūlomas įrenginys turi turėti valdymo aplinką, pasiekiamą nuotoliniu būdu per naršyklę.</w:t>
            </w:r>
          </w:p>
        </w:tc>
        <w:tc>
          <w:tcPr>
            <w:tcW w:w="5958" w:type="dxa"/>
          </w:tcPr>
          <w:p w14:paraId="0DAFCA0E" w14:textId="77777777" w:rsidR="000F6B3B" w:rsidRPr="00B5601C" w:rsidRDefault="000F6B3B" w:rsidP="000F6B3B"/>
        </w:tc>
      </w:tr>
      <w:tr w:rsidR="000F6B3B" w:rsidRPr="00C01F51" w14:paraId="7C263CA8" w14:textId="77777777" w:rsidTr="00193353">
        <w:trPr>
          <w:trHeight w:val="57"/>
        </w:trPr>
        <w:tc>
          <w:tcPr>
            <w:tcW w:w="1246" w:type="dxa"/>
            <w:noWrap/>
            <w:vAlign w:val="center"/>
          </w:tcPr>
          <w:p w14:paraId="4700FF35" w14:textId="3D5D84C9" w:rsidR="000F6B3B" w:rsidRDefault="000F6B3B" w:rsidP="000F6B3B">
            <w:pPr>
              <w:jc w:val="center"/>
            </w:pPr>
            <w:r>
              <w:t>2.46.</w:t>
            </w:r>
          </w:p>
        </w:tc>
        <w:tc>
          <w:tcPr>
            <w:tcW w:w="6971" w:type="dxa"/>
          </w:tcPr>
          <w:p w14:paraId="0C4B79C9" w14:textId="33256E24" w:rsidR="000F6B3B" w:rsidRDefault="000F6B3B" w:rsidP="000F6B3B">
            <w:pPr>
              <w:jc w:val="both"/>
              <w:rPr>
                <w:rFonts w:eastAsia="Calibri"/>
                <w:color w:val="000000"/>
              </w:rPr>
            </w:pPr>
            <w:r w:rsidRPr="009E421C">
              <w:rPr>
                <w:rFonts w:eastAsia="Arial"/>
                <w:noProof/>
                <w:color w:val="000000"/>
              </w:rPr>
              <w:t>Turi būti galimybė valdyti įrenginį per centralizuotą programinę valdymo konsolę. Centralizuota programinė valdymo konsolė turi turėti galimybę integruotis su kitomis tinklo priemonėmis per API.</w:t>
            </w:r>
          </w:p>
        </w:tc>
        <w:tc>
          <w:tcPr>
            <w:tcW w:w="5958" w:type="dxa"/>
          </w:tcPr>
          <w:p w14:paraId="468BCC37" w14:textId="77777777" w:rsidR="000F6B3B" w:rsidRPr="00B5601C" w:rsidRDefault="000F6B3B" w:rsidP="000F6B3B"/>
        </w:tc>
      </w:tr>
      <w:tr w:rsidR="000F6B3B" w:rsidRPr="00C01F51" w14:paraId="4FFDEC6B" w14:textId="77777777" w:rsidTr="00193353">
        <w:trPr>
          <w:trHeight w:val="57"/>
        </w:trPr>
        <w:tc>
          <w:tcPr>
            <w:tcW w:w="1246" w:type="dxa"/>
            <w:noWrap/>
            <w:vAlign w:val="center"/>
          </w:tcPr>
          <w:p w14:paraId="7AEBEF15" w14:textId="153C3E21" w:rsidR="000F6B3B" w:rsidRDefault="000F6B3B" w:rsidP="000F6B3B">
            <w:pPr>
              <w:jc w:val="center"/>
            </w:pPr>
            <w:r>
              <w:t>2.47.</w:t>
            </w:r>
          </w:p>
        </w:tc>
        <w:tc>
          <w:tcPr>
            <w:tcW w:w="6971" w:type="dxa"/>
          </w:tcPr>
          <w:p w14:paraId="483FF3BC" w14:textId="3DFF19A5" w:rsidR="000F6B3B" w:rsidRDefault="000F6B3B" w:rsidP="000F6B3B">
            <w:pPr>
              <w:jc w:val="both"/>
              <w:rPr>
                <w:rFonts w:eastAsia="Calibri"/>
                <w:color w:val="000000"/>
              </w:rPr>
            </w:pPr>
            <w:r w:rsidRPr="009E421C">
              <w:rPr>
                <w:rFonts w:eastAsia="Arial"/>
                <w:noProof/>
                <w:color w:val="000000"/>
              </w:rPr>
              <w:t>Siūlomas įrenginys turi turėti valdymą iš komandinės eilutės (CLI).</w:t>
            </w:r>
          </w:p>
        </w:tc>
        <w:tc>
          <w:tcPr>
            <w:tcW w:w="5958" w:type="dxa"/>
          </w:tcPr>
          <w:p w14:paraId="58765DEB" w14:textId="77777777" w:rsidR="000F6B3B" w:rsidRPr="00B5601C" w:rsidRDefault="000F6B3B" w:rsidP="000F6B3B"/>
        </w:tc>
      </w:tr>
      <w:tr w:rsidR="000F6B3B" w:rsidRPr="00C01F51" w14:paraId="3D111E04" w14:textId="77777777" w:rsidTr="00193353">
        <w:trPr>
          <w:trHeight w:val="57"/>
        </w:trPr>
        <w:tc>
          <w:tcPr>
            <w:tcW w:w="1246" w:type="dxa"/>
            <w:noWrap/>
            <w:vAlign w:val="center"/>
          </w:tcPr>
          <w:p w14:paraId="3EACA3D3" w14:textId="6F51729A" w:rsidR="000F6B3B" w:rsidRDefault="000F6B3B" w:rsidP="000F6B3B">
            <w:pPr>
              <w:jc w:val="center"/>
            </w:pPr>
            <w:r>
              <w:t>2.48.</w:t>
            </w:r>
          </w:p>
        </w:tc>
        <w:tc>
          <w:tcPr>
            <w:tcW w:w="6971" w:type="dxa"/>
          </w:tcPr>
          <w:p w14:paraId="0015A0F6" w14:textId="7E879C1D" w:rsidR="000F6B3B" w:rsidRDefault="000F6B3B" w:rsidP="000F6B3B">
            <w:pPr>
              <w:jc w:val="both"/>
              <w:rPr>
                <w:rFonts w:eastAsia="Calibri"/>
                <w:color w:val="000000"/>
              </w:rPr>
            </w:pPr>
            <w:r w:rsidRPr="009E421C">
              <w:rPr>
                <w:rFonts w:eastAsia="Arial"/>
                <w:noProof/>
                <w:color w:val="000000"/>
              </w:rPr>
              <w:t>Siūlomas įrenginys turi palaikyti SNMPv3 protokolą.</w:t>
            </w:r>
          </w:p>
        </w:tc>
        <w:tc>
          <w:tcPr>
            <w:tcW w:w="5958" w:type="dxa"/>
          </w:tcPr>
          <w:p w14:paraId="58CC9F89" w14:textId="77777777" w:rsidR="000F6B3B" w:rsidRPr="00B5601C" w:rsidRDefault="000F6B3B" w:rsidP="000F6B3B"/>
        </w:tc>
      </w:tr>
      <w:tr w:rsidR="000F6B3B" w:rsidRPr="00C01F51" w14:paraId="7F3D09D3" w14:textId="77777777" w:rsidTr="00193353">
        <w:trPr>
          <w:trHeight w:val="57"/>
        </w:trPr>
        <w:tc>
          <w:tcPr>
            <w:tcW w:w="1246" w:type="dxa"/>
            <w:noWrap/>
            <w:vAlign w:val="center"/>
          </w:tcPr>
          <w:p w14:paraId="70CA7A3A" w14:textId="148DC2BD" w:rsidR="000F6B3B" w:rsidRDefault="000F6B3B" w:rsidP="000F6B3B">
            <w:pPr>
              <w:jc w:val="center"/>
            </w:pPr>
            <w:r>
              <w:lastRenderedPageBreak/>
              <w:t>2.49.</w:t>
            </w:r>
          </w:p>
        </w:tc>
        <w:tc>
          <w:tcPr>
            <w:tcW w:w="6971" w:type="dxa"/>
          </w:tcPr>
          <w:p w14:paraId="22BFFA49" w14:textId="4834D5DA" w:rsidR="000F6B3B" w:rsidRDefault="000F6B3B" w:rsidP="000F6B3B">
            <w:pPr>
              <w:jc w:val="both"/>
              <w:rPr>
                <w:rFonts w:eastAsia="Calibri"/>
                <w:color w:val="000000"/>
              </w:rPr>
            </w:pPr>
            <w:r w:rsidRPr="009E421C">
              <w:rPr>
                <w:rFonts w:eastAsia="Arial"/>
                <w:noProof/>
                <w:color w:val="000000"/>
              </w:rPr>
              <w:t>Siūlomas įrenginys turi turėti galimybę saugoti daugiau nei vieną konfigūracjos versiją vienu metu. Turi būti galimybė nustatyti automatinį konfigūracijos kopijos darymą.</w:t>
            </w:r>
          </w:p>
        </w:tc>
        <w:tc>
          <w:tcPr>
            <w:tcW w:w="5958" w:type="dxa"/>
          </w:tcPr>
          <w:p w14:paraId="39F175B2" w14:textId="77777777" w:rsidR="000F6B3B" w:rsidRPr="00B5601C" w:rsidRDefault="000F6B3B" w:rsidP="000F6B3B"/>
        </w:tc>
      </w:tr>
      <w:tr w:rsidR="000F6B3B" w:rsidRPr="00C01F51" w14:paraId="552D24E3" w14:textId="77777777" w:rsidTr="00193353">
        <w:trPr>
          <w:trHeight w:val="57"/>
        </w:trPr>
        <w:tc>
          <w:tcPr>
            <w:tcW w:w="1246" w:type="dxa"/>
            <w:noWrap/>
            <w:vAlign w:val="center"/>
          </w:tcPr>
          <w:p w14:paraId="48977376" w14:textId="39C9AE66" w:rsidR="000F6B3B" w:rsidRDefault="000F6B3B" w:rsidP="000F6B3B">
            <w:pPr>
              <w:jc w:val="center"/>
            </w:pPr>
            <w:r>
              <w:t>2.50.</w:t>
            </w:r>
          </w:p>
        </w:tc>
        <w:tc>
          <w:tcPr>
            <w:tcW w:w="6971" w:type="dxa"/>
          </w:tcPr>
          <w:p w14:paraId="75354E81" w14:textId="2DFCE4C3" w:rsidR="000F6B3B" w:rsidRDefault="000F6B3B" w:rsidP="000F6B3B">
            <w:pPr>
              <w:jc w:val="both"/>
              <w:rPr>
                <w:rFonts w:eastAsia="Calibri"/>
                <w:color w:val="000000"/>
              </w:rPr>
            </w:pPr>
            <w:r w:rsidRPr="009E421C">
              <w:rPr>
                <w:rFonts w:eastAsia="Arial"/>
                <w:noProof/>
                <w:color w:val="000000"/>
              </w:rPr>
              <w:t>Siūlomas įrenginys turi šifruoti ryšį tarp įrenginio ir valdančiojo kompiuterio.</w:t>
            </w:r>
          </w:p>
        </w:tc>
        <w:tc>
          <w:tcPr>
            <w:tcW w:w="5958" w:type="dxa"/>
          </w:tcPr>
          <w:p w14:paraId="1911A67F" w14:textId="77777777" w:rsidR="000F6B3B" w:rsidRPr="00B5601C" w:rsidRDefault="000F6B3B" w:rsidP="000F6B3B"/>
        </w:tc>
      </w:tr>
      <w:tr w:rsidR="000F6B3B" w:rsidRPr="00C01F51" w14:paraId="646829D8" w14:textId="77777777" w:rsidTr="00193353">
        <w:trPr>
          <w:trHeight w:val="57"/>
        </w:trPr>
        <w:tc>
          <w:tcPr>
            <w:tcW w:w="1246" w:type="dxa"/>
            <w:noWrap/>
            <w:vAlign w:val="center"/>
          </w:tcPr>
          <w:p w14:paraId="09EDF582" w14:textId="42278968" w:rsidR="000F6B3B" w:rsidRDefault="000F6B3B" w:rsidP="000F6B3B">
            <w:pPr>
              <w:jc w:val="center"/>
            </w:pPr>
            <w:r>
              <w:t>2.51.</w:t>
            </w:r>
          </w:p>
        </w:tc>
        <w:tc>
          <w:tcPr>
            <w:tcW w:w="6971" w:type="dxa"/>
          </w:tcPr>
          <w:p w14:paraId="08F03361" w14:textId="59E0DB23" w:rsidR="000F6B3B" w:rsidRDefault="000F6B3B" w:rsidP="000F6B3B">
            <w:pPr>
              <w:jc w:val="both"/>
              <w:rPr>
                <w:rFonts w:eastAsia="Calibri"/>
                <w:color w:val="000000"/>
              </w:rPr>
            </w:pPr>
            <w:r w:rsidRPr="007A5E0A">
              <w:rPr>
                <w:rFonts w:eastAsia="Arial"/>
                <w:color w:val="000000"/>
              </w:rPr>
              <w:t>Ugniasienės funkcijos. Kuriant ugniasienės saugumo taisykles turi būti galimybė nurodyti siuntėją, gavėją, servisą/prievadą, programą, URL kategoriją, vartotoją ar vartotojų grupę, taikomas apsaugos priemones, žurnalinių įvykių užfiksavimo ir persiuntimo parametrus.</w:t>
            </w:r>
          </w:p>
        </w:tc>
        <w:tc>
          <w:tcPr>
            <w:tcW w:w="5958" w:type="dxa"/>
          </w:tcPr>
          <w:p w14:paraId="01EFB7BB" w14:textId="77777777" w:rsidR="000F6B3B" w:rsidRPr="00B5601C" w:rsidRDefault="000F6B3B" w:rsidP="000F6B3B"/>
        </w:tc>
      </w:tr>
      <w:tr w:rsidR="000F6B3B" w:rsidRPr="00C01F51" w14:paraId="05F57894" w14:textId="77777777" w:rsidTr="00193353">
        <w:trPr>
          <w:trHeight w:val="57"/>
        </w:trPr>
        <w:tc>
          <w:tcPr>
            <w:tcW w:w="1246" w:type="dxa"/>
            <w:noWrap/>
            <w:vAlign w:val="center"/>
          </w:tcPr>
          <w:p w14:paraId="53C3D78E" w14:textId="6318F337" w:rsidR="000F6B3B" w:rsidRDefault="000F6B3B" w:rsidP="000F6B3B">
            <w:pPr>
              <w:jc w:val="center"/>
            </w:pPr>
            <w:r>
              <w:t>2.52.</w:t>
            </w:r>
          </w:p>
        </w:tc>
        <w:tc>
          <w:tcPr>
            <w:tcW w:w="6971" w:type="dxa"/>
          </w:tcPr>
          <w:p w14:paraId="1B314ABD" w14:textId="2243C6CD" w:rsidR="000F6B3B" w:rsidRDefault="000F6B3B" w:rsidP="000F6B3B">
            <w:pPr>
              <w:jc w:val="both"/>
              <w:rPr>
                <w:rFonts w:eastAsia="Calibri"/>
                <w:color w:val="000000"/>
              </w:rPr>
            </w:pPr>
            <w:r w:rsidRPr="007A5E0A">
              <w:rPr>
                <w:rFonts w:eastAsia="Arial"/>
                <w:color w:val="000000"/>
              </w:rPr>
              <w:t>Turi būti galimybė suteikti vartotojams prieigą prie programų nepriklausomai nuo to kokiais TCP, UDP prievadais programos veikia.</w:t>
            </w:r>
          </w:p>
        </w:tc>
        <w:tc>
          <w:tcPr>
            <w:tcW w:w="5958" w:type="dxa"/>
          </w:tcPr>
          <w:p w14:paraId="4D0CFA91" w14:textId="77777777" w:rsidR="000F6B3B" w:rsidRPr="00B5601C" w:rsidRDefault="000F6B3B" w:rsidP="000F6B3B"/>
        </w:tc>
      </w:tr>
      <w:tr w:rsidR="000F6B3B" w:rsidRPr="00C01F51" w14:paraId="0E85AA73" w14:textId="77777777" w:rsidTr="00193353">
        <w:trPr>
          <w:trHeight w:val="57"/>
        </w:trPr>
        <w:tc>
          <w:tcPr>
            <w:tcW w:w="1246" w:type="dxa"/>
            <w:noWrap/>
            <w:vAlign w:val="center"/>
          </w:tcPr>
          <w:p w14:paraId="782FCB97" w14:textId="3CD12B55" w:rsidR="000F6B3B" w:rsidRDefault="000F6B3B" w:rsidP="000F6B3B">
            <w:pPr>
              <w:jc w:val="center"/>
            </w:pPr>
            <w:r>
              <w:t>2.53.</w:t>
            </w:r>
          </w:p>
        </w:tc>
        <w:tc>
          <w:tcPr>
            <w:tcW w:w="6971" w:type="dxa"/>
          </w:tcPr>
          <w:p w14:paraId="5CA24562" w14:textId="1D2E6E55" w:rsidR="000F6B3B" w:rsidRDefault="000F6B3B" w:rsidP="000F6B3B">
            <w:pPr>
              <w:jc w:val="both"/>
              <w:rPr>
                <w:rFonts w:eastAsia="Calibri"/>
                <w:color w:val="000000"/>
              </w:rPr>
            </w:pPr>
            <w:r w:rsidRPr="009E421C">
              <w:rPr>
                <w:rFonts w:eastAsia="Arial"/>
                <w:color w:val="000000"/>
              </w:rPr>
              <w:t>Turi būti galimybė nurodyti prie kokių programų vartotojui leidžiama jungtis, o prie kokių neleidžiama, net jei programos dirba tais pačiais TCP, UDP prievadais.</w:t>
            </w:r>
          </w:p>
        </w:tc>
        <w:tc>
          <w:tcPr>
            <w:tcW w:w="5958" w:type="dxa"/>
          </w:tcPr>
          <w:p w14:paraId="584C9F3C" w14:textId="77777777" w:rsidR="000F6B3B" w:rsidRPr="00B5601C" w:rsidRDefault="000F6B3B" w:rsidP="000F6B3B"/>
        </w:tc>
      </w:tr>
      <w:tr w:rsidR="000F6B3B" w:rsidRPr="00C01F51" w14:paraId="23BABCD6" w14:textId="77777777" w:rsidTr="00193353">
        <w:trPr>
          <w:trHeight w:val="57"/>
        </w:trPr>
        <w:tc>
          <w:tcPr>
            <w:tcW w:w="1246" w:type="dxa"/>
            <w:noWrap/>
            <w:vAlign w:val="center"/>
          </w:tcPr>
          <w:p w14:paraId="1CA9DF8C" w14:textId="52AF93F1" w:rsidR="000F6B3B" w:rsidRDefault="000F6B3B" w:rsidP="000F6B3B">
            <w:pPr>
              <w:jc w:val="center"/>
            </w:pPr>
            <w:r>
              <w:t>2.54.</w:t>
            </w:r>
          </w:p>
        </w:tc>
        <w:tc>
          <w:tcPr>
            <w:tcW w:w="6971" w:type="dxa"/>
          </w:tcPr>
          <w:p w14:paraId="3BF1CD22" w14:textId="194B6DC6" w:rsidR="000F6B3B" w:rsidRDefault="000F6B3B" w:rsidP="000F6B3B">
            <w:pPr>
              <w:jc w:val="both"/>
              <w:rPr>
                <w:rFonts w:eastAsia="Calibri"/>
                <w:color w:val="000000"/>
              </w:rPr>
            </w:pPr>
            <w:r w:rsidRPr="009E421C">
              <w:rPr>
                <w:rFonts w:eastAsia="Arial"/>
                <w:color w:val="000000"/>
              </w:rPr>
              <w:t>Įrenginys turi nustatyti vartotojų tapatybę, neprašydamas suvesti vartotojo vardo ir slaptažodžio, o pasinaudodamas jau esamomis tinklo paslaugomis, pvz., Active Directory arba programinės įrangos (agento) pagalba.</w:t>
            </w:r>
          </w:p>
        </w:tc>
        <w:tc>
          <w:tcPr>
            <w:tcW w:w="5958" w:type="dxa"/>
          </w:tcPr>
          <w:p w14:paraId="465771EF" w14:textId="77777777" w:rsidR="000F6B3B" w:rsidRPr="00B5601C" w:rsidRDefault="000F6B3B" w:rsidP="000F6B3B"/>
        </w:tc>
      </w:tr>
      <w:tr w:rsidR="000F6B3B" w:rsidRPr="00C01F51" w14:paraId="2E468BE9" w14:textId="77777777" w:rsidTr="00193353">
        <w:trPr>
          <w:trHeight w:val="57"/>
        </w:trPr>
        <w:tc>
          <w:tcPr>
            <w:tcW w:w="1246" w:type="dxa"/>
            <w:noWrap/>
            <w:vAlign w:val="center"/>
          </w:tcPr>
          <w:p w14:paraId="79285299" w14:textId="1E31D23A" w:rsidR="000F6B3B" w:rsidRDefault="000F6B3B" w:rsidP="000F6B3B">
            <w:pPr>
              <w:jc w:val="center"/>
            </w:pPr>
            <w:r>
              <w:t>2.55.</w:t>
            </w:r>
          </w:p>
        </w:tc>
        <w:tc>
          <w:tcPr>
            <w:tcW w:w="6971" w:type="dxa"/>
          </w:tcPr>
          <w:p w14:paraId="1AF5C1D4" w14:textId="7DBF15EC" w:rsidR="000F6B3B" w:rsidRDefault="000F6B3B" w:rsidP="000F6B3B">
            <w:pPr>
              <w:jc w:val="both"/>
              <w:rPr>
                <w:rFonts w:eastAsia="Calibri"/>
                <w:color w:val="000000"/>
              </w:rPr>
            </w:pPr>
            <w:r w:rsidRPr="009E421C">
              <w:rPr>
                <w:rFonts w:eastAsia="Arial"/>
                <w:color w:val="000000"/>
              </w:rPr>
              <w:t>Turi būti galimybė kontroliuoti perduodamas bylas. Įrenginys turi atpažinti ne mažiau kaip 80 bylų tipų. Turi būti galimybė įrenginyje sugeneruoti konkrečios bylos SHA kontrolinę sumą, pagal kurią įrenginys aptiktų ir pritaikytų atitinkamus veiksmus dokumentui.</w:t>
            </w:r>
          </w:p>
        </w:tc>
        <w:tc>
          <w:tcPr>
            <w:tcW w:w="5958" w:type="dxa"/>
          </w:tcPr>
          <w:p w14:paraId="61199A6F" w14:textId="77777777" w:rsidR="000F6B3B" w:rsidRPr="00B5601C" w:rsidRDefault="000F6B3B" w:rsidP="000F6B3B"/>
        </w:tc>
      </w:tr>
      <w:tr w:rsidR="000F6B3B" w:rsidRPr="00C01F51" w14:paraId="146A8BB5" w14:textId="77777777" w:rsidTr="00193353">
        <w:trPr>
          <w:trHeight w:val="57"/>
        </w:trPr>
        <w:tc>
          <w:tcPr>
            <w:tcW w:w="1246" w:type="dxa"/>
            <w:noWrap/>
            <w:vAlign w:val="center"/>
          </w:tcPr>
          <w:p w14:paraId="7B9E5C5A" w14:textId="41CAB4FD" w:rsidR="000F6B3B" w:rsidRDefault="000F6B3B" w:rsidP="000F6B3B">
            <w:pPr>
              <w:jc w:val="center"/>
            </w:pPr>
            <w:r>
              <w:t>2.56.</w:t>
            </w:r>
          </w:p>
        </w:tc>
        <w:tc>
          <w:tcPr>
            <w:tcW w:w="6971" w:type="dxa"/>
          </w:tcPr>
          <w:p w14:paraId="0549E5E8" w14:textId="26B90C80" w:rsidR="000F6B3B" w:rsidRDefault="000F6B3B" w:rsidP="000F6B3B">
            <w:pPr>
              <w:jc w:val="both"/>
              <w:rPr>
                <w:rFonts w:eastAsia="Calibri"/>
                <w:color w:val="000000"/>
              </w:rPr>
            </w:pPr>
            <w:r w:rsidRPr="009E421C">
              <w:rPr>
                <w:rFonts w:eastAsia="Arial"/>
                <w:color w:val="000000"/>
              </w:rPr>
              <w:t>Turi palaikyti DHCP tarnybinės stoties, ir DHCP Relay funkcijas.</w:t>
            </w:r>
          </w:p>
        </w:tc>
        <w:tc>
          <w:tcPr>
            <w:tcW w:w="5958" w:type="dxa"/>
          </w:tcPr>
          <w:p w14:paraId="7F059679" w14:textId="77777777" w:rsidR="000F6B3B" w:rsidRPr="00B5601C" w:rsidRDefault="000F6B3B" w:rsidP="000F6B3B"/>
        </w:tc>
      </w:tr>
      <w:tr w:rsidR="000F6B3B" w:rsidRPr="00C01F51" w14:paraId="551F59CC" w14:textId="77777777" w:rsidTr="00193353">
        <w:trPr>
          <w:trHeight w:val="57"/>
        </w:trPr>
        <w:tc>
          <w:tcPr>
            <w:tcW w:w="1246" w:type="dxa"/>
            <w:noWrap/>
            <w:vAlign w:val="center"/>
          </w:tcPr>
          <w:p w14:paraId="7BA0BF4A" w14:textId="5751715F" w:rsidR="000F6B3B" w:rsidRDefault="000F6B3B" w:rsidP="000F6B3B">
            <w:pPr>
              <w:jc w:val="center"/>
            </w:pPr>
            <w:r>
              <w:t>2.57.</w:t>
            </w:r>
          </w:p>
        </w:tc>
        <w:tc>
          <w:tcPr>
            <w:tcW w:w="6971" w:type="dxa"/>
          </w:tcPr>
          <w:p w14:paraId="60D77A3C" w14:textId="24215774" w:rsidR="000F6B3B" w:rsidRDefault="000F6B3B" w:rsidP="000F6B3B">
            <w:pPr>
              <w:jc w:val="both"/>
              <w:rPr>
                <w:rFonts w:eastAsia="Calibri"/>
                <w:color w:val="000000"/>
              </w:rPr>
            </w:pPr>
            <w:r w:rsidRPr="009E421C">
              <w:rPr>
                <w:rFonts w:eastAsia="Arial"/>
                <w:color w:val="000000"/>
              </w:rPr>
              <w:t>Turi būti ne mažesnis nei 1000 virtualiųjų prievadų (VLAN) palaikymas.</w:t>
            </w:r>
          </w:p>
        </w:tc>
        <w:tc>
          <w:tcPr>
            <w:tcW w:w="5958" w:type="dxa"/>
          </w:tcPr>
          <w:p w14:paraId="45792F7B" w14:textId="77777777" w:rsidR="000F6B3B" w:rsidRPr="00B5601C" w:rsidRDefault="000F6B3B" w:rsidP="000F6B3B"/>
        </w:tc>
      </w:tr>
      <w:tr w:rsidR="000F6B3B" w:rsidRPr="00C01F51" w14:paraId="1A68D47C" w14:textId="77777777" w:rsidTr="00193353">
        <w:trPr>
          <w:trHeight w:val="57"/>
        </w:trPr>
        <w:tc>
          <w:tcPr>
            <w:tcW w:w="1246" w:type="dxa"/>
            <w:noWrap/>
            <w:vAlign w:val="center"/>
          </w:tcPr>
          <w:p w14:paraId="571803C6" w14:textId="33AB8ECB" w:rsidR="000F6B3B" w:rsidRDefault="000F6B3B" w:rsidP="000F6B3B">
            <w:pPr>
              <w:jc w:val="center"/>
            </w:pPr>
            <w:r>
              <w:t>2.58.</w:t>
            </w:r>
          </w:p>
        </w:tc>
        <w:tc>
          <w:tcPr>
            <w:tcW w:w="6971" w:type="dxa"/>
          </w:tcPr>
          <w:p w14:paraId="4F55B160" w14:textId="2E24C586" w:rsidR="000F6B3B" w:rsidRDefault="000F6B3B" w:rsidP="000F6B3B">
            <w:pPr>
              <w:jc w:val="both"/>
              <w:rPr>
                <w:rFonts w:eastAsia="Calibri"/>
                <w:color w:val="000000"/>
              </w:rPr>
            </w:pPr>
            <w:r w:rsidRPr="009E421C">
              <w:rPr>
                <w:rFonts w:eastAsia="Arial"/>
                <w:color w:val="000000"/>
              </w:rPr>
              <w:t>Turi būti maršrutizavimo protokolų RIP v1 ir v2 palaikymas.</w:t>
            </w:r>
          </w:p>
        </w:tc>
        <w:tc>
          <w:tcPr>
            <w:tcW w:w="5958" w:type="dxa"/>
          </w:tcPr>
          <w:p w14:paraId="25827FAD" w14:textId="77777777" w:rsidR="000F6B3B" w:rsidRPr="00B5601C" w:rsidRDefault="000F6B3B" w:rsidP="000F6B3B"/>
        </w:tc>
      </w:tr>
      <w:tr w:rsidR="000F6B3B" w:rsidRPr="00C01F51" w14:paraId="617633A5" w14:textId="77777777" w:rsidTr="00193353">
        <w:trPr>
          <w:trHeight w:val="57"/>
        </w:trPr>
        <w:tc>
          <w:tcPr>
            <w:tcW w:w="1246" w:type="dxa"/>
            <w:noWrap/>
            <w:vAlign w:val="center"/>
          </w:tcPr>
          <w:p w14:paraId="16D36AC5" w14:textId="56F10845" w:rsidR="000F6B3B" w:rsidRDefault="000F6B3B" w:rsidP="000F6B3B">
            <w:pPr>
              <w:jc w:val="center"/>
            </w:pPr>
            <w:r>
              <w:t>2.59.</w:t>
            </w:r>
          </w:p>
        </w:tc>
        <w:tc>
          <w:tcPr>
            <w:tcW w:w="6971" w:type="dxa"/>
          </w:tcPr>
          <w:p w14:paraId="47B3D39E" w14:textId="53BA6AFD" w:rsidR="000F6B3B" w:rsidRDefault="000F6B3B" w:rsidP="000F6B3B">
            <w:pPr>
              <w:jc w:val="both"/>
              <w:rPr>
                <w:rFonts w:eastAsia="Calibri"/>
                <w:color w:val="000000"/>
              </w:rPr>
            </w:pPr>
            <w:r w:rsidRPr="009E421C">
              <w:rPr>
                <w:rFonts w:eastAsia="Arial"/>
                <w:color w:val="000000"/>
              </w:rPr>
              <w:t>Maršrutizavimo protokolo OSPF palaikymas. Informacijos tarp skirtingų OSPF procesų perdavimas (Redistribute). OSPF autentifikavimas MD5 algoritmu.</w:t>
            </w:r>
          </w:p>
        </w:tc>
        <w:tc>
          <w:tcPr>
            <w:tcW w:w="5958" w:type="dxa"/>
          </w:tcPr>
          <w:p w14:paraId="58CA3C3F" w14:textId="77777777" w:rsidR="000F6B3B" w:rsidRPr="00B5601C" w:rsidRDefault="000F6B3B" w:rsidP="000F6B3B"/>
        </w:tc>
      </w:tr>
      <w:tr w:rsidR="000F6B3B" w:rsidRPr="00C01F51" w14:paraId="74FA1B56" w14:textId="77777777" w:rsidTr="00193353">
        <w:trPr>
          <w:trHeight w:val="57"/>
        </w:trPr>
        <w:tc>
          <w:tcPr>
            <w:tcW w:w="1246" w:type="dxa"/>
            <w:noWrap/>
            <w:vAlign w:val="center"/>
          </w:tcPr>
          <w:p w14:paraId="76D199B0" w14:textId="7240A395" w:rsidR="000F6B3B" w:rsidRDefault="000F6B3B" w:rsidP="000F6B3B">
            <w:pPr>
              <w:jc w:val="center"/>
            </w:pPr>
            <w:r>
              <w:t>2.60.</w:t>
            </w:r>
          </w:p>
        </w:tc>
        <w:tc>
          <w:tcPr>
            <w:tcW w:w="6971" w:type="dxa"/>
          </w:tcPr>
          <w:p w14:paraId="6201EAB9" w14:textId="31A7466D" w:rsidR="000F6B3B" w:rsidRDefault="000F6B3B" w:rsidP="000F6B3B">
            <w:pPr>
              <w:jc w:val="both"/>
              <w:rPr>
                <w:rFonts w:eastAsia="Calibri"/>
                <w:color w:val="000000"/>
              </w:rPr>
            </w:pPr>
            <w:r w:rsidRPr="009E421C">
              <w:rPr>
                <w:rFonts w:eastAsia="Arial"/>
                <w:color w:val="000000"/>
              </w:rPr>
              <w:t>Maršrutizavimo protokolo BGP palaikymas.</w:t>
            </w:r>
          </w:p>
        </w:tc>
        <w:tc>
          <w:tcPr>
            <w:tcW w:w="5958" w:type="dxa"/>
          </w:tcPr>
          <w:p w14:paraId="7E96A9B9" w14:textId="77777777" w:rsidR="000F6B3B" w:rsidRPr="00B5601C" w:rsidRDefault="000F6B3B" w:rsidP="000F6B3B"/>
        </w:tc>
      </w:tr>
      <w:tr w:rsidR="000F6B3B" w:rsidRPr="00C01F51" w14:paraId="3C4A14AD" w14:textId="77777777" w:rsidTr="00193353">
        <w:trPr>
          <w:trHeight w:val="57"/>
        </w:trPr>
        <w:tc>
          <w:tcPr>
            <w:tcW w:w="1246" w:type="dxa"/>
            <w:noWrap/>
            <w:vAlign w:val="center"/>
          </w:tcPr>
          <w:p w14:paraId="11C12C34" w14:textId="5D48B28D" w:rsidR="000F6B3B" w:rsidRDefault="000F6B3B" w:rsidP="000F6B3B">
            <w:pPr>
              <w:jc w:val="center"/>
            </w:pPr>
            <w:r>
              <w:t>2.61.</w:t>
            </w:r>
          </w:p>
        </w:tc>
        <w:tc>
          <w:tcPr>
            <w:tcW w:w="6971" w:type="dxa"/>
          </w:tcPr>
          <w:p w14:paraId="3AC970C7" w14:textId="79458741" w:rsidR="000F6B3B" w:rsidRDefault="000F6B3B" w:rsidP="000F6B3B">
            <w:pPr>
              <w:jc w:val="both"/>
              <w:rPr>
                <w:rFonts w:eastAsia="Calibri"/>
                <w:color w:val="000000"/>
              </w:rPr>
            </w:pPr>
            <w:r w:rsidRPr="009E421C">
              <w:rPr>
                <w:rFonts w:eastAsia="Arial"/>
                <w:color w:val="000000"/>
              </w:rPr>
              <w:t>Srauto klasifikavimo, QoS technologijos palaikymas: Traffic policing.</w:t>
            </w:r>
          </w:p>
        </w:tc>
        <w:tc>
          <w:tcPr>
            <w:tcW w:w="5958" w:type="dxa"/>
          </w:tcPr>
          <w:p w14:paraId="5CF84A5F" w14:textId="77777777" w:rsidR="000F6B3B" w:rsidRPr="00B5601C" w:rsidRDefault="000F6B3B" w:rsidP="000F6B3B"/>
        </w:tc>
      </w:tr>
      <w:tr w:rsidR="000F6B3B" w:rsidRPr="00C01F51" w14:paraId="4B9A5E84" w14:textId="77777777" w:rsidTr="00193353">
        <w:trPr>
          <w:trHeight w:val="57"/>
        </w:trPr>
        <w:tc>
          <w:tcPr>
            <w:tcW w:w="1246" w:type="dxa"/>
            <w:noWrap/>
            <w:vAlign w:val="center"/>
          </w:tcPr>
          <w:p w14:paraId="7687418C" w14:textId="7F3472F6" w:rsidR="000F6B3B" w:rsidRDefault="000F6B3B" w:rsidP="000F6B3B">
            <w:pPr>
              <w:jc w:val="center"/>
            </w:pPr>
            <w:r>
              <w:t>2.62.</w:t>
            </w:r>
          </w:p>
        </w:tc>
        <w:tc>
          <w:tcPr>
            <w:tcW w:w="6971" w:type="dxa"/>
          </w:tcPr>
          <w:p w14:paraId="3DEA9B6F" w14:textId="7B62C9A3" w:rsidR="000F6B3B" w:rsidRDefault="000F6B3B" w:rsidP="000F6B3B">
            <w:pPr>
              <w:jc w:val="both"/>
              <w:rPr>
                <w:rFonts w:eastAsia="Calibri"/>
                <w:color w:val="000000"/>
              </w:rPr>
            </w:pPr>
            <w:r w:rsidRPr="009E421C">
              <w:rPr>
                <w:rFonts w:eastAsia="Arial"/>
                <w:color w:val="000000"/>
              </w:rPr>
              <w:t>Turi būti galimybė įkelti vartotojo sukurtus pažeidžiamumų aprašus.</w:t>
            </w:r>
          </w:p>
        </w:tc>
        <w:tc>
          <w:tcPr>
            <w:tcW w:w="5958" w:type="dxa"/>
          </w:tcPr>
          <w:p w14:paraId="6C59C9AA" w14:textId="77777777" w:rsidR="000F6B3B" w:rsidRPr="00B5601C" w:rsidRDefault="000F6B3B" w:rsidP="000F6B3B"/>
        </w:tc>
      </w:tr>
      <w:tr w:rsidR="000F6B3B" w:rsidRPr="00C01F51" w14:paraId="1018B83A" w14:textId="77777777" w:rsidTr="00193353">
        <w:trPr>
          <w:trHeight w:val="57"/>
        </w:trPr>
        <w:tc>
          <w:tcPr>
            <w:tcW w:w="1246" w:type="dxa"/>
            <w:noWrap/>
            <w:vAlign w:val="center"/>
          </w:tcPr>
          <w:p w14:paraId="6861E265" w14:textId="5675CA94" w:rsidR="000F6B3B" w:rsidRDefault="000F6B3B" w:rsidP="000F6B3B">
            <w:pPr>
              <w:jc w:val="center"/>
            </w:pPr>
            <w:r>
              <w:lastRenderedPageBreak/>
              <w:t>2.63.</w:t>
            </w:r>
          </w:p>
        </w:tc>
        <w:tc>
          <w:tcPr>
            <w:tcW w:w="6971" w:type="dxa"/>
          </w:tcPr>
          <w:p w14:paraId="0E372538" w14:textId="17DE6A54" w:rsidR="000F6B3B" w:rsidRDefault="000F6B3B" w:rsidP="000F6B3B">
            <w:pPr>
              <w:jc w:val="both"/>
              <w:rPr>
                <w:rFonts w:eastAsia="Calibri"/>
                <w:color w:val="000000"/>
              </w:rPr>
            </w:pPr>
            <w:r w:rsidRPr="009E421C">
              <w:rPr>
                <w:rFonts w:eastAsia="Arial"/>
                <w:color w:val="000000"/>
              </w:rPr>
              <w:t>Turi būti ne mažesnė nei 3 (trijų) metų siūlom</w:t>
            </w:r>
            <w:r>
              <w:rPr>
                <w:rFonts w:eastAsia="Arial"/>
                <w:color w:val="000000"/>
              </w:rPr>
              <w:t>o</w:t>
            </w:r>
            <w:r w:rsidRPr="009E421C">
              <w:rPr>
                <w:rFonts w:eastAsia="Arial"/>
                <w:color w:val="000000"/>
              </w:rPr>
              <w:t xml:space="preserve"> įrengini</w:t>
            </w:r>
            <w:r>
              <w:rPr>
                <w:rFonts w:eastAsia="Arial"/>
                <w:color w:val="000000"/>
              </w:rPr>
              <w:t>o</w:t>
            </w:r>
            <w:r w:rsidRPr="009E421C">
              <w:rPr>
                <w:rFonts w:eastAsia="Arial"/>
                <w:color w:val="000000"/>
              </w:rPr>
              <w:t xml:space="preserve"> gamintojo garantinė priežiūra. Tiekėjas turi siūlyti gamintojo priežiūros garantiją, užtikrinančią nemokamus programinės įrangos atnaujinimus, programinės įrangos klaidų taisymus, sugedusių įrenginių pakeitimą.</w:t>
            </w:r>
          </w:p>
        </w:tc>
        <w:tc>
          <w:tcPr>
            <w:tcW w:w="5958" w:type="dxa"/>
          </w:tcPr>
          <w:p w14:paraId="749B97BA" w14:textId="77777777" w:rsidR="000F6B3B" w:rsidRPr="00B5601C" w:rsidRDefault="000F6B3B" w:rsidP="000F6B3B"/>
        </w:tc>
      </w:tr>
      <w:tr w:rsidR="000F6B3B" w:rsidRPr="00C01F51" w14:paraId="7479EF9A" w14:textId="77777777" w:rsidTr="00193353">
        <w:trPr>
          <w:trHeight w:val="57"/>
        </w:trPr>
        <w:tc>
          <w:tcPr>
            <w:tcW w:w="1246" w:type="dxa"/>
            <w:noWrap/>
            <w:vAlign w:val="center"/>
          </w:tcPr>
          <w:p w14:paraId="1BFB029D" w14:textId="675C5489" w:rsidR="000F6B3B" w:rsidRDefault="000F6B3B" w:rsidP="000F6B3B">
            <w:pPr>
              <w:jc w:val="center"/>
            </w:pPr>
            <w:r>
              <w:t>2.64.</w:t>
            </w:r>
          </w:p>
        </w:tc>
        <w:tc>
          <w:tcPr>
            <w:tcW w:w="6971" w:type="dxa"/>
          </w:tcPr>
          <w:p w14:paraId="079FF3EA" w14:textId="4AA1D296" w:rsidR="000F6B3B" w:rsidRDefault="000F6B3B" w:rsidP="000F6B3B">
            <w:pPr>
              <w:jc w:val="both"/>
              <w:rPr>
                <w:rFonts w:eastAsia="Calibri"/>
                <w:color w:val="000000"/>
              </w:rPr>
            </w:pPr>
            <w:r w:rsidRPr="009E421C">
              <w:rPr>
                <w:rFonts w:eastAsia="Arial"/>
                <w:color w:val="000000"/>
              </w:rPr>
              <w:t>Garantinio remonto trukmė – ne ilgiau kaip 5 kalendorinės dienos. Jei sugedusios įrangos per šį laikotarpį pataisyti neįmanoma, ji pakeičiama ekvivalentiška nauja.</w:t>
            </w:r>
          </w:p>
        </w:tc>
        <w:tc>
          <w:tcPr>
            <w:tcW w:w="5958" w:type="dxa"/>
          </w:tcPr>
          <w:p w14:paraId="1E5D184C" w14:textId="77777777" w:rsidR="000F6B3B" w:rsidRPr="00B5601C" w:rsidRDefault="000F6B3B" w:rsidP="000F6B3B"/>
        </w:tc>
      </w:tr>
    </w:tbl>
    <w:p w14:paraId="7DD6CECD" w14:textId="77777777" w:rsidR="00684F44" w:rsidRDefault="00684F44"/>
    <w:p w14:paraId="00CEBDA7" w14:textId="77777777" w:rsidR="00684F44" w:rsidRDefault="00684F44"/>
    <w:p w14:paraId="6F88CF24" w14:textId="7549B542" w:rsidR="000F533E" w:rsidRPr="00C01F51" w:rsidRDefault="000078F0">
      <w:r>
        <w:br w:type="textWrapping" w:clear="all"/>
      </w:r>
    </w:p>
    <w:p w14:paraId="18F7C5C8" w14:textId="48971555" w:rsidR="007E42C5" w:rsidRDefault="009C3E2F">
      <w:r w:rsidRPr="00C01F51">
        <w:t xml:space="preserve"> </w:t>
      </w:r>
    </w:p>
    <w:p w14:paraId="5A7C0266" w14:textId="77777777" w:rsidR="00B16F67" w:rsidRDefault="00B16F67"/>
    <w:p w14:paraId="7C05E954" w14:textId="77777777" w:rsidR="00B25AF9" w:rsidRDefault="00B25AF9"/>
    <w:p w14:paraId="5B600D11" w14:textId="77777777" w:rsidR="00B25AF9" w:rsidRDefault="00B25AF9"/>
    <w:p w14:paraId="156E7B8E" w14:textId="77777777" w:rsidR="00B25AF9" w:rsidRDefault="00B25AF9"/>
    <w:p w14:paraId="26903376" w14:textId="77777777" w:rsidR="00B25AF9" w:rsidRDefault="00B25AF9">
      <w:bookmarkStart w:id="0" w:name="_GoBack"/>
      <w:bookmarkEnd w:id="0"/>
    </w:p>
    <w:p w14:paraId="78E308E6" w14:textId="77777777" w:rsidR="00B25AF9" w:rsidRDefault="00B25AF9"/>
    <w:p w14:paraId="062DAC89" w14:textId="77777777" w:rsidR="00B25AF9" w:rsidRPr="00C01F51" w:rsidRDefault="00B25AF9"/>
    <w:p w14:paraId="2FA45AAD" w14:textId="77777777" w:rsidR="00D45F7F" w:rsidRPr="00C01F51" w:rsidRDefault="00D45F7F"/>
    <w:tbl>
      <w:tblPr>
        <w:tblW w:w="14864" w:type="dxa"/>
        <w:tblInd w:w="-176" w:type="dxa"/>
        <w:tblLayout w:type="fixed"/>
        <w:tblLook w:val="0000" w:firstRow="0" w:lastRow="0" w:firstColumn="0" w:lastColumn="0" w:noHBand="0" w:noVBand="0"/>
      </w:tblPr>
      <w:tblGrid>
        <w:gridCol w:w="5803"/>
        <w:gridCol w:w="708"/>
        <w:gridCol w:w="2690"/>
        <w:gridCol w:w="708"/>
        <w:gridCol w:w="4955"/>
      </w:tblGrid>
      <w:tr w:rsidR="001D67C1" w:rsidRPr="00C01F51" w14:paraId="3ED28B02" w14:textId="77777777" w:rsidTr="00D45F7F">
        <w:trPr>
          <w:trHeight w:val="186"/>
        </w:trPr>
        <w:tc>
          <w:tcPr>
            <w:tcW w:w="5803" w:type="dxa"/>
            <w:tcBorders>
              <w:top w:val="single" w:sz="4" w:space="0" w:color="auto"/>
            </w:tcBorders>
            <w:shd w:val="clear" w:color="auto" w:fill="auto"/>
          </w:tcPr>
          <w:p w14:paraId="01EC3112" w14:textId="77777777" w:rsidR="001D67C1" w:rsidRPr="00C01F51" w:rsidRDefault="001D67C1" w:rsidP="005430DF">
            <w:pPr>
              <w:snapToGrid w:val="0"/>
              <w:spacing w:after="100" w:afterAutospacing="1"/>
              <w:rPr>
                <w:rFonts w:eastAsia="Arial"/>
                <w:position w:val="6"/>
              </w:rPr>
            </w:pPr>
            <w:r w:rsidRPr="00C01F51">
              <w:rPr>
                <w:rFonts w:eastAsia="Arial"/>
                <w:position w:val="6"/>
              </w:rPr>
              <w:t>(Tiekėjo arba jo įgalioto asmens pareigų pavadinimas*)</w:t>
            </w:r>
          </w:p>
        </w:tc>
        <w:tc>
          <w:tcPr>
            <w:tcW w:w="708" w:type="dxa"/>
            <w:shd w:val="clear" w:color="auto" w:fill="auto"/>
          </w:tcPr>
          <w:p w14:paraId="5D23363C" w14:textId="77777777" w:rsidR="001D67C1" w:rsidRPr="00C01F51" w:rsidRDefault="001D67C1" w:rsidP="005430DF">
            <w:pPr>
              <w:snapToGrid w:val="0"/>
              <w:spacing w:after="100" w:afterAutospacing="1"/>
              <w:ind w:right="-1"/>
              <w:jc w:val="center"/>
            </w:pPr>
          </w:p>
        </w:tc>
        <w:tc>
          <w:tcPr>
            <w:tcW w:w="2690" w:type="dxa"/>
            <w:tcBorders>
              <w:top w:val="single" w:sz="4" w:space="0" w:color="auto"/>
            </w:tcBorders>
            <w:shd w:val="clear" w:color="auto" w:fill="auto"/>
          </w:tcPr>
          <w:p w14:paraId="2AE48C91" w14:textId="77777777" w:rsidR="001D67C1" w:rsidRPr="00C01F51" w:rsidRDefault="001D67C1" w:rsidP="005430DF">
            <w:pPr>
              <w:snapToGrid w:val="0"/>
              <w:spacing w:after="100" w:afterAutospacing="1"/>
              <w:ind w:right="-1"/>
              <w:jc w:val="center"/>
              <w:rPr>
                <w:i/>
              </w:rPr>
            </w:pPr>
            <w:r w:rsidRPr="00C01F51">
              <w:rPr>
                <w:position w:val="6"/>
              </w:rPr>
              <w:t>(Parašas*)</w:t>
            </w:r>
            <w:r w:rsidRPr="00C01F51">
              <w:rPr>
                <w:i/>
              </w:rPr>
              <w:t xml:space="preserve"> </w:t>
            </w:r>
          </w:p>
        </w:tc>
        <w:tc>
          <w:tcPr>
            <w:tcW w:w="708" w:type="dxa"/>
            <w:shd w:val="clear" w:color="auto" w:fill="auto"/>
          </w:tcPr>
          <w:p w14:paraId="1CF16F52" w14:textId="77777777" w:rsidR="001D67C1" w:rsidRPr="00C01F51" w:rsidRDefault="001D67C1" w:rsidP="005430DF">
            <w:pPr>
              <w:snapToGrid w:val="0"/>
              <w:spacing w:after="100" w:afterAutospacing="1"/>
              <w:ind w:right="-1"/>
              <w:jc w:val="center"/>
            </w:pPr>
          </w:p>
        </w:tc>
        <w:tc>
          <w:tcPr>
            <w:tcW w:w="4955" w:type="dxa"/>
            <w:tcBorders>
              <w:top w:val="single" w:sz="4" w:space="0" w:color="auto"/>
            </w:tcBorders>
            <w:shd w:val="clear" w:color="auto" w:fill="auto"/>
          </w:tcPr>
          <w:p w14:paraId="75484BB1" w14:textId="77777777" w:rsidR="001D67C1" w:rsidRPr="00C01F51" w:rsidRDefault="001D67C1" w:rsidP="005430DF">
            <w:pPr>
              <w:snapToGrid w:val="0"/>
              <w:spacing w:after="100" w:afterAutospacing="1"/>
              <w:ind w:right="-1"/>
              <w:jc w:val="center"/>
              <w:rPr>
                <w:i/>
              </w:rPr>
            </w:pPr>
            <w:r w:rsidRPr="00C01F51">
              <w:rPr>
                <w:position w:val="6"/>
              </w:rPr>
              <w:t>(Vardas ir pavardė*)</w:t>
            </w:r>
            <w:r w:rsidRPr="00C01F51">
              <w:rPr>
                <w:i/>
              </w:rPr>
              <w:t xml:space="preserve"> </w:t>
            </w:r>
          </w:p>
        </w:tc>
      </w:tr>
    </w:tbl>
    <w:p w14:paraId="393F8CF3" w14:textId="77777777" w:rsidR="00BC2860" w:rsidRPr="00C01F51" w:rsidRDefault="00BC2860" w:rsidP="00BC2860"/>
    <w:p w14:paraId="4DCF3FB2" w14:textId="20A9FC27" w:rsidR="00BC2860" w:rsidRPr="00B16F67" w:rsidRDefault="00BC2860" w:rsidP="00B16F67">
      <w:pPr>
        <w:tabs>
          <w:tab w:val="left" w:pos="6990"/>
        </w:tabs>
      </w:pPr>
    </w:p>
    <w:sectPr w:rsidR="00BC2860" w:rsidRPr="00B16F67" w:rsidSect="00FC3BDC">
      <w:headerReference w:type="default" r:id="rId8"/>
      <w:footerReference w:type="even" r:id="rId9"/>
      <w:footerReference w:type="default" r:id="rId10"/>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5C7B8" w14:textId="77777777" w:rsidR="00745E49" w:rsidRDefault="00745E49" w:rsidP="00A67DA9">
      <w:r>
        <w:separator/>
      </w:r>
    </w:p>
  </w:endnote>
  <w:endnote w:type="continuationSeparator" w:id="0">
    <w:p w14:paraId="5F823560" w14:textId="77777777" w:rsidR="00745E49" w:rsidRDefault="00745E49"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DCD0" w14:textId="77777777" w:rsidR="00B13378" w:rsidRDefault="00B13378"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B13378" w:rsidRDefault="00B13378"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DCD2" w14:textId="77777777" w:rsidR="00B13378" w:rsidRDefault="00B13378"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7EDF8" w14:textId="77777777" w:rsidR="00745E49" w:rsidRDefault="00745E49" w:rsidP="00A67DA9">
      <w:r>
        <w:separator/>
      </w:r>
    </w:p>
  </w:footnote>
  <w:footnote w:type="continuationSeparator" w:id="0">
    <w:p w14:paraId="6C670DC6" w14:textId="77777777" w:rsidR="00745E49" w:rsidRDefault="00745E49"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DCCE" w14:textId="18050989" w:rsidR="00B13378" w:rsidRDefault="00B13378">
    <w:pPr>
      <w:pStyle w:val="Header"/>
      <w:jc w:val="center"/>
    </w:pPr>
    <w:r>
      <w:fldChar w:fldCharType="begin"/>
    </w:r>
    <w:r>
      <w:instrText>PAGE   \* MERGEFORMAT</w:instrText>
    </w:r>
    <w:r>
      <w:fldChar w:fldCharType="separate"/>
    </w:r>
    <w:r w:rsidR="000F6B3B" w:rsidRPr="000F6B3B">
      <w:rPr>
        <w:noProof/>
        <w:lang w:val="lt-LT"/>
      </w:rPr>
      <w:t>6</w:t>
    </w:r>
    <w:r>
      <w:fldChar w:fldCharType="end"/>
    </w:r>
  </w:p>
  <w:p w14:paraId="5666DCCF" w14:textId="77777777" w:rsidR="00B13378" w:rsidRDefault="00B13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D4783B"/>
    <w:multiLevelType w:val="multilevel"/>
    <w:tmpl w:val="1C7E5816"/>
    <w:lvl w:ilvl="0">
      <w:start w:val="1"/>
      <w:numFmt w:val="decimal"/>
      <w:lvlText w:val="%1."/>
      <w:lvlJc w:val="left"/>
      <w:pPr>
        <w:ind w:left="227" w:hanging="227"/>
      </w:pPr>
      <w:rPr>
        <w:rFonts w:hint="default"/>
        <w:spacing w:val="-20"/>
        <w:w w:val="100"/>
        <w:kern w:val="16"/>
        <w:position w:val="0"/>
        <w14:numForm w14:val="default"/>
        <w14:numSpacing w14:val="default"/>
        <w14:stylisticSets>
          <w14:styleSet w14:id="1"/>
        </w14:stylisticSets>
      </w:rPr>
    </w:lvl>
    <w:lvl w:ilvl="1">
      <w:start w:val="2"/>
      <w:numFmt w:val="decimal"/>
      <w:lvlText w:val="%1.%2."/>
      <w:lvlJc w:val="left"/>
      <w:pPr>
        <w:ind w:left="511" w:hanging="227"/>
      </w:pPr>
      <w:rPr>
        <w:rFonts w:hint="default"/>
        <w:b/>
      </w:rPr>
    </w:lvl>
    <w:lvl w:ilvl="2">
      <w:start w:val="1"/>
      <w:numFmt w:val="decimal"/>
      <w:lvlText w:val="%1.%2.%3."/>
      <w:lvlJc w:val="left"/>
      <w:pPr>
        <w:ind w:left="227" w:hanging="227"/>
      </w:pPr>
      <w:rPr>
        <w:rFonts w:hint="default"/>
        <w:b w:val="0"/>
      </w:rPr>
    </w:lvl>
    <w:lvl w:ilvl="3">
      <w:start w:val="1"/>
      <w:numFmt w:val="decimal"/>
      <w:lvlText w:val="%1.%2.%3.%4."/>
      <w:lvlJc w:val="left"/>
      <w:pPr>
        <w:ind w:left="296" w:hanging="227"/>
      </w:pPr>
      <w:rPr>
        <w:rFonts w:hint="default"/>
      </w:rPr>
    </w:lvl>
    <w:lvl w:ilvl="4">
      <w:start w:val="1"/>
      <w:numFmt w:val="decimal"/>
      <w:lvlText w:val="%1.%2.%3.%4.%5."/>
      <w:lvlJc w:val="left"/>
      <w:pPr>
        <w:ind w:left="319" w:hanging="227"/>
      </w:pPr>
      <w:rPr>
        <w:rFonts w:hint="default"/>
      </w:rPr>
    </w:lvl>
    <w:lvl w:ilvl="5">
      <w:start w:val="1"/>
      <w:numFmt w:val="decimal"/>
      <w:lvlText w:val="%1.%2.%3.%4.%5.%6."/>
      <w:lvlJc w:val="left"/>
      <w:pPr>
        <w:ind w:left="342" w:hanging="227"/>
      </w:pPr>
      <w:rPr>
        <w:rFonts w:hint="default"/>
      </w:rPr>
    </w:lvl>
    <w:lvl w:ilvl="6">
      <w:start w:val="1"/>
      <w:numFmt w:val="decimal"/>
      <w:lvlText w:val="%1.%2.%3.%4.%5.%6.%7."/>
      <w:lvlJc w:val="left"/>
      <w:pPr>
        <w:ind w:left="365" w:hanging="227"/>
      </w:pPr>
      <w:rPr>
        <w:rFonts w:hint="default"/>
      </w:rPr>
    </w:lvl>
    <w:lvl w:ilvl="7">
      <w:start w:val="1"/>
      <w:numFmt w:val="decimal"/>
      <w:lvlText w:val="%1.%2.%3.%4.%5.%6.%7.%8."/>
      <w:lvlJc w:val="left"/>
      <w:pPr>
        <w:ind w:left="388" w:hanging="227"/>
      </w:pPr>
      <w:rPr>
        <w:rFonts w:hint="default"/>
      </w:rPr>
    </w:lvl>
    <w:lvl w:ilvl="8">
      <w:start w:val="1"/>
      <w:numFmt w:val="decimal"/>
      <w:lvlText w:val="%1.%2.%3.%4.%5.%6.%7.%8.%9."/>
      <w:lvlJc w:val="left"/>
      <w:pPr>
        <w:ind w:left="411" w:hanging="227"/>
      </w:pPr>
      <w:rPr>
        <w:rFonts w:hint="default"/>
      </w:rPr>
    </w:lvl>
  </w:abstractNum>
  <w:abstractNum w:abstractNumId="3" w15:restartNumberingAfterBreak="0">
    <w:nsid w:val="011D59B2"/>
    <w:multiLevelType w:val="hybridMultilevel"/>
    <w:tmpl w:val="7E3EA9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23E49"/>
    <w:multiLevelType w:val="hybridMultilevel"/>
    <w:tmpl w:val="63042FC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242374"/>
    <w:multiLevelType w:val="hybridMultilevel"/>
    <w:tmpl w:val="3160A5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9D4DD8"/>
    <w:multiLevelType w:val="hybridMultilevel"/>
    <w:tmpl w:val="14902E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0D1536"/>
    <w:multiLevelType w:val="hybridMultilevel"/>
    <w:tmpl w:val="CA34B5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11" w15:restartNumberingAfterBreak="0">
    <w:nsid w:val="360C1ACE"/>
    <w:multiLevelType w:val="hybridMultilevel"/>
    <w:tmpl w:val="7A50E1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5C7E91"/>
    <w:multiLevelType w:val="hybridMultilevel"/>
    <w:tmpl w:val="E464553C"/>
    <w:lvl w:ilvl="0" w:tplc="CD2C946E">
      <w:numFmt w:val="bullet"/>
      <w:lvlText w:val=""/>
      <w:lvlJc w:val="left"/>
      <w:pPr>
        <w:ind w:left="465" w:hanging="360"/>
      </w:pPr>
      <w:rPr>
        <w:rFonts w:ascii="Symbol" w:eastAsia="Times New Roman" w:hAnsi="Symbol"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3" w15:restartNumberingAfterBreak="0">
    <w:nsid w:val="43CD62BA"/>
    <w:multiLevelType w:val="hybridMultilevel"/>
    <w:tmpl w:val="ED4E8AC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9D3690"/>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4F1C1E"/>
    <w:multiLevelType w:val="hybridMultilevel"/>
    <w:tmpl w:val="C61A6CA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6B114E"/>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18" w15:restartNumberingAfterBreak="0">
    <w:nsid w:val="5AC04F0C"/>
    <w:multiLevelType w:val="hybridMultilevel"/>
    <w:tmpl w:val="54940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157BBF"/>
    <w:multiLevelType w:val="hybridMultilevel"/>
    <w:tmpl w:val="4A68DB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504502"/>
    <w:multiLevelType w:val="hybridMultilevel"/>
    <w:tmpl w:val="1DF814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662881"/>
    <w:multiLevelType w:val="hybridMultilevel"/>
    <w:tmpl w:val="499A25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3" w15:restartNumberingAfterBreak="0">
    <w:nsid w:val="6B5C781B"/>
    <w:multiLevelType w:val="hybridMultilevel"/>
    <w:tmpl w:val="8F7E3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12C2F"/>
    <w:multiLevelType w:val="hybridMultilevel"/>
    <w:tmpl w:val="42AE86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26"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D10CD"/>
    <w:multiLevelType w:val="hybridMultilevel"/>
    <w:tmpl w:val="FE1E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6"/>
  </w:num>
  <w:num w:numId="4">
    <w:abstractNumId w:val="4"/>
  </w:num>
  <w:num w:numId="5">
    <w:abstractNumId w:val="17"/>
  </w:num>
  <w:num w:numId="6">
    <w:abstractNumId w:val="28"/>
  </w:num>
  <w:num w:numId="7">
    <w:abstractNumId w:val="25"/>
  </w:num>
  <w:num w:numId="8">
    <w:abstractNumId w:val="26"/>
  </w:num>
  <w:num w:numId="9">
    <w:abstractNumId w:val="19"/>
  </w:num>
  <w:num w:numId="10">
    <w:abstractNumId w:val="14"/>
  </w:num>
  <w:num w:numId="11">
    <w:abstractNumId w:val="15"/>
  </w:num>
  <w:num w:numId="12">
    <w:abstractNumId w:val="24"/>
  </w:num>
  <w:num w:numId="13">
    <w:abstractNumId w:val="23"/>
  </w:num>
  <w:num w:numId="14">
    <w:abstractNumId w:val="5"/>
  </w:num>
  <w:num w:numId="15">
    <w:abstractNumId w:val="3"/>
  </w:num>
  <w:num w:numId="16">
    <w:abstractNumId w:val="13"/>
  </w:num>
  <w:num w:numId="17">
    <w:abstractNumId w:val="21"/>
  </w:num>
  <w:num w:numId="18">
    <w:abstractNumId w:val="9"/>
  </w:num>
  <w:num w:numId="19">
    <w:abstractNumId w:val="11"/>
  </w:num>
  <w:num w:numId="20">
    <w:abstractNumId w:val="7"/>
  </w:num>
  <w:num w:numId="21">
    <w:abstractNumId w:val="16"/>
  </w:num>
  <w:num w:numId="22">
    <w:abstractNumId w:val="2"/>
  </w:num>
  <w:num w:numId="23">
    <w:abstractNumId w:val="18"/>
  </w:num>
  <w:num w:numId="24">
    <w:abstractNumId w:val="27"/>
  </w:num>
  <w:num w:numId="25">
    <w:abstractNumId w:val="20"/>
  </w:num>
  <w:num w:numId="26">
    <w:abstractNumId w:val="8"/>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pt-PT"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5F9"/>
    <w:rsid w:val="000114CB"/>
    <w:rsid w:val="00011ED6"/>
    <w:rsid w:val="00011FC8"/>
    <w:rsid w:val="0001223A"/>
    <w:rsid w:val="000134D3"/>
    <w:rsid w:val="00014306"/>
    <w:rsid w:val="000146BD"/>
    <w:rsid w:val="0001477F"/>
    <w:rsid w:val="00014D73"/>
    <w:rsid w:val="00015580"/>
    <w:rsid w:val="00017C7F"/>
    <w:rsid w:val="00017F05"/>
    <w:rsid w:val="00020095"/>
    <w:rsid w:val="00021334"/>
    <w:rsid w:val="00021556"/>
    <w:rsid w:val="0002176D"/>
    <w:rsid w:val="00021C23"/>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4D7F"/>
    <w:rsid w:val="00045D42"/>
    <w:rsid w:val="00046F83"/>
    <w:rsid w:val="000505F0"/>
    <w:rsid w:val="0005101B"/>
    <w:rsid w:val="000514F1"/>
    <w:rsid w:val="000514F8"/>
    <w:rsid w:val="00051956"/>
    <w:rsid w:val="00051C67"/>
    <w:rsid w:val="00053364"/>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DDB"/>
    <w:rsid w:val="0006404B"/>
    <w:rsid w:val="00064265"/>
    <w:rsid w:val="00065394"/>
    <w:rsid w:val="000655BE"/>
    <w:rsid w:val="00065DF7"/>
    <w:rsid w:val="00066E7C"/>
    <w:rsid w:val="0006792C"/>
    <w:rsid w:val="00067CF0"/>
    <w:rsid w:val="000700AD"/>
    <w:rsid w:val="00070312"/>
    <w:rsid w:val="00070630"/>
    <w:rsid w:val="000708BC"/>
    <w:rsid w:val="00072F15"/>
    <w:rsid w:val="00073B23"/>
    <w:rsid w:val="00075441"/>
    <w:rsid w:val="00075645"/>
    <w:rsid w:val="00075D1D"/>
    <w:rsid w:val="00075DDC"/>
    <w:rsid w:val="00075E0F"/>
    <w:rsid w:val="000760F1"/>
    <w:rsid w:val="0007634B"/>
    <w:rsid w:val="000767A8"/>
    <w:rsid w:val="00076A59"/>
    <w:rsid w:val="0007747C"/>
    <w:rsid w:val="00077770"/>
    <w:rsid w:val="00077EAF"/>
    <w:rsid w:val="00081668"/>
    <w:rsid w:val="00082E3D"/>
    <w:rsid w:val="00083C23"/>
    <w:rsid w:val="000840E9"/>
    <w:rsid w:val="0008414F"/>
    <w:rsid w:val="000843EE"/>
    <w:rsid w:val="000860CB"/>
    <w:rsid w:val="000862B1"/>
    <w:rsid w:val="000865BB"/>
    <w:rsid w:val="00091923"/>
    <w:rsid w:val="00091A14"/>
    <w:rsid w:val="00091CFD"/>
    <w:rsid w:val="000920A8"/>
    <w:rsid w:val="0009319A"/>
    <w:rsid w:val="000932F8"/>
    <w:rsid w:val="0009399D"/>
    <w:rsid w:val="00093EE9"/>
    <w:rsid w:val="00093F8E"/>
    <w:rsid w:val="000954A3"/>
    <w:rsid w:val="00095936"/>
    <w:rsid w:val="00096D18"/>
    <w:rsid w:val="000A0F3A"/>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3671"/>
    <w:rsid w:val="000B386A"/>
    <w:rsid w:val="000B3CBF"/>
    <w:rsid w:val="000B3D26"/>
    <w:rsid w:val="000B3EF8"/>
    <w:rsid w:val="000B3FBC"/>
    <w:rsid w:val="000B4CE7"/>
    <w:rsid w:val="000B50CB"/>
    <w:rsid w:val="000B7BC7"/>
    <w:rsid w:val="000B7CE2"/>
    <w:rsid w:val="000C0DF7"/>
    <w:rsid w:val="000C139C"/>
    <w:rsid w:val="000C4985"/>
    <w:rsid w:val="000C4F4E"/>
    <w:rsid w:val="000C51FD"/>
    <w:rsid w:val="000C5205"/>
    <w:rsid w:val="000C54A1"/>
    <w:rsid w:val="000C5D6D"/>
    <w:rsid w:val="000C6FBB"/>
    <w:rsid w:val="000C704D"/>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6E1A"/>
    <w:rsid w:val="000D788D"/>
    <w:rsid w:val="000E001F"/>
    <w:rsid w:val="000E0110"/>
    <w:rsid w:val="000E0361"/>
    <w:rsid w:val="000E0736"/>
    <w:rsid w:val="000E0AF9"/>
    <w:rsid w:val="000E13C3"/>
    <w:rsid w:val="000E17C7"/>
    <w:rsid w:val="000E1ACA"/>
    <w:rsid w:val="000E1B2C"/>
    <w:rsid w:val="000E1D3F"/>
    <w:rsid w:val="000E2522"/>
    <w:rsid w:val="000E2C80"/>
    <w:rsid w:val="000E2F04"/>
    <w:rsid w:val="000E3C34"/>
    <w:rsid w:val="000E441B"/>
    <w:rsid w:val="000E54D8"/>
    <w:rsid w:val="000E5556"/>
    <w:rsid w:val="000E5BF7"/>
    <w:rsid w:val="000E621D"/>
    <w:rsid w:val="000E6BCF"/>
    <w:rsid w:val="000E722A"/>
    <w:rsid w:val="000E7FD8"/>
    <w:rsid w:val="000F03F1"/>
    <w:rsid w:val="000F055F"/>
    <w:rsid w:val="000F062E"/>
    <w:rsid w:val="000F2270"/>
    <w:rsid w:val="000F326C"/>
    <w:rsid w:val="000F4E77"/>
    <w:rsid w:val="000F4F11"/>
    <w:rsid w:val="000F511F"/>
    <w:rsid w:val="000F529E"/>
    <w:rsid w:val="000F533E"/>
    <w:rsid w:val="000F56D0"/>
    <w:rsid w:val="000F5EF6"/>
    <w:rsid w:val="000F61E3"/>
    <w:rsid w:val="000F62CD"/>
    <w:rsid w:val="000F6350"/>
    <w:rsid w:val="000F651F"/>
    <w:rsid w:val="000F6B3B"/>
    <w:rsid w:val="001001B5"/>
    <w:rsid w:val="001007CF"/>
    <w:rsid w:val="00100CD9"/>
    <w:rsid w:val="00100EE5"/>
    <w:rsid w:val="001010B6"/>
    <w:rsid w:val="0010114A"/>
    <w:rsid w:val="00102CC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5653"/>
    <w:rsid w:val="0011570D"/>
    <w:rsid w:val="001159BB"/>
    <w:rsid w:val="0011731C"/>
    <w:rsid w:val="0011760C"/>
    <w:rsid w:val="00117B84"/>
    <w:rsid w:val="00117BA6"/>
    <w:rsid w:val="00117DEF"/>
    <w:rsid w:val="0012101A"/>
    <w:rsid w:val="001212FB"/>
    <w:rsid w:val="001224C2"/>
    <w:rsid w:val="00122548"/>
    <w:rsid w:val="001225C3"/>
    <w:rsid w:val="00122898"/>
    <w:rsid w:val="0012350C"/>
    <w:rsid w:val="00123D5C"/>
    <w:rsid w:val="00124775"/>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404BB"/>
    <w:rsid w:val="001405EE"/>
    <w:rsid w:val="00140972"/>
    <w:rsid w:val="00140BCF"/>
    <w:rsid w:val="00140FA5"/>
    <w:rsid w:val="00141850"/>
    <w:rsid w:val="00141A04"/>
    <w:rsid w:val="001422C4"/>
    <w:rsid w:val="00143806"/>
    <w:rsid w:val="00143843"/>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28B7"/>
    <w:rsid w:val="00173280"/>
    <w:rsid w:val="0017395D"/>
    <w:rsid w:val="00173983"/>
    <w:rsid w:val="00173C78"/>
    <w:rsid w:val="00175152"/>
    <w:rsid w:val="00176C68"/>
    <w:rsid w:val="00176E20"/>
    <w:rsid w:val="001779C9"/>
    <w:rsid w:val="00177BD1"/>
    <w:rsid w:val="00180676"/>
    <w:rsid w:val="00180E6F"/>
    <w:rsid w:val="00181940"/>
    <w:rsid w:val="00181F0D"/>
    <w:rsid w:val="00184596"/>
    <w:rsid w:val="00184F3C"/>
    <w:rsid w:val="0018519A"/>
    <w:rsid w:val="0018668F"/>
    <w:rsid w:val="001866B3"/>
    <w:rsid w:val="00186A78"/>
    <w:rsid w:val="0018713A"/>
    <w:rsid w:val="001874A0"/>
    <w:rsid w:val="00187DF5"/>
    <w:rsid w:val="00190963"/>
    <w:rsid w:val="001915E5"/>
    <w:rsid w:val="0019173C"/>
    <w:rsid w:val="0019180D"/>
    <w:rsid w:val="00192BBC"/>
    <w:rsid w:val="00193088"/>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3C08"/>
    <w:rsid w:val="001A3F41"/>
    <w:rsid w:val="001A5D33"/>
    <w:rsid w:val="001A68DF"/>
    <w:rsid w:val="001A6ED0"/>
    <w:rsid w:val="001A70CD"/>
    <w:rsid w:val="001A779E"/>
    <w:rsid w:val="001A7BFF"/>
    <w:rsid w:val="001B08A0"/>
    <w:rsid w:val="001B167E"/>
    <w:rsid w:val="001B1D96"/>
    <w:rsid w:val="001B2103"/>
    <w:rsid w:val="001B2439"/>
    <w:rsid w:val="001B28F7"/>
    <w:rsid w:val="001B337F"/>
    <w:rsid w:val="001B35AC"/>
    <w:rsid w:val="001B42C4"/>
    <w:rsid w:val="001B5772"/>
    <w:rsid w:val="001B5A45"/>
    <w:rsid w:val="001B5B3C"/>
    <w:rsid w:val="001B638E"/>
    <w:rsid w:val="001B6F69"/>
    <w:rsid w:val="001B727E"/>
    <w:rsid w:val="001C0015"/>
    <w:rsid w:val="001C01BB"/>
    <w:rsid w:val="001C0CDA"/>
    <w:rsid w:val="001C0E9D"/>
    <w:rsid w:val="001C14BD"/>
    <w:rsid w:val="001C14D8"/>
    <w:rsid w:val="001C1E2A"/>
    <w:rsid w:val="001C3773"/>
    <w:rsid w:val="001C4E1C"/>
    <w:rsid w:val="001C5BB6"/>
    <w:rsid w:val="001C677E"/>
    <w:rsid w:val="001C697A"/>
    <w:rsid w:val="001C7039"/>
    <w:rsid w:val="001C723A"/>
    <w:rsid w:val="001C7E2F"/>
    <w:rsid w:val="001D0884"/>
    <w:rsid w:val="001D09BD"/>
    <w:rsid w:val="001D1E1A"/>
    <w:rsid w:val="001D3ABD"/>
    <w:rsid w:val="001D42AD"/>
    <w:rsid w:val="001D4F05"/>
    <w:rsid w:val="001D4F44"/>
    <w:rsid w:val="001D5051"/>
    <w:rsid w:val="001D53A1"/>
    <w:rsid w:val="001D5EEB"/>
    <w:rsid w:val="001D612E"/>
    <w:rsid w:val="001D644B"/>
    <w:rsid w:val="001D667B"/>
    <w:rsid w:val="001D67C1"/>
    <w:rsid w:val="001D6878"/>
    <w:rsid w:val="001D78F4"/>
    <w:rsid w:val="001E0452"/>
    <w:rsid w:val="001E1479"/>
    <w:rsid w:val="001E172A"/>
    <w:rsid w:val="001E1C2A"/>
    <w:rsid w:val="001E2C71"/>
    <w:rsid w:val="001E37BD"/>
    <w:rsid w:val="001E4900"/>
    <w:rsid w:val="001E4DEB"/>
    <w:rsid w:val="001E5937"/>
    <w:rsid w:val="001E59B6"/>
    <w:rsid w:val="001E75AB"/>
    <w:rsid w:val="001F0AAD"/>
    <w:rsid w:val="001F104A"/>
    <w:rsid w:val="001F1579"/>
    <w:rsid w:val="001F2325"/>
    <w:rsid w:val="001F2C6C"/>
    <w:rsid w:val="001F3007"/>
    <w:rsid w:val="001F3351"/>
    <w:rsid w:val="001F5226"/>
    <w:rsid w:val="001F5D09"/>
    <w:rsid w:val="001F6989"/>
    <w:rsid w:val="001F7700"/>
    <w:rsid w:val="00200446"/>
    <w:rsid w:val="002015C8"/>
    <w:rsid w:val="002017E8"/>
    <w:rsid w:val="00201B62"/>
    <w:rsid w:val="0020372C"/>
    <w:rsid w:val="002039B7"/>
    <w:rsid w:val="002041C6"/>
    <w:rsid w:val="00204851"/>
    <w:rsid w:val="00206149"/>
    <w:rsid w:val="00206CF4"/>
    <w:rsid w:val="00206F57"/>
    <w:rsid w:val="0020753F"/>
    <w:rsid w:val="00210183"/>
    <w:rsid w:val="002103CC"/>
    <w:rsid w:val="002116C2"/>
    <w:rsid w:val="00211D59"/>
    <w:rsid w:val="00211DD7"/>
    <w:rsid w:val="00212847"/>
    <w:rsid w:val="00212FC5"/>
    <w:rsid w:val="002135BC"/>
    <w:rsid w:val="002179BB"/>
    <w:rsid w:val="00220262"/>
    <w:rsid w:val="002203A2"/>
    <w:rsid w:val="00220CF6"/>
    <w:rsid w:val="0022182C"/>
    <w:rsid w:val="00221D76"/>
    <w:rsid w:val="0022205A"/>
    <w:rsid w:val="00222298"/>
    <w:rsid w:val="002224D6"/>
    <w:rsid w:val="00222631"/>
    <w:rsid w:val="00222B15"/>
    <w:rsid w:val="00223105"/>
    <w:rsid w:val="00223165"/>
    <w:rsid w:val="00223675"/>
    <w:rsid w:val="002240BD"/>
    <w:rsid w:val="0022431F"/>
    <w:rsid w:val="00224650"/>
    <w:rsid w:val="00224E73"/>
    <w:rsid w:val="0022581C"/>
    <w:rsid w:val="002265DA"/>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FA6"/>
    <w:rsid w:val="00235093"/>
    <w:rsid w:val="00235203"/>
    <w:rsid w:val="00235912"/>
    <w:rsid w:val="00235D09"/>
    <w:rsid w:val="00237362"/>
    <w:rsid w:val="00237402"/>
    <w:rsid w:val="002379C6"/>
    <w:rsid w:val="00240EB9"/>
    <w:rsid w:val="002410B3"/>
    <w:rsid w:val="00242204"/>
    <w:rsid w:val="00242657"/>
    <w:rsid w:val="002436D1"/>
    <w:rsid w:val="002436FA"/>
    <w:rsid w:val="0024493E"/>
    <w:rsid w:val="00244F2E"/>
    <w:rsid w:val="0024609D"/>
    <w:rsid w:val="002460F7"/>
    <w:rsid w:val="002503EC"/>
    <w:rsid w:val="00250442"/>
    <w:rsid w:val="00250BAA"/>
    <w:rsid w:val="0025180C"/>
    <w:rsid w:val="00253467"/>
    <w:rsid w:val="0025374B"/>
    <w:rsid w:val="00253F04"/>
    <w:rsid w:val="00254059"/>
    <w:rsid w:val="00255216"/>
    <w:rsid w:val="0025522B"/>
    <w:rsid w:val="00255CDD"/>
    <w:rsid w:val="00256666"/>
    <w:rsid w:val="00256925"/>
    <w:rsid w:val="00256B20"/>
    <w:rsid w:val="00257074"/>
    <w:rsid w:val="002576E9"/>
    <w:rsid w:val="00260560"/>
    <w:rsid w:val="0026072D"/>
    <w:rsid w:val="00260B26"/>
    <w:rsid w:val="00260F3F"/>
    <w:rsid w:val="00261813"/>
    <w:rsid w:val="002626EA"/>
    <w:rsid w:val="002633C0"/>
    <w:rsid w:val="00263F4A"/>
    <w:rsid w:val="002649CA"/>
    <w:rsid w:val="0026612E"/>
    <w:rsid w:val="002678DC"/>
    <w:rsid w:val="00267B57"/>
    <w:rsid w:val="0027046E"/>
    <w:rsid w:val="002713D7"/>
    <w:rsid w:val="0027149C"/>
    <w:rsid w:val="00271875"/>
    <w:rsid w:val="00271CD0"/>
    <w:rsid w:val="00272884"/>
    <w:rsid w:val="0027350E"/>
    <w:rsid w:val="002737D7"/>
    <w:rsid w:val="00273833"/>
    <w:rsid w:val="00274180"/>
    <w:rsid w:val="00274896"/>
    <w:rsid w:val="002753B4"/>
    <w:rsid w:val="0027696F"/>
    <w:rsid w:val="00276C83"/>
    <w:rsid w:val="00277229"/>
    <w:rsid w:val="002773E1"/>
    <w:rsid w:val="0027768A"/>
    <w:rsid w:val="002779E9"/>
    <w:rsid w:val="002805EA"/>
    <w:rsid w:val="00280765"/>
    <w:rsid w:val="002809D7"/>
    <w:rsid w:val="0028174D"/>
    <w:rsid w:val="00281DCF"/>
    <w:rsid w:val="00282B2D"/>
    <w:rsid w:val="00283231"/>
    <w:rsid w:val="00283674"/>
    <w:rsid w:val="00284455"/>
    <w:rsid w:val="002846BF"/>
    <w:rsid w:val="00284BF2"/>
    <w:rsid w:val="00284F8E"/>
    <w:rsid w:val="00285C77"/>
    <w:rsid w:val="002864C4"/>
    <w:rsid w:val="0028750C"/>
    <w:rsid w:val="00290944"/>
    <w:rsid w:val="00290975"/>
    <w:rsid w:val="002918C7"/>
    <w:rsid w:val="00291A1C"/>
    <w:rsid w:val="00292006"/>
    <w:rsid w:val="002926E2"/>
    <w:rsid w:val="00292A83"/>
    <w:rsid w:val="00292E44"/>
    <w:rsid w:val="002936BE"/>
    <w:rsid w:val="00295755"/>
    <w:rsid w:val="00295C93"/>
    <w:rsid w:val="00296B20"/>
    <w:rsid w:val="00296EE4"/>
    <w:rsid w:val="002970E6"/>
    <w:rsid w:val="002A0759"/>
    <w:rsid w:val="002A10A3"/>
    <w:rsid w:val="002A13C3"/>
    <w:rsid w:val="002A1405"/>
    <w:rsid w:val="002A2450"/>
    <w:rsid w:val="002A2AB2"/>
    <w:rsid w:val="002A454E"/>
    <w:rsid w:val="002A4658"/>
    <w:rsid w:val="002A4A26"/>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240E"/>
    <w:rsid w:val="002C33C8"/>
    <w:rsid w:val="002C347A"/>
    <w:rsid w:val="002C3581"/>
    <w:rsid w:val="002C4946"/>
    <w:rsid w:val="002C5106"/>
    <w:rsid w:val="002C5BF9"/>
    <w:rsid w:val="002C6C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5108"/>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3739"/>
    <w:rsid w:val="00304047"/>
    <w:rsid w:val="003047DB"/>
    <w:rsid w:val="00304C39"/>
    <w:rsid w:val="00304CCF"/>
    <w:rsid w:val="00304F4D"/>
    <w:rsid w:val="00306B73"/>
    <w:rsid w:val="00307631"/>
    <w:rsid w:val="00307693"/>
    <w:rsid w:val="00307A1B"/>
    <w:rsid w:val="00307B5F"/>
    <w:rsid w:val="00307E44"/>
    <w:rsid w:val="00310CBF"/>
    <w:rsid w:val="00310F0C"/>
    <w:rsid w:val="00312DBA"/>
    <w:rsid w:val="00313E4E"/>
    <w:rsid w:val="00314EFD"/>
    <w:rsid w:val="003159E6"/>
    <w:rsid w:val="00316866"/>
    <w:rsid w:val="00317232"/>
    <w:rsid w:val="0031774F"/>
    <w:rsid w:val="003178F5"/>
    <w:rsid w:val="003201FE"/>
    <w:rsid w:val="003202D5"/>
    <w:rsid w:val="00320B12"/>
    <w:rsid w:val="003213C3"/>
    <w:rsid w:val="003235D8"/>
    <w:rsid w:val="003235DA"/>
    <w:rsid w:val="00323D57"/>
    <w:rsid w:val="003241D0"/>
    <w:rsid w:val="003242CF"/>
    <w:rsid w:val="003247D6"/>
    <w:rsid w:val="00326976"/>
    <w:rsid w:val="00326F1A"/>
    <w:rsid w:val="0033012F"/>
    <w:rsid w:val="0033173B"/>
    <w:rsid w:val="003338C2"/>
    <w:rsid w:val="00333ABD"/>
    <w:rsid w:val="00333CD8"/>
    <w:rsid w:val="00333D16"/>
    <w:rsid w:val="00334114"/>
    <w:rsid w:val="003343FF"/>
    <w:rsid w:val="00334687"/>
    <w:rsid w:val="0033735A"/>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5C5"/>
    <w:rsid w:val="003547BA"/>
    <w:rsid w:val="00355147"/>
    <w:rsid w:val="00356897"/>
    <w:rsid w:val="003568EE"/>
    <w:rsid w:val="003576E9"/>
    <w:rsid w:val="0036068E"/>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578"/>
    <w:rsid w:val="003679E0"/>
    <w:rsid w:val="00367BC9"/>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E5F"/>
    <w:rsid w:val="00375E9B"/>
    <w:rsid w:val="00375F0E"/>
    <w:rsid w:val="003762E4"/>
    <w:rsid w:val="00376AD9"/>
    <w:rsid w:val="00377B28"/>
    <w:rsid w:val="003815F7"/>
    <w:rsid w:val="00381F38"/>
    <w:rsid w:val="00382E1F"/>
    <w:rsid w:val="0038321E"/>
    <w:rsid w:val="00383E50"/>
    <w:rsid w:val="0038423D"/>
    <w:rsid w:val="00384702"/>
    <w:rsid w:val="0038485B"/>
    <w:rsid w:val="00385C59"/>
    <w:rsid w:val="00385CF9"/>
    <w:rsid w:val="003863BD"/>
    <w:rsid w:val="00386DEB"/>
    <w:rsid w:val="00387670"/>
    <w:rsid w:val="00390C51"/>
    <w:rsid w:val="00390D49"/>
    <w:rsid w:val="00390FD0"/>
    <w:rsid w:val="00391E00"/>
    <w:rsid w:val="00392678"/>
    <w:rsid w:val="00392AA6"/>
    <w:rsid w:val="00392B22"/>
    <w:rsid w:val="00392D43"/>
    <w:rsid w:val="00393333"/>
    <w:rsid w:val="00395687"/>
    <w:rsid w:val="0039568C"/>
    <w:rsid w:val="00396089"/>
    <w:rsid w:val="0039657D"/>
    <w:rsid w:val="00397082"/>
    <w:rsid w:val="003973C0"/>
    <w:rsid w:val="00397F6A"/>
    <w:rsid w:val="003A0654"/>
    <w:rsid w:val="003A0E7E"/>
    <w:rsid w:val="003A250B"/>
    <w:rsid w:val="003A261A"/>
    <w:rsid w:val="003A2C7B"/>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7067"/>
    <w:rsid w:val="003B79AD"/>
    <w:rsid w:val="003C29FC"/>
    <w:rsid w:val="003C2E46"/>
    <w:rsid w:val="003C340F"/>
    <w:rsid w:val="003C4C40"/>
    <w:rsid w:val="003C5154"/>
    <w:rsid w:val="003C58A7"/>
    <w:rsid w:val="003C5B86"/>
    <w:rsid w:val="003C5D02"/>
    <w:rsid w:val="003C74AB"/>
    <w:rsid w:val="003D01E9"/>
    <w:rsid w:val="003D0983"/>
    <w:rsid w:val="003D139E"/>
    <w:rsid w:val="003D1448"/>
    <w:rsid w:val="003D198C"/>
    <w:rsid w:val="003D1ABC"/>
    <w:rsid w:val="003D2324"/>
    <w:rsid w:val="003D238D"/>
    <w:rsid w:val="003D38A9"/>
    <w:rsid w:val="003D3E34"/>
    <w:rsid w:val="003D5FD0"/>
    <w:rsid w:val="003D76C3"/>
    <w:rsid w:val="003E01E5"/>
    <w:rsid w:val="003E2AF2"/>
    <w:rsid w:val="003E2C4B"/>
    <w:rsid w:val="003E36D7"/>
    <w:rsid w:val="003E49FC"/>
    <w:rsid w:val="003E5069"/>
    <w:rsid w:val="003E536D"/>
    <w:rsid w:val="003E5A4F"/>
    <w:rsid w:val="003E5AEE"/>
    <w:rsid w:val="003E6051"/>
    <w:rsid w:val="003E6DF2"/>
    <w:rsid w:val="003E71A2"/>
    <w:rsid w:val="003F0C14"/>
    <w:rsid w:val="003F0FB3"/>
    <w:rsid w:val="003F1040"/>
    <w:rsid w:val="003F2006"/>
    <w:rsid w:val="003F2A87"/>
    <w:rsid w:val="003F3790"/>
    <w:rsid w:val="003F41E3"/>
    <w:rsid w:val="003F4629"/>
    <w:rsid w:val="003F77B0"/>
    <w:rsid w:val="004015C5"/>
    <w:rsid w:val="00402223"/>
    <w:rsid w:val="00402486"/>
    <w:rsid w:val="00402B31"/>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20099"/>
    <w:rsid w:val="00421925"/>
    <w:rsid w:val="00421F62"/>
    <w:rsid w:val="00422171"/>
    <w:rsid w:val="0042253C"/>
    <w:rsid w:val="004226A0"/>
    <w:rsid w:val="00423707"/>
    <w:rsid w:val="00423844"/>
    <w:rsid w:val="00423FF4"/>
    <w:rsid w:val="004248A3"/>
    <w:rsid w:val="00424946"/>
    <w:rsid w:val="00425BE6"/>
    <w:rsid w:val="00425CC1"/>
    <w:rsid w:val="00425D96"/>
    <w:rsid w:val="004263CB"/>
    <w:rsid w:val="004269B6"/>
    <w:rsid w:val="00426D1F"/>
    <w:rsid w:val="004270CB"/>
    <w:rsid w:val="00430BE5"/>
    <w:rsid w:val="00431F9E"/>
    <w:rsid w:val="004321FD"/>
    <w:rsid w:val="00432394"/>
    <w:rsid w:val="0043276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CFB"/>
    <w:rsid w:val="0046247E"/>
    <w:rsid w:val="00462816"/>
    <w:rsid w:val="00462B41"/>
    <w:rsid w:val="00462D58"/>
    <w:rsid w:val="0046306E"/>
    <w:rsid w:val="0046320C"/>
    <w:rsid w:val="00464A88"/>
    <w:rsid w:val="00464F4B"/>
    <w:rsid w:val="004650F4"/>
    <w:rsid w:val="00465589"/>
    <w:rsid w:val="004655E1"/>
    <w:rsid w:val="0046574D"/>
    <w:rsid w:val="00465E57"/>
    <w:rsid w:val="00465FB8"/>
    <w:rsid w:val="0046642F"/>
    <w:rsid w:val="00466DE4"/>
    <w:rsid w:val="00466F77"/>
    <w:rsid w:val="0047001D"/>
    <w:rsid w:val="004703B9"/>
    <w:rsid w:val="0047153C"/>
    <w:rsid w:val="00471CFF"/>
    <w:rsid w:val="00472086"/>
    <w:rsid w:val="0047214C"/>
    <w:rsid w:val="0047253A"/>
    <w:rsid w:val="00472672"/>
    <w:rsid w:val="0047480D"/>
    <w:rsid w:val="00474BD2"/>
    <w:rsid w:val="00474D02"/>
    <w:rsid w:val="004750C3"/>
    <w:rsid w:val="004755E7"/>
    <w:rsid w:val="00476B49"/>
    <w:rsid w:val="0047779C"/>
    <w:rsid w:val="00477D13"/>
    <w:rsid w:val="00477EC1"/>
    <w:rsid w:val="00480811"/>
    <w:rsid w:val="004827B4"/>
    <w:rsid w:val="00483747"/>
    <w:rsid w:val="004838FC"/>
    <w:rsid w:val="00483DE8"/>
    <w:rsid w:val="00484314"/>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83E"/>
    <w:rsid w:val="004B5E67"/>
    <w:rsid w:val="004B64AE"/>
    <w:rsid w:val="004B65DA"/>
    <w:rsid w:val="004B773D"/>
    <w:rsid w:val="004C0E0D"/>
    <w:rsid w:val="004C1CF8"/>
    <w:rsid w:val="004C2367"/>
    <w:rsid w:val="004C255A"/>
    <w:rsid w:val="004C3656"/>
    <w:rsid w:val="004C3977"/>
    <w:rsid w:val="004C4BDB"/>
    <w:rsid w:val="004C5435"/>
    <w:rsid w:val="004C5BE7"/>
    <w:rsid w:val="004C6E6C"/>
    <w:rsid w:val="004C7BCC"/>
    <w:rsid w:val="004D1107"/>
    <w:rsid w:val="004D24B5"/>
    <w:rsid w:val="004D27CF"/>
    <w:rsid w:val="004D3C8F"/>
    <w:rsid w:val="004D4351"/>
    <w:rsid w:val="004D4A27"/>
    <w:rsid w:val="004D4E8B"/>
    <w:rsid w:val="004D5895"/>
    <w:rsid w:val="004D5997"/>
    <w:rsid w:val="004D6800"/>
    <w:rsid w:val="004D7D18"/>
    <w:rsid w:val="004D7E61"/>
    <w:rsid w:val="004D7F49"/>
    <w:rsid w:val="004E10D6"/>
    <w:rsid w:val="004E15CE"/>
    <w:rsid w:val="004E1B0B"/>
    <w:rsid w:val="004E1DBC"/>
    <w:rsid w:val="004E215E"/>
    <w:rsid w:val="004E2D46"/>
    <w:rsid w:val="004E3209"/>
    <w:rsid w:val="004E41D1"/>
    <w:rsid w:val="004E4550"/>
    <w:rsid w:val="004E49F7"/>
    <w:rsid w:val="004E4C0C"/>
    <w:rsid w:val="004E4FBA"/>
    <w:rsid w:val="004E5621"/>
    <w:rsid w:val="004E68D0"/>
    <w:rsid w:val="004E77F1"/>
    <w:rsid w:val="004F05E0"/>
    <w:rsid w:val="004F1790"/>
    <w:rsid w:val="004F17D2"/>
    <w:rsid w:val="004F32D7"/>
    <w:rsid w:val="004F3BFF"/>
    <w:rsid w:val="004F4427"/>
    <w:rsid w:val="004F46FA"/>
    <w:rsid w:val="004F49BE"/>
    <w:rsid w:val="004F52EF"/>
    <w:rsid w:val="004F5D5A"/>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3993"/>
    <w:rsid w:val="00513A6F"/>
    <w:rsid w:val="00513C5F"/>
    <w:rsid w:val="005143EA"/>
    <w:rsid w:val="005144D7"/>
    <w:rsid w:val="00514CFF"/>
    <w:rsid w:val="00514DDE"/>
    <w:rsid w:val="00515699"/>
    <w:rsid w:val="005215E7"/>
    <w:rsid w:val="005218A2"/>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303B5"/>
    <w:rsid w:val="00530DBE"/>
    <w:rsid w:val="005315A2"/>
    <w:rsid w:val="005323B2"/>
    <w:rsid w:val="00532B6C"/>
    <w:rsid w:val="005330A0"/>
    <w:rsid w:val="005340E5"/>
    <w:rsid w:val="005347A8"/>
    <w:rsid w:val="005353CD"/>
    <w:rsid w:val="00536088"/>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5E8"/>
    <w:rsid w:val="00546726"/>
    <w:rsid w:val="005468DF"/>
    <w:rsid w:val="00546AAC"/>
    <w:rsid w:val="00546F2B"/>
    <w:rsid w:val="00547C10"/>
    <w:rsid w:val="00551858"/>
    <w:rsid w:val="00551D10"/>
    <w:rsid w:val="00551FE6"/>
    <w:rsid w:val="005525A8"/>
    <w:rsid w:val="005525CC"/>
    <w:rsid w:val="00552F2B"/>
    <w:rsid w:val="00554577"/>
    <w:rsid w:val="00554930"/>
    <w:rsid w:val="00555D24"/>
    <w:rsid w:val="005564E4"/>
    <w:rsid w:val="0055676D"/>
    <w:rsid w:val="00557BB9"/>
    <w:rsid w:val="005603C5"/>
    <w:rsid w:val="00560426"/>
    <w:rsid w:val="005618AF"/>
    <w:rsid w:val="005625F0"/>
    <w:rsid w:val="00562F6D"/>
    <w:rsid w:val="005636BF"/>
    <w:rsid w:val="005637EA"/>
    <w:rsid w:val="00563A7A"/>
    <w:rsid w:val="0056469B"/>
    <w:rsid w:val="005653A9"/>
    <w:rsid w:val="00565A54"/>
    <w:rsid w:val="0056712B"/>
    <w:rsid w:val="005703A7"/>
    <w:rsid w:val="00572181"/>
    <w:rsid w:val="005722C4"/>
    <w:rsid w:val="00572438"/>
    <w:rsid w:val="00572AE9"/>
    <w:rsid w:val="0057300A"/>
    <w:rsid w:val="0057338D"/>
    <w:rsid w:val="005733CE"/>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57DC"/>
    <w:rsid w:val="00596498"/>
    <w:rsid w:val="00597232"/>
    <w:rsid w:val="00597515"/>
    <w:rsid w:val="00597BA9"/>
    <w:rsid w:val="005A0522"/>
    <w:rsid w:val="005A0D1A"/>
    <w:rsid w:val="005A1419"/>
    <w:rsid w:val="005A1C2A"/>
    <w:rsid w:val="005A25E7"/>
    <w:rsid w:val="005A28D6"/>
    <w:rsid w:val="005A429D"/>
    <w:rsid w:val="005A4C1D"/>
    <w:rsid w:val="005A5F8E"/>
    <w:rsid w:val="005A63BF"/>
    <w:rsid w:val="005A6EF2"/>
    <w:rsid w:val="005A6F74"/>
    <w:rsid w:val="005A7D6E"/>
    <w:rsid w:val="005B12DA"/>
    <w:rsid w:val="005B2243"/>
    <w:rsid w:val="005B22CF"/>
    <w:rsid w:val="005B28B6"/>
    <w:rsid w:val="005B3BF4"/>
    <w:rsid w:val="005B42F6"/>
    <w:rsid w:val="005B4318"/>
    <w:rsid w:val="005B4AA3"/>
    <w:rsid w:val="005B4E8D"/>
    <w:rsid w:val="005B531D"/>
    <w:rsid w:val="005B5A9D"/>
    <w:rsid w:val="005B6072"/>
    <w:rsid w:val="005B63E7"/>
    <w:rsid w:val="005B63EE"/>
    <w:rsid w:val="005B78EC"/>
    <w:rsid w:val="005C03EA"/>
    <w:rsid w:val="005C18A8"/>
    <w:rsid w:val="005C1B09"/>
    <w:rsid w:val="005C2708"/>
    <w:rsid w:val="005C2D8C"/>
    <w:rsid w:val="005C2DD6"/>
    <w:rsid w:val="005C2F0C"/>
    <w:rsid w:val="005C2FCE"/>
    <w:rsid w:val="005C301D"/>
    <w:rsid w:val="005C3084"/>
    <w:rsid w:val="005C38FD"/>
    <w:rsid w:val="005C4A3A"/>
    <w:rsid w:val="005C6B5E"/>
    <w:rsid w:val="005C737A"/>
    <w:rsid w:val="005C7CD7"/>
    <w:rsid w:val="005C7F58"/>
    <w:rsid w:val="005D0061"/>
    <w:rsid w:val="005D0298"/>
    <w:rsid w:val="005D1154"/>
    <w:rsid w:val="005D11B3"/>
    <w:rsid w:val="005D1332"/>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43E"/>
    <w:rsid w:val="00606A58"/>
    <w:rsid w:val="00607562"/>
    <w:rsid w:val="006107C4"/>
    <w:rsid w:val="00610BC3"/>
    <w:rsid w:val="00610F33"/>
    <w:rsid w:val="00610FFE"/>
    <w:rsid w:val="006113BA"/>
    <w:rsid w:val="00612A78"/>
    <w:rsid w:val="006131A4"/>
    <w:rsid w:val="006131B0"/>
    <w:rsid w:val="0061461F"/>
    <w:rsid w:val="00614CA5"/>
    <w:rsid w:val="0061550E"/>
    <w:rsid w:val="00615635"/>
    <w:rsid w:val="0061625E"/>
    <w:rsid w:val="00616FA5"/>
    <w:rsid w:val="006175F3"/>
    <w:rsid w:val="006205B8"/>
    <w:rsid w:val="00621590"/>
    <w:rsid w:val="0062161A"/>
    <w:rsid w:val="006217F5"/>
    <w:rsid w:val="006233B5"/>
    <w:rsid w:val="00623927"/>
    <w:rsid w:val="006239F5"/>
    <w:rsid w:val="00623A2A"/>
    <w:rsid w:val="00624018"/>
    <w:rsid w:val="006245EB"/>
    <w:rsid w:val="00625604"/>
    <w:rsid w:val="006257F3"/>
    <w:rsid w:val="006265AB"/>
    <w:rsid w:val="006267EF"/>
    <w:rsid w:val="00626D75"/>
    <w:rsid w:val="00627EFE"/>
    <w:rsid w:val="00630B30"/>
    <w:rsid w:val="00630D3A"/>
    <w:rsid w:val="006310A6"/>
    <w:rsid w:val="00632DCD"/>
    <w:rsid w:val="0063377C"/>
    <w:rsid w:val="00633806"/>
    <w:rsid w:val="00633F63"/>
    <w:rsid w:val="0063543E"/>
    <w:rsid w:val="00635440"/>
    <w:rsid w:val="00635629"/>
    <w:rsid w:val="00635CD6"/>
    <w:rsid w:val="00642435"/>
    <w:rsid w:val="00642AFF"/>
    <w:rsid w:val="00642EB0"/>
    <w:rsid w:val="00642F55"/>
    <w:rsid w:val="006433E1"/>
    <w:rsid w:val="006437DC"/>
    <w:rsid w:val="00643D60"/>
    <w:rsid w:val="00643FFB"/>
    <w:rsid w:val="0064466B"/>
    <w:rsid w:val="00644719"/>
    <w:rsid w:val="00644BCD"/>
    <w:rsid w:val="006453B1"/>
    <w:rsid w:val="00645B0F"/>
    <w:rsid w:val="006468EB"/>
    <w:rsid w:val="00646C91"/>
    <w:rsid w:val="006470AC"/>
    <w:rsid w:val="00650911"/>
    <w:rsid w:val="0065159B"/>
    <w:rsid w:val="0065162F"/>
    <w:rsid w:val="0065290E"/>
    <w:rsid w:val="0065421B"/>
    <w:rsid w:val="00654331"/>
    <w:rsid w:val="00654524"/>
    <w:rsid w:val="00654B04"/>
    <w:rsid w:val="00654B78"/>
    <w:rsid w:val="00655441"/>
    <w:rsid w:val="006558A4"/>
    <w:rsid w:val="00656075"/>
    <w:rsid w:val="00657A1B"/>
    <w:rsid w:val="006607A5"/>
    <w:rsid w:val="0066085E"/>
    <w:rsid w:val="00660AB9"/>
    <w:rsid w:val="006628C3"/>
    <w:rsid w:val="00662F23"/>
    <w:rsid w:val="0066304E"/>
    <w:rsid w:val="00663796"/>
    <w:rsid w:val="00664D49"/>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5594"/>
    <w:rsid w:val="00675CB7"/>
    <w:rsid w:val="00676DBF"/>
    <w:rsid w:val="00677328"/>
    <w:rsid w:val="00677E2D"/>
    <w:rsid w:val="006800E2"/>
    <w:rsid w:val="006808EB"/>
    <w:rsid w:val="00680A10"/>
    <w:rsid w:val="0068281B"/>
    <w:rsid w:val="00682845"/>
    <w:rsid w:val="00682E7D"/>
    <w:rsid w:val="006831E5"/>
    <w:rsid w:val="00683A1E"/>
    <w:rsid w:val="00683F9A"/>
    <w:rsid w:val="00684F44"/>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0A0"/>
    <w:rsid w:val="006A0AF8"/>
    <w:rsid w:val="006A14BF"/>
    <w:rsid w:val="006A16AA"/>
    <w:rsid w:val="006A285A"/>
    <w:rsid w:val="006A34BA"/>
    <w:rsid w:val="006A370B"/>
    <w:rsid w:val="006A4DF2"/>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C6D"/>
    <w:rsid w:val="006B50AE"/>
    <w:rsid w:val="006B53BD"/>
    <w:rsid w:val="006B6280"/>
    <w:rsid w:val="006B6761"/>
    <w:rsid w:val="006B68F3"/>
    <w:rsid w:val="006B6E33"/>
    <w:rsid w:val="006B773E"/>
    <w:rsid w:val="006C0F2A"/>
    <w:rsid w:val="006C155B"/>
    <w:rsid w:val="006C1C3D"/>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793F"/>
    <w:rsid w:val="006D0311"/>
    <w:rsid w:val="006D061B"/>
    <w:rsid w:val="006D08F8"/>
    <w:rsid w:val="006D1B4B"/>
    <w:rsid w:val="006D1BA6"/>
    <w:rsid w:val="006D2B01"/>
    <w:rsid w:val="006D3363"/>
    <w:rsid w:val="006D362A"/>
    <w:rsid w:val="006D397F"/>
    <w:rsid w:val="006D3D23"/>
    <w:rsid w:val="006D43E3"/>
    <w:rsid w:val="006D4707"/>
    <w:rsid w:val="006D544C"/>
    <w:rsid w:val="006D55F9"/>
    <w:rsid w:val="006D584D"/>
    <w:rsid w:val="006D6364"/>
    <w:rsid w:val="006D6B2D"/>
    <w:rsid w:val="006D6DF4"/>
    <w:rsid w:val="006E03E1"/>
    <w:rsid w:val="006E0912"/>
    <w:rsid w:val="006E0F60"/>
    <w:rsid w:val="006E0F61"/>
    <w:rsid w:val="006E10CC"/>
    <w:rsid w:val="006E2634"/>
    <w:rsid w:val="006E35C6"/>
    <w:rsid w:val="006E3C7B"/>
    <w:rsid w:val="006E45FA"/>
    <w:rsid w:val="006E5C5A"/>
    <w:rsid w:val="006E60CB"/>
    <w:rsid w:val="006E643C"/>
    <w:rsid w:val="006E6ADB"/>
    <w:rsid w:val="006E7B73"/>
    <w:rsid w:val="006E7E73"/>
    <w:rsid w:val="006E7EF7"/>
    <w:rsid w:val="006F024C"/>
    <w:rsid w:val="006F0755"/>
    <w:rsid w:val="006F0B5D"/>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3447"/>
    <w:rsid w:val="00713871"/>
    <w:rsid w:val="007144E0"/>
    <w:rsid w:val="00715332"/>
    <w:rsid w:val="007153F4"/>
    <w:rsid w:val="007156AA"/>
    <w:rsid w:val="00715D00"/>
    <w:rsid w:val="007165C4"/>
    <w:rsid w:val="0071660F"/>
    <w:rsid w:val="00716C3C"/>
    <w:rsid w:val="00716D2F"/>
    <w:rsid w:val="007177AE"/>
    <w:rsid w:val="007177D5"/>
    <w:rsid w:val="00721363"/>
    <w:rsid w:val="007213B1"/>
    <w:rsid w:val="00721633"/>
    <w:rsid w:val="00721D9E"/>
    <w:rsid w:val="00722C07"/>
    <w:rsid w:val="00722D94"/>
    <w:rsid w:val="00722FB3"/>
    <w:rsid w:val="0072471D"/>
    <w:rsid w:val="007249DF"/>
    <w:rsid w:val="00724D16"/>
    <w:rsid w:val="00724E74"/>
    <w:rsid w:val="00725CCB"/>
    <w:rsid w:val="007267B3"/>
    <w:rsid w:val="00726D80"/>
    <w:rsid w:val="00727463"/>
    <w:rsid w:val="007277F0"/>
    <w:rsid w:val="00727B62"/>
    <w:rsid w:val="00731642"/>
    <w:rsid w:val="00731AD1"/>
    <w:rsid w:val="00731EE5"/>
    <w:rsid w:val="00733BBA"/>
    <w:rsid w:val="00733CC5"/>
    <w:rsid w:val="00734646"/>
    <w:rsid w:val="00734693"/>
    <w:rsid w:val="00735ABC"/>
    <w:rsid w:val="00735D7A"/>
    <w:rsid w:val="007363A1"/>
    <w:rsid w:val="00737126"/>
    <w:rsid w:val="0073736B"/>
    <w:rsid w:val="00737F56"/>
    <w:rsid w:val="00740142"/>
    <w:rsid w:val="00740565"/>
    <w:rsid w:val="00741C19"/>
    <w:rsid w:val="00741DFF"/>
    <w:rsid w:val="0074275F"/>
    <w:rsid w:val="00742D32"/>
    <w:rsid w:val="00743C02"/>
    <w:rsid w:val="007445C3"/>
    <w:rsid w:val="0074551A"/>
    <w:rsid w:val="00745907"/>
    <w:rsid w:val="00745C95"/>
    <w:rsid w:val="00745E49"/>
    <w:rsid w:val="00746002"/>
    <w:rsid w:val="00746074"/>
    <w:rsid w:val="007472FF"/>
    <w:rsid w:val="007473E1"/>
    <w:rsid w:val="007475CB"/>
    <w:rsid w:val="0074792C"/>
    <w:rsid w:val="0075127E"/>
    <w:rsid w:val="00751A34"/>
    <w:rsid w:val="00751D90"/>
    <w:rsid w:val="007522EE"/>
    <w:rsid w:val="0075312E"/>
    <w:rsid w:val="00753C41"/>
    <w:rsid w:val="00754300"/>
    <w:rsid w:val="007545F8"/>
    <w:rsid w:val="00754FAF"/>
    <w:rsid w:val="007557B0"/>
    <w:rsid w:val="00755E10"/>
    <w:rsid w:val="00756140"/>
    <w:rsid w:val="0075674B"/>
    <w:rsid w:val="0075699D"/>
    <w:rsid w:val="00757621"/>
    <w:rsid w:val="00760D95"/>
    <w:rsid w:val="00760EA6"/>
    <w:rsid w:val="00762063"/>
    <w:rsid w:val="007621C6"/>
    <w:rsid w:val="00762384"/>
    <w:rsid w:val="00762A38"/>
    <w:rsid w:val="00763414"/>
    <w:rsid w:val="00763B80"/>
    <w:rsid w:val="0076498B"/>
    <w:rsid w:val="00764AC3"/>
    <w:rsid w:val="00765B33"/>
    <w:rsid w:val="0077039C"/>
    <w:rsid w:val="007703DD"/>
    <w:rsid w:val="007710C4"/>
    <w:rsid w:val="0077115D"/>
    <w:rsid w:val="00771841"/>
    <w:rsid w:val="00771DB8"/>
    <w:rsid w:val="00771FAC"/>
    <w:rsid w:val="0077208B"/>
    <w:rsid w:val="00772A1F"/>
    <w:rsid w:val="00773512"/>
    <w:rsid w:val="00773843"/>
    <w:rsid w:val="00774E08"/>
    <w:rsid w:val="007763DB"/>
    <w:rsid w:val="00776FFA"/>
    <w:rsid w:val="00777030"/>
    <w:rsid w:val="007808C8"/>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7328"/>
    <w:rsid w:val="007911E6"/>
    <w:rsid w:val="007914E3"/>
    <w:rsid w:val="007915F7"/>
    <w:rsid w:val="00791C02"/>
    <w:rsid w:val="0079203D"/>
    <w:rsid w:val="007920EE"/>
    <w:rsid w:val="00792B3D"/>
    <w:rsid w:val="00794473"/>
    <w:rsid w:val="00794591"/>
    <w:rsid w:val="007946CE"/>
    <w:rsid w:val="00794EA6"/>
    <w:rsid w:val="0079554A"/>
    <w:rsid w:val="007972F7"/>
    <w:rsid w:val="007975F5"/>
    <w:rsid w:val="00797710"/>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3BD"/>
    <w:rsid w:val="007B35FB"/>
    <w:rsid w:val="007B4302"/>
    <w:rsid w:val="007B460F"/>
    <w:rsid w:val="007B5342"/>
    <w:rsid w:val="007B6356"/>
    <w:rsid w:val="007B6743"/>
    <w:rsid w:val="007B681A"/>
    <w:rsid w:val="007B6B49"/>
    <w:rsid w:val="007B6F04"/>
    <w:rsid w:val="007B76E8"/>
    <w:rsid w:val="007B79A9"/>
    <w:rsid w:val="007B7AFD"/>
    <w:rsid w:val="007B7F3D"/>
    <w:rsid w:val="007C0CC0"/>
    <w:rsid w:val="007C1C76"/>
    <w:rsid w:val="007C2CDE"/>
    <w:rsid w:val="007C40D8"/>
    <w:rsid w:val="007C4255"/>
    <w:rsid w:val="007C453D"/>
    <w:rsid w:val="007C495B"/>
    <w:rsid w:val="007C5096"/>
    <w:rsid w:val="007C65C7"/>
    <w:rsid w:val="007C6635"/>
    <w:rsid w:val="007C7061"/>
    <w:rsid w:val="007D04DB"/>
    <w:rsid w:val="007D0CB1"/>
    <w:rsid w:val="007D1233"/>
    <w:rsid w:val="007D1552"/>
    <w:rsid w:val="007D1E3F"/>
    <w:rsid w:val="007D5136"/>
    <w:rsid w:val="007D52E5"/>
    <w:rsid w:val="007D5ECC"/>
    <w:rsid w:val="007D6095"/>
    <w:rsid w:val="007D68BE"/>
    <w:rsid w:val="007D74BC"/>
    <w:rsid w:val="007D754C"/>
    <w:rsid w:val="007E1BB1"/>
    <w:rsid w:val="007E1DF0"/>
    <w:rsid w:val="007E21FD"/>
    <w:rsid w:val="007E29E3"/>
    <w:rsid w:val="007E42C5"/>
    <w:rsid w:val="007E47A6"/>
    <w:rsid w:val="007E52AF"/>
    <w:rsid w:val="007E6375"/>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BB9"/>
    <w:rsid w:val="007F6D02"/>
    <w:rsid w:val="007F7DB2"/>
    <w:rsid w:val="00800499"/>
    <w:rsid w:val="0080079B"/>
    <w:rsid w:val="00800A2E"/>
    <w:rsid w:val="008011F3"/>
    <w:rsid w:val="00801BFA"/>
    <w:rsid w:val="00801C4F"/>
    <w:rsid w:val="00801E24"/>
    <w:rsid w:val="008024A5"/>
    <w:rsid w:val="00802767"/>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6ACC"/>
    <w:rsid w:val="00817A1F"/>
    <w:rsid w:val="00817D5E"/>
    <w:rsid w:val="008206BE"/>
    <w:rsid w:val="008206DE"/>
    <w:rsid w:val="00821117"/>
    <w:rsid w:val="00822554"/>
    <w:rsid w:val="00822A9A"/>
    <w:rsid w:val="00823F29"/>
    <w:rsid w:val="0082406F"/>
    <w:rsid w:val="00824B27"/>
    <w:rsid w:val="00824C53"/>
    <w:rsid w:val="00825B21"/>
    <w:rsid w:val="00826338"/>
    <w:rsid w:val="00826FD6"/>
    <w:rsid w:val="008279E3"/>
    <w:rsid w:val="00827E91"/>
    <w:rsid w:val="008303B5"/>
    <w:rsid w:val="008311AD"/>
    <w:rsid w:val="00831D44"/>
    <w:rsid w:val="00832B27"/>
    <w:rsid w:val="00832CBA"/>
    <w:rsid w:val="00832EB4"/>
    <w:rsid w:val="00833F19"/>
    <w:rsid w:val="00834121"/>
    <w:rsid w:val="00835271"/>
    <w:rsid w:val="008359ED"/>
    <w:rsid w:val="008374E5"/>
    <w:rsid w:val="00837798"/>
    <w:rsid w:val="008378C8"/>
    <w:rsid w:val="00837D4E"/>
    <w:rsid w:val="00840C0E"/>
    <w:rsid w:val="0084129F"/>
    <w:rsid w:val="0084147A"/>
    <w:rsid w:val="008424B2"/>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198D"/>
    <w:rsid w:val="00851B93"/>
    <w:rsid w:val="00852F7A"/>
    <w:rsid w:val="00853287"/>
    <w:rsid w:val="00853425"/>
    <w:rsid w:val="00853672"/>
    <w:rsid w:val="00853ADD"/>
    <w:rsid w:val="00853C16"/>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10EA"/>
    <w:rsid w:val="008615ED"/>
    <w:rsid w:val="0086174B"/>
    <w:rsid w:val="0086182B"/>
    <w:rsid w:val="00862289"/>
    <w:rsid w:val="0086251B"/>
    <w:rsid w:val="00862599"/>
    <w:rsid w:val="00862657"/>
    <w:rsid w:val="00863A84"/>
    <w:rsid w:val="00863CC5"/>
    <w:rsid w:val="00864200"/>
    <w:rsid w:val="0086448A"/>
    <w:rsid w:val="008647F4"/>
    <w:rsid w:val="008652F1"/>
    <w:rsid w:val="00865355"/>
    <w:rsid w:val="00865CF8"/>
    <w:rsid w:val="00866175"/>
    <w:rsid w:val="00866231"/>
    <w:rsid w:val="00866A8B"/>
    <w:rsid w:val="00866E84"/>
    <w:rsid w:val="00867170"/>
    <w:rsid w:val="00870F5E"/>
    <w:rsid w:val="00871ED1"/>
    <w:rsid w:val="0087257E"/>
    <w:rsid w:val="0087286D"/>
    <w:rsid w:val="00873370"/>
    <w:rsid w:val="0087337E"/>
    <w:rsid w:val="0087407B"/>
    <w:rsid w:val="00874E62"/>
    <w:rsid w:val="0087575E"/>
    <w:rsid w:val="00876EAB"/>
    <w:rsid w:val="00876FA6"/>
    <w:rsid w:val="0087717C"/>
    <w:rsid w:val="0087777A"/>
    <w:rsid w:val="0087779C"/>
    <w:rsid w:val="00880295"/>
    <w:rsid w:val="008803E9"/>
    <w:rsid w:val="0088162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4085"/>
    <w:rsid w:val="00894351"/>
    <w:rsid w:val="00894D37"/>
    <w:rsid w:val="00895710"/>
    <w:rsid w:val="008959A0"/>
    <w:rsid w:val="00896381"/>
    <w:rsid w:val="00896508"/>
    <w:rsid w:val="0089698A"/>
    <w:rsid w:val="00896F3C"/>
    <w:rsid w:val="00897403"/>
    <w:rsid w:val="008975D5"/>
    <w:rsid w:val="00897811"/>
    <w:rsid w:val="008A05BD"/>
    <w:rsid w:val="008A0F1C"/>
    <w:rsid w:val="008A2142"/>
    <w:rsid w:val="008A2BE5"/>
    <w:rsid w:val="008A36AC"/>
    <w:rsid w:val="008A38A1"/>
    <w:rsid w:val="008A4907"/>
    <w:rsid w:val="008A5A70"/>
    <w:rsid w:val="008A6AE3"/>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F79"/>
    <w:rsid w:val="008C3032"/>
    <w:rsid w:val="008C38FF"/>
    <w:rsid w:val="008C3999"/>
    <w:rsid w:val="008C3A92"/>
    <w:rsid w:val="008C3BC3"/>
    <w:rsid w:val="008C3D41"/>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951"/>
    <w:rsid w:val="008D4F9B"/>
    <w:rsid w:val="008D5EDF"/>
    <w:rsid w:val="008D6E3F"/>
    <w:rsid w:val="008D7AD1"/>
    <w:rsid w:val="008E0089"/>
    <w:rsid w:val="008E1221"/>
    <w:rsid w:val="008E1AE7"/>
    <w:rsid w:val="008E20E8"/>
    <w:rsid w:val="008E3747"/>
    <w:rsid w:val="008E43F6"/>
    <w:rsid w:val="008E4ACE"/>
    <w:rsid w:val="008E500C"/>
    <w:rsid w:val="008E547A"/>
    <w:rsid w:val="008E6208"/>
    <w:rsid w:val="008E657A"/>
    <w:rsid w:val="008E6F2A"/>
    <w:rsid w:val="008E7436"/>
    <w:rsid w:val="008E7B07"/>
    <w:rsid w:val="008E7D5E"/>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F72"/>
    <w:rsid w:val="00900F78"/>
    <w:rsid w:val="00901A4B"/>
    <w:rsid w:val="00901AA1"/>
    <w:rsid w:val="00901C57"/>
    <w:rsid w:val="00902CD4"/>
    <w:rsid w:val="009039A7"/>
    <w:rsid w:val="00903CEA"/>
    <w:rsid w:val="00904684"/>
    <w:rsid w:val="00904855"/>
    <w:rsid w:val="009048F9"/>
    <w:rsid w:val="00904AEA"/>
    <w:rsid w:val="0090530B"/>
    <w:rsid w:val="00905429"/>
    <w:rsid w:val="009077C5"/>
    <w:rsid w:val="009077EE"/>
    <w:rsid w:val="00907BFB"/>
    <w:rsid w:val="00910BB5"/>
    <w:rsid w:val="009113BD"/>
    <w:rsid w:val="009116E5"/>
    <w:rsid w:val="00911B02"/>
    <w:rsid w:val="00911C92"/>
    <w:rsid w:val="009126E9"/>
    <w:rsid w:val="00913655"/>
    <w:rsid w:val="00913DA1"/>
    <w:rsid w:val="009142F6"/>
    <w:rsid w:val="009143D5"/>
    <w:rsid w:val="009144E0"/>
    <w:rsid w:val="00914744"/>
    <w:rsid w:val="00915D57"/>
    <w:rsid w:val="009166BD"/>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4D"/>
    <w:rsid w:val="00934733"/>
    <w:rsid w:val="00934D6E"/>
    <w:rsid w:val="009351A3"/>
    <w:rsid w:val="00935C81"/>
    <w:rsid w:val="00936300"/>
    <w:rsid w:val="009404C0"/>
    <w:rsid w:val="00940666"/>
    <w:rsid w:val="0094085D"/>
    <w:rsid w:val="00940F53"/>
    <w:rsid w:val="00941C87"/>
    <w:rsid w:val="00941C91"/>
    <w:rsid w:val="00942E08"/>
    <w:rsid w:val="0094336F"/>
    <w:rsid w:val="00944F38"/>
    <w:rsid w:val="00946AA6"/>
    <w:rsid w:val="00946AC0"/>
    <w:rsid w:val="00947562"/>
    <w:rsid w:val="0094784A"/>
    <w:rsid w:val="009479BA"/>
    <w:rsid w:val="00950497"/>
    <w:rsid w:val="009507A7"/>
    <w:rsid w:val="00950A6C"/>
    <w:rsid w:val="00950B42"/>
    <w:rsid w:val="00950D4A"/>
    <w:rsid w:val="00952B5F"/>
    <w:rsid w:val="00952E0C"/>
    <w:rsid w:val="00952FF8"/>
    <w:rsid w:val="00953CC3"/>
    <w:rsid w:val="00953D38"/>
    <w:rsid w:val="00953D69"/>
    <w:rsid w:val="00953FEA"/>
    <w:rsid w:val="009549C9"/>
    <w:rsid w:val="0095544A"/>
    <w:rsid w:val="00956465"/>
    <w:rsid w:val="009566EF"/>
    <w:rsid w:val="0095693C"/>
    <w:rsid w:val="00956FF9"/>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3B7"/>
    <w:rsid w:val="009725FC"/>
    <w:rsid w:val="0097276A"/>
    <w:rsid w:val="00972EE5"/>
    <w:rsid w:val="00973777"/>
    <w:rsid w:val="00974996"/>
    <w:rsid w:val="009750C7"/>
    <w:rsid w:val="009761C8"/>
    <w:rsid w:val="00977A36"/>
    <w:rsid w:val="009801C8"/>
    <w:rsid w:val="0098068F"/>
    <w:rsid w:val="009819DB"/>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5E"/>
    <w:rsid w:val="00992856"/>
    <w:rsid w:val="00992ABA"/>
    <w:rsid w:val="009932C4"/>
    <w:rsid w:val="009936A6"/>
    <w:rsid w:val="00993CB9"/>
    <w:rsid w:val="00994966"/>
    <w:rsid w:val="009954EF"/>
    <w:rsid w:val="00995A2A"/>
    <w:rsid w:val="00995F53"/>
    <w:rsid w:val="0099622D"/>
    <w:rsid w:val="00996414"/>
    <w:rsid w:val="009964AB"/>
    <w:rsid w:val="00996616"/>
    <w:rsid w:val="009966F3"/>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2D74"/>
    <w:rsid w:val="009B3094"/>
    <w:rsid w:val="009B31F7"/>
    <w:rsid w:val="009B3CD2"/>
    <w:rsid w:val="009B55B3"/>
    <w:rsid w:val="009B7135"/>
    <w:rsid w:val="009B7874"/>
    <w:rsid w:val="009C0E19"/>
    <w:rsid w:val="009C1277"/>
    <w:rsid w:val="009C142A"/>
    <w:rsid w:val="009C1B6A"/>
    <w:rsid w:val="009C2564"/>
    <w:rsid w:val="009C31AE"/>
    <w:rsid w:val="009C3E2F"/>
    <w:rsid w:val="009C3FC6"/>
    <w:rsid w:val="009C4430"/>
    <w:rsid w:val="009C4B2D"/>
    <w:rsid w:val="009C4CF7"/>
    <w:rsid w:val="009C7B21"/>
    <w:rsid w:val="009C7D07"/>
    <w:rsid w:val="009D011F"/>
    <w:rsid w:val="009D199E"/>
    <w:rsid w:val="009D1C32"/>
    <w:rsid w:val="009D22C0"/>
    <w:rsid w:val="009D27B9"/>
    <w:rsid w:val="009D32BA"/>
    <w:rsid w:val="009D34B8"/>
    <w:rsid w:val="009D4286"/>
    <w:rsid w:val="009D4EA1"/>
    <w:rsid w:val="009D5A68"/>
    <w:rsid w:val="009D5B23"/>
    <w:rsid w:val="009D6140"/>
    <w:rsid w:val="009D640A"/>
    <w:rsid w:val="009D7F61"/>
    <w:rsid w:val="009E1772"/>
    <w:rsid w:val="009E1F22"/>
    <w:rsid w:val="009E2191"/>
    <w:rsid w:val="009E2E28"/>
    <w:rsid w:val="009E2EBC"/>
    <w:rsid w:val="009E2ED4"/>
    <w:rsid w:val="009E3247"/>
    <w:rsid w:val="009E40A3"/>
    <w:rsid w:val="009E4195"/>
    <w:rsid w:val="009E4C2A"/>
    <w:rsid w:val="009E4E2D"/>
    <w:rsid w:val="009E531F"/>
    <w:rsid w:val="009E560F"/>
    <w:rsid w:val="009E5F03"/>
    <w:rsid w:val="009E6581"/>
    <w:rsid w:val="009E6A11"/>
    <w:rsid w:val="009E71F0"/>
    <w:rsid w:val="009E74D7"/>
    <w:rsid w:val="009E7713"/>
    <w:rsid w:val="009E7A44"/>
    <w:rsid w:val="009E7B98"/>
    <w:rsid w:val="009F08FE"/>
    <w:rsid w:val="009F14EC"/>
    <w:rsid w:val="009F18AB"/>
    <w:rsid w:val="009F22EF"/>
    <w:rsid w:val="009F3577"/>
    <w:rsid w:val="009F46BB"/>
    <w:rsid w:val="009F4CDD"/>
    <w:rsid w:val="009F5213"/>
    <w:rsid w:val="009F52B0"/>
    <w:rsid w:val="009F5A6A"/>
    <w:rsid w:val="00A005D5"/>
    <w:rsid w:val="00A00C8C"/>
    <w:rsid w:val="00A023F4"/>
    <w:rsid w:val="00A02582"/>
    <w:rsid w:val="00A02B8B"/>
    <w:rsid w:val="00A02EF5"/>
    <w:rsid w:val="00A03229"/>
    <w:rsid w:val="00A042D7"/>
    <w:rsid w:val="00A046BE"/>
    <w:rsid w:val="00A048D6"/>
    <w:rsid w:val="00A04E37"/>
    <w:rsid w:val="00A05531"/>
    <w:rsid w:val="00A058C2"/>
    <w:rsid w:val="00A05CD1"/>
    <w:rsid w:val="00A06983"/>
    <w:rsid w:val="00A07B59"/>
    <w:rsid w:val="00A10706"/>
    <w:rsid w:val="00A109D0"/>
    <w:rsid w:val="00A1259B"/>
    <w:rsid w:val="00A13168"/>
    <w:rsid w:val="00A13E8C"/>
    <w:rsid w:val="00A14D2C"/>
    <w:rsid w:val="00A154D6"/>
    <w:rsid w:val="00A155A1"/>
    <w:rsid w:val="00A16B0B"/>
    <w:rsid w:val="00A16DF8"/>
    <w:rsid w:val="00A20DDC"/>
    <w:rsid w:val="00A21F8D"/>
    <w:rsid w:val="00A22399"/>
    <w:rsid w:val="00A229D0"/>
    <w:rsid w:val="00A231D8"/>
    <w:rsid w:val="00A235B5"/>
    <w:rsid w:val="00A241F8"/>
    <w:rsid w:val="00A24326"/>
    <w:rsid w:val="00A244B2"/>
    <w:rsid w:val="00A24530"/>
    <w:rsid w:val="00A24D9C"/>
    <w:rsid w:val="00A2536C"/>
    <w:rsid w:val="00A25959"/>
    <w:rsid w:val="00A25A78"/>
    <w:rsid w:val="00A25D8E"/>
    <w:rsid w:val="00A26A1F"/>
    <w:rsid w:val="00A27624"/>
    <w:rsid w:val="00A27AB3"/>
    <w:rsid w:val="00A27BAE"/>
    <w:rsid w:val="00A27DD6"/>
    <w:rsid w:val="00A30DD7"/>
    <w:rsid w:val="00A315EF"/>
    <w:rsid w:val="00A3210D"/>
    <w:rsid w:val="00A32175"/>
    <w:rsid w:val="00A326D4"/>
    <w:rsid w:val="00A32DC1"/>
    <w:rsid w:val="00A32DC6"/>
    <w:rsid w:val="00A33C64"/>
    <w:rsid w:val="00A34BCC"/>
    <w:rsid w:val="00A37264"/>
    <w:rsid w:val="00A3751D"/>
    <w:rsid w:val="00A3761D"/>
    <w:rsid w:val="00A3763E"/>
    <w:rsid w:val="00A40257"/>
    <w:rsid w:val="00A4184D"/>
    <w:rsid w:val="00A41918"/>
    <w:rsid w:val="00A42155"/>
    <w:rsid w:val="00A4249C"/>
    <w:rsid w:val="00A42CA6"/>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DE3"/>
    <w:rsid w:val="00A5348A"/>
    <w:rsid w:val="00A538D8"/>
    <w:rsid w:val="00A5390B"/>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F66"/>
    <w:rsid w:val="00A6357D"/>
    <w:rsid w:val="00A64766"/>
    <w:rsid w:val="00A64A35"/>
    <w:rsid w:val="00A654C8"/>
    <w:rsid w:val="00A66AF8"/>
    <w:rsid w:val="00A66C17"/>
    <w:rsid w:val="00A67DA9"/>
    <w:rsid w:val="00A705C6"/>
    <w:rsid w:val="00A70BE5"/>
    <w:rsid w:val="00A70E52"/>
    <w:rsid w:val="00A71056"/>
    <w:rsid w:val="00A7111D"/>
    <w:rsid w:val="00A729F6"/>
    <w:rsid w:val="00A73A48"/>
    <w:rsid w:val="00A741BB"/>
    <w:rsid w:val="00A744AF"/>
    <w:rsid w:val="00A76386"/>
    <w:rsid w:val="00A763FB"/>
    <w:rsid w:val="00A76DA9"/>
    <w:rsid w:val="00A803AD"/>
    <w:rsid w:val="00A81BA3"/>
    <w:rsid w:val="00A825B0"/>
    <w:rsid w:val="00A83AD1"/>
    <w:rsid w:val="00A841D3"/>
    <w:rsid w:val="00A8441A"/>
    <w:rsid w:val="00A84D5E"/>
    <w:rsid w:val="00A84F78"/>
    <w:rsid w:val="00A84FDE"/>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A59"/>
    <w:rsid w:val="00AA04CA"/>
    <w:rsid w:val="00AA05DD"/>
    <w:rsid w:val="00AA11D9"/>
    <w:rsid w:val="00AA1661"/>
    <w:rsid w:val="00AA196A"/>
    <w:rsid w:val="00AA1D85"/>
    <w:rsid w:val="00AA273C"/>
    <w:rsid w:val="00AA292F"/>
    <w:rsid w:val="00AA2CC6"/>
    <w:rsid w:val="00AA2FF8"/>
    <w:rsid w:val="00AA4271"/>
    <w:rsid w:val="00AA47B9"/>
    <w:rsid w:val="00AA4FD4"/>
    <w:rsid w:val="00AA7337"/>
    <w:rsid w:val="00AA768B"/>
    <w:rsid w:val="00AA7857"/>
    <w:rsid w:val="00AA7A78"/>
    <w:rsid w:val="00AB04FF"/>
    <w:rsid w:val="00AB0C19"/>
    <w:rsid w:val="00AB11B1"/>
    <w:rsid w:val="00AB1B82"/>
    <w:rsid w:val="00AB1D9B"/>
    <w:rsid w:val="00AB1E8D"/>
    <w:rsid w:val="00AB21BB"/>
    <w:rsid w:val="00AB2A4E"/>
    <w:rsid w:val="00AB2DE7"/>
    <w:rsid w:val="00AB3CE1"/>
    <w:rsid w:val="00AB4627"/>
    <w:rsid w:val="00AB4D4B"/>
    <w:rsid w:val="00AB6784"/>
    <w:rsid w:val="00AB6DAB"/>
    <w:rsid w:val="00AB7C57"/>
    <w:rsid w:val="00AC04AA"/>
    <w:rsid w:val="00AC07B0"/>
    <w:rsid w:val="00AC0EC3"/>
    <w:rsid w:val="00AC161B"/>
    <w:rsid w:val="00AC1831"/>
    <w:rsid w:val="00AC1ECB"/>
    <w:rsid w:val="00AC2C21"/>
    <w:rsid w:val="00AC34FA"/>
    <w:rsid w:val="00AC3533"/>
    <w:rsid w:val="00AC3750"/>
    <w:rsid w:val="00AC4E91"/>
    <w:rsid w:val="00AC537C"/>
    <w:rsid w:val="00AC5CD0"/>
    <w:rsid w:val="00AC5FDF"/>
    <w:rsid w:val="00AC61E6"/>
    <w:rsid w:val="00AC6630"/>
    <w:rsid w:val="00AC74E0"/>
    <w:rsid w:val="00AC79E8"/>
    <w:rsid w:val="00AD01E0"/>
    <w:rsid w:val="00AD09F2"/>
    <w:rsid w:val="00AD0D46"/>
    <w:rsid w:val="00AD1875"/>
    <w:rsid w:val="00AD1910"/>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1108"/>
    <w:rsid w:val="00AF12C7"/>
    <w:rsid w:val="00AF15D7"/>
    <w:rsid w:val="00AF1AF7"/>
    <w:rsid w:val="00AF2FCF"/>
    <w:rsid w:val="00AF3BEE"/>
    <w:rsid w:val="00AF4BA6"/>
    <w:rsid w:val="00AF51F8"/>
    <w:rsid w:val="00AF521A"/>
    <w:rsid w:val="00AF58F2"/>
    <w:rsid w:val="00AF5B38"/>
    <w:rsid w:val="00AF6B56"/>
    <w:rsid w:val="00B012DB"/>
    <w:rsid w:val="00B01770"/>
    <w:rsid w:val="00B01E84"/>
    <w:rsid w:val="00B01F1C"/>
    <w:rsid w:val="00B02835"/>
    <w:rsid w:val="00B031DC"/>
    <w:rsid w:val="00B0364A"/>
    <w:rsid w:val="00B03701"/>
    <w:rsid w:val="00B040C8"/>
    <w:rsid w:val="00B04310"/>
    <w:rsid w:val="00B04B12"/>
    <w:rsid w:val="00B05382"/>
    <w:rsid w:val="00B077CA"/>
    <w:rsid w:val="00B104B0"/>
    <w:rsid w:val="00B1142C"/>
    <w:rsid w:val="00B11752"/>
    <w:rsid w:val="00B11BAA"/>
    <w:rsid w:val="00B13378"/>
    <w:rsid w:val="00B13379"/>
    <w:rsid w:val="00B13D1A"/>
    <w:rsid w:val="00B14389"/>
    <w:rsid w:val="00B14634"/>
    <w:rsid w:val="00B14C22"/>
    <w:rsid w:val="00B15085"/>
    <w:rsid w:val="00B1511E"/>
    <w:rsid w:val="00B15E5D"/>
    <w:rsid w:val="00B15F49"/>
    <w:rsid w:val="00B16EA2"/>
    <w:rsid w:val="00B16F67"/>
    <w:rsid w:val="00B17CF9"/>
    <w:rsid w:val="00B229E3"/>
    <w:rsid w:val="00B22B4D"/>
    <w:rsid w:val="00B241E6"/>
    <w:rsid w:val="00B245FF"/>
    <w:rsid w:val="00B253FB"/>
    <w:rsid w:val="00B25AF9"/>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694D"/>
    <w:rsid w:val="00B36B1C"/>
    <w:rsid w:val="00B37F84"/>
    <w:rsid w:val="00B4051F"/>
    <w:rsid w:val="00B40B98"/>
    <w:rsid w:val="00B411D3"/>
    <w:rsid w:val="00B42003"/>
    <w:rsid w:val="00B42C13"/>
    <w:rsid w:val="00B43379"/>
    <w:rsid w:val="00B438CF"/>
    <w:rsid w:val="00B43978"/>
    <w:rsid w:val="00B43B1F"/>
    <w:rsid w:val="00B43B39"/>
    <w:rsid w:val="00B43D47"/>
    <w:rsid w:val="00B43DEB"/>
    <w:rsid w:val="00B44032"/>
    <w:rsid w:val="00B440EF"/>
    <w:rsid w:val="00B446E7"/>
    <w:rsid w:val="00B449C7"/>
    <w:rsid w:val="00B44E65"/>
    <w:rsid w:val="00B45E39"/>
    <w:rsid w:val="00B46200"/>
    <w:rsid w:val="00B464CC"/>
    <w:rsid w:val="00B47449"/>
    <w:rsid w:val="00B47B4E"/>
    <w:rsid w:val="00B47D72"/>
    <w:rsid w:val="00B500FB"/>
    <w:rsid w:val="00B5164B"/>
    <w:rsid w:val="00B51D47"/>
    <w:rsid w:val="00B534D4"/>
    <w:rsid w:val="00B537C2"/>
    <w:rsid w:val="00B542CC"/>
    <w:rsid w:val="00B544E8"/>
    <w:rsid w:val="00B54FCC"/>
    <w:rsid w:val="00B55182"/>
    <w:rsid w:val="00B55D2A"/>
    <w:rsid w:val="00B5601C"/>
    <w:rsid w:val="00B565BC"/>
    <w:rsid w:val="00B567DC"/>
    <w:rsid w:val="00B56851"/>
    <w:rsid w:val="00B57247"/>
    <w:rsid w:val="00B577CA"/>
    <w:rsid w:val="00B600FB"/>
    <w:rsid w:val="00B61DC2"/>
    <w:rsid w:val="00B62B10"/>
    <w:rsid w:val="00B62DC5"/>
    <w:rsid w:val="00B63095"/>
    <w:rsid w:val="00B63526"/>
    <w:rsid w:val="00B636EB"/>
    <w:rsid w:val="00B64631"/>
    <w:rsid w:val="00B6467C"/>
    <w:rsid w:val="00B65193"/>
    <w:rsid w:val="00B655B1"/>
    <w:rsid w:val="00B65AF0"/>
    <w:rsid w:val="00B6677D"/>
    <w:rsid w:val="00B67695"/>
    <w:rsid w:val="00B67913"/>
    <w:rsid w:val="00B70EE5"/>
    <w:rsid w:val="00B70FAA"/>
    <w:rsid w:val="00B7131E"/>
    <w:rsid w:val="00B716F0"/>
    <w:rsid w:val="00B71C19"/>
    <w:rsid w:val="00B734D8"/>
    <w:rsid w:val="00B74633"/>
    <w:rsid w:val="00B756B9"/>
    <w:rsid w:val="00B75A7A"/>
    <w:rsid w:val="00B76481"/>
    <w:rsid w:val="00B765F6"/>
    <w:rsid w:val="00B76712"/>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F9"/>
    <w:rsid w:val="00B85550"/>
    <w:rsid w:val="00B85D17"/>
    <w:rsid w:val="00B865D7"/>
    <w:rsid w:val="00B90006"/>
    <w:rsid w:val="00B90A46"/>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721C"/>
    <w:rsid w:val="00BA7C48"/>
    <w:rsid w:val="00BB19DF"/>
    <w:rsid w:val="00BB1AF6"/>
    <w:rsid w:val="00BB2398"/>
    <w:rsid w:val="00BB2746"/>
    <w:rsid w:val="00BB35D1"/>
    <w:rsid w:val="00BB478D"/>
    <w:rsid w:val="00BB4F90"/>
    <w:rsid w:val="00BB500C"/>
    <w:rsid w:val="00BB6B40"/>
    <w:rsid w:val="00BB6C47"/>
    <w:rsid w:val="00BC2860"/>
    <w:rsid w:val="00BC290B"/>
    <w:rsid w:val="00BC2AFF"/>
    <w:rsid w:val="00BC2E25"/>
    <w:rsid w:val="00BC3AD8"/>
    <w:rsid w:val="00BC3EA5"/>
    <w:rsid w:val="00BC41B9"/>
    <w:rsid w:val="00BC44DF"/>
    <w:rsid w:val="00BC4556"/>
    <w:rsid w:val="00BC4CB0"/>
    <w:rsid w:val="00BC625E"/>
    <w:rsid w:val="00BC6C36"/>
    <w:rsid w:val="00BC6D5E"/>
    <w:rsid w:val="00BD009C"/>
    <w:rsid w:val="00BD031C"/>
    <w:rsid w:val="00BD11F5"/>
    <w:rsid w:val="00BD217D"/>
    <w:rsid w:val="00BD219C"/>
    <w:rsid w:val="00BD2DA1"/>
    <w:rsid w:val="00BD310E"/>
    <w:rsid w:val="00BD3583"/>
    <w:rsid w:val="00BD3642"/>
    <w:rsid w:val="00BD394E"/>
    <w:rsid w:val="00BD41FF"/>
    <w:rsid w:val="00BD4726"/>
    <w:rsid w:val="00BD4B50"/>
    <w:rsid w:val="00BD4E00"/>
    <w:rsid w:val="00BD5450"/>
    <w:rsid w:val="00BD5E24"/>
    <w:rsid w:val="00BD60E5"/>
    <w:rsid w:val="00BD6530"/>
    <w:rsid w:val="00BD6ABA"/>
    <w:rsid w:val="00BD6F52"/>
    <w:rsid w:val="00BD7143"/>
    <w:rsid w:val="00BD7249"/>
    <w:rsid w:val="00BD75C5"/>
    <w:rsid w:val="00BD7704"/>
    <w:rsid w:val="00BD77A1"/>
    <w:rsid w:val="00BD78F6"/>
    <w:rsid w:val="00BD7A27"/>
    <w:rsid w:val="00BE27BD"/>
    <w:rsid w:val="00BE3062"/>
    <w:rsid w:val="00BE332F"/>
    <w:rsid w:val="00BE44E7"/>
    <w:rsid w:val="00BE44F5"/>
    <w:rsid w:val="00BE5CDA"/>
    <w:rsid w:val="00BE5E9A"/>
    <w:rsid w:val="00BE6A1C"/>
    <w:rsid w:val="00BE749B"/>
    <w:rsid w:val="00BE77C2"/>
    <w:rsid w:val="00BF09AF"/>
    <w:rsid w:val="00BF1291"/>
    <w:rsid w:val="00BF175A"/>
    <w:rsid w:val="00BF2175"/>
    <w:rsid w:val="00BF25AD"/>
    <w:rsid w:val="00BF2925"/>
    <w:rsid w:val="00BF2A31"/>
    <w:rsid w:val="00BF2C7B"/>
    <w:rsid w:val="00BF2EFC"/>
    <w:rsid w:val="00BF34AC"/>
    <w:rsid w:val="00BF3B9A"/>
    <w:rsid w:val="00BF4B30"/>
    <w:rsid w:val="00BF4B3F"/>
    <w:rsid w:val="00BF4F79"/>
    <w:rsid w:val="00BF544A"/>
    <w:rsid w:val="00BF5B6B"/>
    <w:rsid w:val="00BF6AD2"/>
    <w:rsid w:val="00BF7808"/>
    <w:rsid w:val="00BF7D57"/>
    <w:rsid w:val="00C00AC8"/>
    <w:rsid w:val="00C00EF2"/>
    <w:rsid w:val="00C01B79"/>
    <w:rsid w:val="00C01F51"/>
    <w:rsid w:val="00C02A95"/>
    <w:rsid w:val="00C03458"/>
    <w:rsid w:val="00C0468B"/>
    <w:rsid w:val="00C04CD7"/>
    <w:rsid w:val="00C055CC"/>
    <w:rsid w:val="00C06350"/>
    <w:rsid w:val="00C0799A"/>
    <w:rsid w:val="00C11149"/>
    <w:rsid w:val="00C116FB"/>
    <w:rsid w:val="00C11A06"/>
    <w:rsid w:val="00C11C26"/>
    <w:rsid w:val="00C11D01"/>
    <w:rsid w:val="00C11DE8"/>
    <w:rsid w:val="00C1236E"/>
    <w:rsid w:val="00C12B28"/>
    <w:rsid w:val="00C13B0A"/>
    <w:rsid w:val="00C13CED"/>
    <w:rsid w:val="00C14B7E"/>
    <w:rsid w:val="00C14F97"/>
    <w:rsid w:val="00C15607"/>
    <w:rsid w:val="00C166A2"/>
    <w:rsid w:val="00C16A10"/>
    <w:rsid w:val="00C16AB0"/>
    <w:rsid w:val="00C17BBB"/>
    <w:rsid w:val="00C2007E"/>
    <w:rsid w:val="00C201A4"/>
    <w:rsid w:val="00C202BC"/>
    <w:rsid w:val="00C20779"/>
    <w:rsid w:val="00C21579"/>
    <w:rsid w:val="00C21689"/>
    <w:rsid w:val="00C22AA2"/>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57674"/>
    <w:rsid w:val="00C6057F"/>
    <w:rsid w:val="00C60C86"/>
    <w:rsid w:val="00C60FA4"/>
    <w:rsid w:val="00C61B0C"/>
    <w:rsid w:val="00C62567"/>
    <w:rsid w:val="00C6268D"/>
    <w:rsid w:val="00C626BA"/>
    <w:rsid w:val="00C62999"/>
    <w:rsid w:val="00C63524"/>
    <w:rsid w:val="00C635FD"/>
    <w:rsid w:val="00C63A55"/>
    <w:rsid w:val="00C63B63"/>
    <w:rsid w:val="00C646C4"/>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35B"/>
    <w:rsid w:val="00C86FF1"/>
    <w:rsid w:val="00C87F22"/>
    <w:rsid w:val="00C87FCA"/>
    <w:rsid w:val="00C908C4"/>
    <w:rsid w:val="00C90A22"/>
    <w:rsid w:val="00C90D50"/>
    <w:rsid w:val="00C91AA9"/>
    <w:rsid w:val="00C92210"/>
    <w:rsid w:val="00C923A3"/>
    <w:rsid w:val="00C926AA"/>
    <w:rsid w:val="00C92CC8"/>
    <w:rsid w:val="00C933AC"/>
    <w:rsid w:val="00C9378D"/>
    <w:rsid w:val="00C93968"/>
    <w:rsid w:val="00C94228"/>
    <w:rsid w:val="00C94E14"/>
    <w:rsid w:val="00C963A2"/>
    <w:rsid w:val="00CA0045"/>
    <w:rsid w:val="00CA0DDD"/>
    <w:rsid w:val="00CA237D"/>
    <w:rsid w:val="00CA2D46"/>
    <w:rsid w:val="00CA30C5"/>
    <w:rsid w:val="00CA4BB9"/>
    <w:rsid w:val="00CA4EAE"/>
    <w:rsid w:val="00CA6163"/>
    <w:rsid w:val="00CA6A4C"/>
    <w:rsid w:val="00CA6D67"/>
    <w:rsid w:val="00CA7B98"/>
    <w:rsid w:val="00CA7D0D"/>
    <w:rsid w:val="00CB02F6"/>
    <w:rsid w:val="00CB0895"/>
    <w:rsid w:val="00CB0B94"/>
    <w:rsid w:val="00CB1226"/>
    <w:rsid w:val="00CB2128"/>
    <w:rsid w:val="00CB523B"/>
    <w:rsid w:val="00CB5468"/>
    <w:rsid w:val="00CB55FC"/>
    <w:rsid w:val="00CB617A"/>
    <w:rsid w:val="00CB6B7C"/>
    <w:rsid w:val="00CB7041"/>
    <w:rsid w:val="00CB7511"/>
    <w:rsid w:val="00CB7AA2"/>
    <w:rsid w:val="00CB7C64"/>
    <w:rsid w:val="00CB7CFB"/>
    <w:rsid w:val="00CC0C58"/>
    <w:rsid w:val="00CC0C79"/>
    <w:rsid w:val="00CC0F1F"/>
    <w:rsid w:val="00CC139E"/>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E5F"/>
    <w:rsid w:val="00CE64D5"/>
    <w:rsid w:val="00CE67AC"/>
    <w:rsid w:val="00CE6E5C"/>
    <w:rsid w:val="00CF0077"/>
    <w:rsid w:val="00CF02BF"/>
    <w:rsid w:val="00CF0746"/>
    <w:rsid w:val="00CF111E"/>
    <w:rsid w:val="00CF183D"/>
    <w:rsid w:val="00CF29C0"/>
    <w:rsid w:val="00CF34D1"/>
    <w:rsid w:val="00CF5ABC"/>
    <w:rsid w:val="00CF61CB"/>
    <w:rsid w:val="00CF6C70"/>
    <w:rsid w:val="00CF7213"/>
    <w:rsid w:val="00CF7D5C"/>
    <w:rsid w:val="00CF7EA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E62"/>
    <w:rsid w:val="00D17299"/>
    <w:rsid w:val="00D17D0C"/>
    <w:rsid w:val="00D2156D"/>
    <w:rsid w:val="00D21A7E"/>
    <w:rsid w:val="00D23545"/>
    <w:rsid w:val="00D238C1"/>
    <w:rsid w:val="00D245A2"/>
    <w:rsid w:val="00D24890"/>
    <w:rsid w:val="00D2596A"/>
    <w:rsid w:val="00D25D07"/>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4419"/>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E30"/>
    <w:rsid w:val="00D5545E"/>
    <w:rsid w:val="00D56088"/>
    <w:rsid w:val="00D563D4"/>
    <w:rsid w:val="00D601A4"/>
    <w:rsid w:val="00D6023D"/>
    <w:rsid w:val="00D63828"/>
    <w:rsid w:val="00D63C39"/>
    <w:rsid w:val="00D64916"/>
    <w:rsid w:val="00D65EF2"/>
    <w:rsid w:val="00D665A3"/>
    <w:rsid w:val="00D6736B"/>
    <w:rsid w:val="00D673EB"/>
    <w:rsid w:val="00D678FE"/>
    <w:rsid w:val="00D67B3A"/>
    <w:rsid w:val="00D703DE"/>
    <w:rsid w:val="00D71C4E"/>
    <w:rsid w:val="00D71ED3"/>
    <w:rsid w:val="00D72326"/>
    <w:rsid w:val="00D72831"/>
    <w:rsid w:val="00D72F35"/>
    <w:rsid w:val="00D73227"/>
    <w:rsid w:val="00D738E9"/>
    <w:rsid w:val="00D745F2"/>
    <w:rsid w:val="00D746D5"/>
    <w:rsid w:val="00D7482B"/>
    <w:rsid w:val="00D755E2"/>
    <w:rsid w:val="00D75AE1"/>
    <w:rsid w:val="00D75C4A"/>
    <w:rsid w:val="00D76988"/>
    <w:rsid w:val="00D775C2"/>
    <w:rsid w:val="00D777BC"/>
    <w:rsid w:val="00D77E78"/>
    <w:rsid w:val="00D809ED"/>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339"/>
    <w:rsid w:val="00D86A07"/>
    <w:rsid w:val="00D8719A"/>
    <w:rsid w:val="00D874F9"/>
    <w:rsid w:val="00D9036E"/>
    <w:rsid w:val="00D90DD2"/>
    <w:rsid w:val="00D912B1"/>
    <w:rsid w:val="00D92AB1"/>
    <w:rsid w:val="00D92B15"/>
    <w:rsid w:val="00D92F12"/>
    <w:rsid w:val="00D93986"/>
    <w:rsid w:val="00D93BB6"/>
    <w:rsid w:val="00D94DA7"/>
    <w:rsid w:val="00D9525F"/>
    <w:rsid w:val="00D95A5B"/>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640A"/>
    <w:rsid w:val="00DB684E"/>
    <w:rsid w:val="00DB6AA4"/>
    <w:rsid w:val="00DB6F7E"/>
    <w:rsid w:val="00DC21F4"/>
    <w:rsid w:val="00DC2257"/>
    <w:rsid w:val="00DC45F6"/>
    <w:rsid w:val="00DC4A38"/>
    <w:rsid w:val="00DC4F41"/>
    <w:rsid w:val="00DC5E81"/>
    <w:rsid w:val="00DC63EA"/>
    <w:rsid w:val="00DC7155"/>
    <w:rsid w:val="00DC7451"/>
    <w:rsid w:val="00DC7CB1"/>
    <w:rsid w:val="00DD012D"/>
    <w:rsid w:val="00DD0847"/>
    <w:rsid w:val="00DD1205"/>
    <w:rsid w:val="00DD18DA"/>
    <w:rsid w:val="00DD1AEA"/>
    <w:rsid w:val="00DD2072"/>
    <w:rsid w:val="00DD20BC"/>
    <w:rsid w:val="00DD286B"/>
    <w:rsid w:val="00DD2999"/>
    <w:rsid w:val="00DD4336"/>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2133"/>
    <w:rsid w:val="00DF2195"/>
    <w:rsid w:val="00DF23B5"/>
    <w:rsid w:val="00DF243E"/>
    <w:rsid w:val="00DF2FF3"/>
    <w:rsid w:val="00DF30AB"/>
    <w:rsid w:val="00DF42F1"/>
    <w:rsid w:val="00DF5120"/>
    <w:rsid w:val="00DF61EB"/>
    <w:rsid w:val="00DF6313"/>
    <w:rsid w:val="00DF6B0B"/>
    <w:rsid w:val="00DF7512"/>
    <w:rsid w:val="00E00620"/>
    <w:rsid w:val="00E00B61"/>
    <w:rsid w:val="00E03A8E"/>
    <w:rsid w:val="00E041BE"/>
    <w:rsid w:val="00E04CC8"/>
    <w:rsid w:val="00E04FB1"/>
    <w:rsid w:val="00E06BD1"/>
    <w:rsid w:val="00E10002"/>
    <w:rsid w:val="00E10F4B"/>
    <w:rsid w:val="00E11B2A"/>
    <w:rsid w:val="00E11BB2"/>
    <w:rsid w:val="00E11BD9"/>
    <w:rsid w:val="00E11FF2"/>
    <w:rsid w:val="00E1305E"/>
    <w:rsid w:val="00E13161"/>
    <w:rsid w:val="00E13558"/>
    <w:rsid w:val="00E13D43"/>
    <w:rsid w:val="00E140C8"/>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38F"/>
    <w:rsid w:val="00E243A6"/>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28E"/>
    <w:rsid w:val="00E35BE5"/>
    <w:rsid w:val="00E35C64"/>
    <w:rsid w:val="00E36268"/>
    <w:rsid w:val="00E36C10"/>
    <w:rsid w:val="00E3738E"/>
    <w:rsid w:val="00E4052A"/>
    <w:rsid w:val="00E40A51"/>
    <w:rsid w:val="00E40B8A"/>
    <w:rsid w:val="00E40DA6"/>
    <w:rsid w:val="00E40DF0"/>
    <w:rsid w:val="00E415B2"/>
    <w:rsid w:val="00E4194B"/>
    <w:rsid w:val="00E41BF6"/>
    <w:rsid w:val="00E4283D"/>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DFC"/>
    <w:rsid w:val="00E60E6D"/>
    <w:rsid w:val="00E61865"/>
    <w:rsid w:val="00E63BEF"/>
    <w:rsid w:val="00E6430D"/>
    <w:rsid w:val="00E65929"/>
    <w:rsid w:val="00E666D8"/>
    <w:rsid w:val="00E67DAB"/>
    <w:rsid w:val="00E701BD"/>
    <w:rsid w:val="00E71F68"/>
    <w:rsid w:val="00E72E13"/>
    <w:rsid w:val="00E72F21"/>
    <w:rsid w:val="00E730AE"/>
    <w:rsid w:val="00E733BC"/>
    <w:rsid w:val="00E73B9D"/>
    <w:rsid w:val="00E73FCA"/>
    <w:rsid w:val="00E74646"/>
    <w:rsid w:val="00E75829"/>
    <w:rsid w:val="00E76F02"/>
    <w:rsid w:val="00E82504"/>
    <w:rsid w:val="00E826BC"/>
    <w:rsid w:val="00E82DA9"/>
    <w:rsid w:val="00E83693"/>
    <w:rsid w:val="00E84334"/>
    <w:rsid w:val="00E84664"/>
    <w:rsid w:val="00E849E5"/>
    <w:rsid w:val="00E85604"/>
    <w:rsid w:val="00E85FFF"/>
    <w:rsid w:val="00E860CD"/>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74A3"/>
    <w:rsid w:val="00E97B19"/>
    <w:rsid w:val="00E97CBF"/>
    <w:rsid w:val="00E97D0B"/>
    <w:rsid w:val="00EA05C7"/>
    <w:rsid w:val="00EA0EEB"/>
    <w:rsid w:val="00EA1D89"/>
    <w:rsid w:val="00EA24B6"/>
    <w:rsid w:val="00EA277E"/>
    <w:rsid w:val="00EA3BAF"/>
    <w:rsid w:val="00EA4241"/>
    <w:rsid w:val="00EA48B1"/>
    <w:rsid w:val="00EA4B28"/>
    <w:rsid w:val="00EA4CC1"/>
    <w:rsid w:val="00EA4E81"/>
    <w:rsid w:val="00EA4F5D"/>
    <w:rsid w:val="00EA5318"/>
    <w:rsid w:val="00EA68C0"/>
    <w:rsid w:val="00EA71E4"/>
    <w:rsid w:val="00EA746E"/>
    <w:rsid w:val="00EA74FF"/>
    <w:rsid w:val="00EB0620"/>
    <w:rsid w:val="00EB0979"/>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C105E"/>
    <w:rsid w:val="00EC1CC9"/>
    <w:rsid w:val="00EC31AD"/>
    <w:rsid w:val="00EC40D2"/>
    <w:rsid w:val="00EC4C80"/>
    <w:rsid w:val="00EC5127"/>
    <w:rsid w:val="00EC798A"/>
    <w:rsid w:val="00EC7F98"/>
    <w:rsid w:val="00ED03B6"/>
    <w:rsid w:val="00ED0434"/>
    <w:rsid w:val="00ED0581"/>
    <w:rsid w:val="00ED0B6C"/>
    <w:rsid w:val="00ED1070"/>
    <w:rsid w:val="00ED1467"/>
    <w:rsid w:val="00ED2C0D"/>
    <w:rsid w:val="00ED3C2A"/>
    <w:rsid w:val="00ED4A67"/>
    <w:rsid w:val="00ED4D7C"/>
    <w:rsid w:val="00ED56DC"/>
    <w:rsid w:val="00ED601F"/>
    <w:rsid w:val="00ED70A6"/>
    <w:rsid w:val="00ED77BB"/>
    <w:rsid w:val="00ED7865"/>
    <w:rsid w:val="00ED7AD4"/>
    <w:rsid w:val="00EE0C7D"/>
    <w:rsid w:val="00EE1100"/>
    <w:rsid w:val="00EE14C7"/>
    <w:rsid w:val="00EE16E9"/>
    <w:rsid w:val="00EE19CC"/>
    <w:rsid w:val="00EE2506"/>
    <w:rsid w:val="00EE2E07"/>
    <w:rsid w:val="00EE32D1"/>
    <w:rsid w:val="00EE3DDF"/>
    <w:rsid w:val="00EE408F"/>
    <w:rsid w:val="00EE451F"/>
    <w:rsid w:val="00EE5D0C"/>
    <w:rsid w:val="00EE66C3"/>
    <w:rsid w:val="00EE6757"/>
    <w:rsid w:val="00EF01B7"/>
    <w:rsid w:val="00EF0670"/>
    <w:rsid w:val="00EF082F"/>
    <w:rsid w:val="00EF0DAF"/>
    <w:rsid w:val="00EF14AE"/>
    <w:rsid w:val="00EF25DA"/>
    <w:rsid w:val="00EF3541"/>
    <w:rsid w:val="00EF3943"/>
    <w:rsid w:val="00EF394E"/>
    <w:rsid w:val="00EF3BB6"/>
    <w:rsid w:val="00EF3C73"/>
    <w:rsid w:val="00EF3FE7"/>
    <w:rsid w:val="00EF473C"/>
    <w:rsid w:val="00EF4B03"/>
    <w:rsid w:val="00EF4E80"/>
    <w:rsid w:val="00EF4EBA"/>
    <w:rsid w:val="00EF5339"/>
    <w:rsid w:val="00EF5657"/>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562B"/>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DE2"/>
    <w:rsid w:val="00F23974"/>
    <w:rsid w:val="00F23C30"/>
    <w:rsid w:val="00F2430D"/>
    <w:rsid w:val="00F24B94"/>
    <w:rsid w:val="00F24DB7"/>
    <w:rsid w:val="00F25D32"/>
    <w:rsid w:val="00F26036"/>
    <w:rsid w:val="00F261AE"/>
    <w:rsid w:val="00F26B36"/>
    <w:rsid w:val="00F26FDA"/>
    <w:rsid w:val="00F302D5"/>
    <w:rsid w:val="00F309BA"/>
    <w:rsid w:val="00F30C99"/>
    <w:rsid w:val="00F31D6C"/>
    <w:rsid w:val="00F32D30"/>
    <w:rsid w:val="00F32E1C"/>
    <w:rsid w:val="00F33D70"/>
    <w:rsid w:val="00F355D3"/>
    <w:rsid w:val="00F358C0"/>
    <w:rsid w:val="00F36138"/>
    <w:rsid w:val="00F3709C"/>
    <w:rsid w:val="00F37426"/>
    <w:rsid w:val="00F37C5F"/>
    <w:rsid w:val="00F401D2"/>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14"/>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4C74"/>
    <w:rsid w:val="00F65603"/>
    <w:rsid w:val="00F6575E"/>
    <w:rsid w:val="00F65AAC"/>
    <w:rsid w:val="00F65DA9"/>
    <w:rsid w:val="00F66598"/>
    <w:rsid w:val="00F66B26"/>
    <w:rsid w:val="00F66B93"/>
    <w:rsid w:val="00F67CEE"/>
    <w:rsid w:val="00F70881"/>
    <w:rsid w:val="00F71A8C"/>
    <w:rsid w:val="00F72432"/>
    <w:rsid w:val="00F7252A"/>
    <w:rsid w:val="00F73113"/>
    <w:rsid w:val="00F73176"/>
    <w:rsid w:val="00F732D4"/>
    <w:rsid w:val="00F739D9"/>
    <w:rsid w:val="00F739E4"/>
    <w:rsid w:val="00F73D38"/>
    <w:rsid w:val="00F74816"/>
    <w:rsid w:val="00F74DB2"/>
    <w:rsid w:val="00F76E60"/>
    <w:rsid w:val="00F77687"/>
    <w:rsid w:val="00F77EC9"/>
    <w:rsid w:val="00F8070A"/>
    <w:rsid w:val="00F809E2"/>
    <w:rsid w:val="00F82305"/>
    <w:rsid w:val="00F82597"/>
    <w:rsid w:val="00F82DFC"/>
    <w:rsid w:val="00F82E00"/>
    <w:rsid w:val="00F831E7"/>
    <w:rsid w:val="00F83A60"/>
    <w:rsid w:val="00F84245"/>
    <w:rsid w:val="00F84375"/>
    <w:rsid w:val="00F8478B"/>
    <w:rsid w:val="00F85389"/>
    <w:rsid w:val="00F85737"/>
    <w:rsid w:val="00F86503"/>
    <w:rsid w:val="00F8654C"/>
    <w:rsid w:val="00F871D6"/>
    <w:rsid w:val="00F8789B"/>
    <w:rsid w:val="00F90321"/>
    <w:rsid w:val="00F904E5"/>
    <w:rsid w:val="00F9191E"/>
    <w:rsid w:val="00F91B7E"/>
    <w:rsid w:val="00F91F01"/>
    <w:rsid w:val="00F92083"/>
    <w:rsid w:val="00F921C7"/>
    <w:rsid w:val="00F92A76"/>
    <w:rsid w:val="00F92E1B"/>
    <w:rsid w:val="00F93984"/>
    <w:rsid w:val="00F93BD0"/>
    <w:rsid w:val="00F94D0F"/>
    <w:rsid w:val="00F94E33"/>
    <w:rsid w:val="00F95195"/>
    <w:rsid w:val="00F9637D"/>
    <w:rsid w:val="00F977D2"/>
    <w:rsid w:val="00FA0500"/>
    <w:rsid w:val="00FA1397"/>
    <w:rsid w:val="00FA1544"/>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6D2"/>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DA5"/>
    <w:rsid w:val="00FD115A"/>
    <w:rsid w:val="00FD1905"/>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9BB"/>
    <w:rsid w:val="00FE2D09"/>
    <w:rsid w:val="00FE2F31"/>
    <w:rsid w:val="00FE3592"/>
    <w:rsid w:val="00FE3953"/>
    <w:rsid w:val="00FE3F1D"/>
    <w:rsid w:val="00FE56DD"/>
    <w:rsid w:val="00FE6DF7"/>
    <w:rsid w:val="00FE7F26"/>
    <w:rsid w:val="00FF0C92"/>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paragraph" w:customStyle="1" w:styleId="Betarp">
    <w:name w:val="Be tarpų"/>
    <w:uiPriority w:val="1"/>
    <w:qFormat/>
    <w:rsid w:val="007620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982">
      <w:bodyDiv w:val="1"/>
      <w:marLeft w:val="0"/>
      <w:marRight w:val="0"/>
      <w:marTop w:val="0"/>
      <w:marBottom w:val="0"/>
      <w:divBdr>
        <w:top w:val="none" w:sz="0" w:space="0" w:color="auto"/>
        <w:left w:val="none" w:sz="0" w:space="0" w:color="auto"/>
        <w:bottom w:val="none" w:sz="0" w:space="0" w:color="auto"/>
        <w:right w:val="none" w:sz="0" w:space="0" w:color="auto"/>
      </w:divBdr>
    </w:div>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D72E-867E-419A-927C-F79F8E41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7</Pages>
  <Words>7771</Words>
  <Characters>4431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12178</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Lina Latvyte-Kavalniene</cp:lastModifiedBy>
  <cp:revision>236</cp:revision>
  <cp:lastPrinted>2019-05-07T06:00:00Z</cp:lastPrinted>
  <dcterms:created xsi:type="dcterms:W3CDTF">2023-08-14T04:56:00Z</dcterms:created>
  <dcterms:modified xsi:type="dcterms:W3CDTF">2025-11-13T09:33:00Z</dcterms:modified>
</cp:coreProperties>
</file>