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C81A2C" w:rsidRDefault="001A625D" w:rsidP="001912E2">
          <w:pPr>
            <w:spacing w:after="120" w:line="240" w:lineRule="auto"/>
            <w:ind w:left="567" w:firstLine="0"/>
            <w:contextualSpacing/>
            <w:jc w:val="center"/>
            <w:rPr>
              <w:rFonts w:cstheme="minorHAnsi"/>
              <w:b/>
              <w:bCs/>
              <w:sz w:val="28"/>
              <w:szCs w:val="28"/>
            </w:rPr>
          </w:pPr>
        </w:p>
        <w:p w14:paraId="2721BB57" w14:textId="42CCA0B0" w:rsidR="00D526C8" w:rsidRPr="00C81A2C" w:rsidRDefault="00C81A2C" w:rsidP="001912E2">
          <w:pPr>
            <w:spacing w:after="120" w:line="240" w:lineRule="auto"/>
            <w:ind w:left="567" w:firstLine="0"/>
            <w:contextualSpacing/>
            <w:jc w:val="center"/>
            <w:rPr>
              <w:rFonts w:cstheme="minorHAnsi"/>
              <w:b/>
              <w:bCs/>
              <w:sz w:val="28"/>
              <w:szCs w:val="28"/>
            </w:rPr>
          </w:pPr>
          <w:r w:rsidRPr="00C81A2C">
            <w:rPr>
              <w:rFonts w:cstheme="minorHAnsi"/>
              <w:b/>
              <w:bCs/>
              <w:sz w:val="28"/>
              <w:szCs w:val="28"/>
            </w:rPr>
            <w:t xml:space="preserve">VŠĮ „KLAIPĖDOS MIESTO POLIKLINIKA“ </w:t>
          </w:r>
        </w:p>
        <w:p w14:paraId="69D6E17A" w14:textId="77777777" w:rsidR="00133CA7" w:rsidRPr="00C81A2C" w:rsidRDefault="00133CA7" w:rsidP="001912E2">
          <w:pPr>
            <w:spacing w:after="120" w:line="240" w:lineRule="auto"/>
            <w:ind w:left="567" w:firstLine="0"/>
            <w:contextualSpacing/>
            <w:jc w:val="center"/>
            <w:rPr>
              <w:rFonts w:cstheme="minorHAnsi"/>
              <w:sz w:val="28"/>
              <w:szCs w:val="28"/>
            </w:rPr>
          </w:pPr>
        </w:p>
        <w:p w14:paraId="7350A7E2" w14:textId="19D07CC4" w:rsidR="00D526C8" w:rsidRPr="00C81A2C" w:rsidRDefault="00133CA7" w:rsidP="00C81A2C">
          <w:pPr>
            <w:spacing w:after="120" w:line="240" w:lineRule="auto"/>
            <w:ind w:left="567" w:firstLine="0"/>
            <w:contextualSpacing/>
            <w:jc w:val="center"/>
            <w:rPr>
              <w:rFonts w:cstheme="minorHAnsi"/>
              <w:b/>
              <w:bCs/>
              <w:sz w:val="28"/>
              <w:szCs w:val="28"/>
            </w:rPr>
          </w:pPr>
          <w:r w:rsidRPr="00C81A2C">
            <w:rPr>
              <w:rFonts w:cstheme="minorHAnsi"/>
              <w:b/>
              <w:bCs/>
              <w:sz w:val="28"/>
              <w:szCs w:val="28"/>
            </w:rPr>
            <w:t>PIRKIMĄ PERKANČIOSIOS ORGANIZACIJOS VARDU ATLIEKA CENTRINĖ PERKANČIOJI ORGANIZACIJA: KLAIPĖDOS MIESTO SAVIVALDYBĖS ADMINISTRACIJA</w:t>
          </w:r>
        </w:p>
        <w:p w14:paraId="1D1BF965" w14:textId="34F83FE1" w:rsidR="00D526C8" w:rsidRPr="00C81A2C" w:rsidRDefault="00C006CB" w:rsidP="001A2892">
          <w:pPr>
            <w:spacing w:after="120" w:line="240" w:lineRule="auto"/>
            <w:ind w:left="567" w:firstLine="0"/>
            <w:contextualSpacing/>
            <w:jc w:val="center"/>
            <w:rPr>
              <w:rFonts w:cstheme="minorHAnsi"/>
              <w:b/>
              <w:bCs/>
              <w:sz w:val="28"/>
              <w:szCs w:val="28"/>
            </w:rPr>
          </w:pPr>
          <w:r w:rsidRPr="00C81A2C">
            <w:rPr>
              <w:rFonts w:cstheme="minorHAnsi"/>
              <w:b/>
              <w:bCs/>
              <w:sz w:val="28"/>
              <w:szCs w:val="28"/>
            </w:rPr>
            <w:t xml:space="preserve">MAŽOS VERTĖS </w:t>
          </w:r>
          <w:r w:rsidR="00D526C8" w:rsidRPr="00C81A2C">
            <w:rPr>
              <w:rFonts w:cstheme="minorHAnsi"/>
              <w:b/>
              <w:bCs/>
              <w:sz w:val="28"/>
              <w:szCs w:val="28"/>
            </w:rPr>
            <w:t>VIEŠOJO PIRKIMO „</w:t>
          </w:r>
          <w:r w:rsidR="00C81A2C" w:rsidRPr="00C81A2C">
            <w:rPr>
              <w:rFonts w:cstheme="minorHAnsi"/>
              <w:b/>
              <w:bCs/>
              <w:sz w:val="28"/>
              <w:szCs w:val="28"/>
            </w:rPr>
            <w:t>FIZINĖS TERAPIJOS APARATAS – AUKŠTO INTENSYVUMO LAZERIS</w:t>
          </w:r>
          <w:r w:rsidR="00D526C8" w:rsidRPr="00C81A2C">
            <w:rPr>
              <w:rFonts w:cstheme="minorHAnsi"/>
              <w:b/>
              <w:bCs/>
              <w:sz w:val="28"/>
              <w:szCs w:val="28"/>
            </w:rPr>
            <w:t>“</w:t>
          </w:r>
        </w:p>
        <w:p w14:paraId="76C6D435" w14:textId="77777777" w:rsidR="00FC63B8" w:rsidRPr="00C81A2C" w:rsidDel="00FC63B8" w:rsidRDefault="00DF1318" w:rsidP="00FC63B8">
          <w:pPr>
            <w:spacing w:after="120" w:line="240" w:lineRule="auto"/>
            <w:ind w:left="567" w:firstLine="0"/>
            <w:contextualSpacing/>
            <w:jc w:val="center"/>
            <w:rPr>
              <w:rFonts w:cstheme="minorHAnsi"/>
              <w:i/>
              <w:iCs/>
              <w:sz w:val="28"/>
              <w:szCs w:val="28"/>
            </w:rPr>
          </w:pPr>
          <w:r w:rsidRPr="00C81A2C">
            <w:rPr>
              <w:rFonts w:cstheme="minorHAnsi"/>
              <w:b/>
              <w:bCs/>
              <w:sz w:val="28"/>
              <w:szCs w:val="28"/>
            </w:rPr>
            <w:t>SKELBIAM</w:t>
          </w:r>
          <w:r w:rsidR="0019623B" w:rsidRPr="00C81A2C">
            <w:rPr>
              <w:rFonts w:cstheme="minorHAnsi"/>
              <w:b/>
              <w:bCs/>
              <w:sz w:val="28"/>
              <w:szCs w:val="28"/>
            </w:rPr>
            <w:t>OS APKLAUSOS</w:t>
          </w:r>
          <w:r w:rsidR="00D526C8" w:rsidRPr="00C81A2C">
            <w:rPr>
              <w:rFonts w:cstheme="minorHAnsi"/>
              <w:b/>
              <w:bCs/>
              <w:sz w:val="28"/>
              <w:szCs w:val="28"/>
            </w:rPr>
            <w:t xml:space="preserve"> </w:t>
          </w:r>
          <w:r w:rsidR="00E861F5" w:rsidRPr="00C81A2C">
            <w:rPr>
              <w:rFonts w:cstheme="minorHAnsi"/>
              <w:b/>
              <w:bCs/>
              <w:sz w:val="28"/>
              <w:szCs w:val="28"/>
            </w:rPr>
            <w:t xml:space="preserve">SPECIALIOSIOS </w:t>
          </w:r>
          <w:r w:rsidR="00D526C8" w:rsidRPr="00C81A2C">
            <w:rPr>
              <w:rFonts w:cstheme="minorHAnsi"/>
              <w:b/>
              <w:bCs/>
              <w:sz w:val="28"/>
              <w:szCs w:val="28"/>
            </w:rPr>
            <w:t>SĄLYGOS</w:t>
          </w:r>
          <w:r w:rsidR="00110582" w:rsidRPr="00C81A2C">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9B52CF">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9B52CF">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9B52CF">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9B52CF">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9B52CF">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9B52CF">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9B52CF">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9B52CF">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7F656184" w14:textId="3447E7F7" w:rsidR="00B3346A" w:rsidRPr="007705BB" w:rsidRDefault="007705BB" w:rsidP="00AF6E59">
          <w:pPr>
            <w:rPr>
              <w:rFonts w:cstheme="minorHAnsi"/>
              <w:color w:val="000000" w:themeColor="text1"/>
            </w:rPr>
          </w:pPr>
          <w:r w:rsidRPr="007705BB">
            <w:rPr>
              <w:rFonts w:cstheme="minorHAnsi"/>
              <w:color w:val="000000" w:themeColor="text1"/>
            </w:rPr>
            <w:t>6</w:t>
          </w:r>
          <w:r w:rsidR="00B3346A" w:rsidRPr="007705BB">
            <w:rPr>
              <w:rFonts w:cstheme="minorHAnsi"/>
              <w:color w:val="000000" w:themeColor="text1"/>
            </w:rPr>
            <w:t xml:space="preserve"> priedas - Pasiūlymų vertinimo kriterijai ir sąlygos</w:t>
          </w:r>
          <w:r w:rsidRPr="007705BB">
            <w:rPr>
              <w:rFonts w:cstheme="minorHAnsi"/>
              <w:color w:val="000000" w:themeColor="text1"/>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9B52CF"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B708CC2" w:rsidR="00FB3C75" w:rsidRPr="004F717E" w:rsidRDefault="0048754A" w:rsidP="00F77A5D">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2979A8">
        <w:rPr>
          <w:rFonts w:cstheme="minorHAnsi"/>
        </w:rPr>
        <w:t>VšĮ „</w:t>
      </w:r>
      <w:r w:rsidR="002979A8" w:rsidRPr="004F717E">
        <w:rPr>
          <w:rFonts w:cstheme="minorHAnsi"/>
        </w:rPr>
        <w:t>Klaipėdos miesto poliklinika“</w:t>
      </w:r>
      <w:bookmarkEnd w:id="9"/>
      <w:r w:rsidR="00FB3C75" w:rsidRPr="004F717E">
        <w:rPr>
          <w:rFonts w:cstheme="minorHAnsi"/>
        </w:rPr>
        <w:t xml:space="preserve">, juridinio asmens kodas </w:t>
      </w:r>
      <w:r w:rsidR="002979A8" w:rsidRPr="004F717E">
        <w:rPr>
          <w:rFonts w:cstheme="minorHAnsi"/>
        </w:rPr>
        <w:t>141574462</w:t>
      </w:r>
      <w:r w:rsidR="00FB3C75" w:rsidRPr="004F717E">
        <w:rPr>
          <w:rFonts w:cstheme="minorHAnsi"/>
        </w:rPr>
        <w:t xml:space="preserve">, adresas </w:t>
      </w:r>
      <w:r w:rsidR="002979A8" w:rsidRPr="004F717E">
        <w:rPr>
          <w:rFonts w:cstheme="minorHAnsi"/>
        </w:rPr>
        <w:t>Taikos pr. 76</w:t>
      </w:r>
      <w:r w:rsidR="00E17109" w:rsidRPr="004F717E">
        <w:rPr>
          <w:rFonts w:cstheme="minorHAnsi"/>
        </w:rPr>
        <w:t xml:space="preserve">, </w:t>
      </w:r>
      <w:r w:rsidR="002979A8" w:rsidRPr="004F717E">
        <w:rPr>
          <w:rFonts w:cstheme="minorHAnsi"/>
        </w:rPr>
        <w:t>93200</w:t>
      </w:r>
      <w:r w:rsidR="00E17109" w:rsidRPr="004F717E">
        <w:rPr>
          <w:rFonts w:cstheme="minorHAnsi"/>
        </w:rPr>
        <w:t xml:space="preserve"> Klaipėda</w:t>
      </w:r>
      <w:r w:rsidR="00FB3C75" w:rsidRPr="004F717E">
        <w:rPr>
          <w:rFonts w:cstheme="minorHAnsi"/>
        </w:rPr>
        <w:t xml:space="preserve">. </w:t>
      </w:r>
      <w:r w:rsidR="4A61FFE7" w:rsidRPr="004F717E">
        <w:rPr>
          <w:rFonts w:cstheme="minorHAnsi"/>
        </w:rPr>
        <w:t>P</w:t>
      </w:r>
      <w:r w:rsidR="00020176" w:rsidRPr="004F717E">
        <w:rPr>
          <w:rFonts w:cstheme="minorHAnsi"/>
        </w:rPr>
        <w:t>erkančioji organizacija</w:t>
      </w:r>
      <w:r w:rsidR="00FB3C75" w:rsidRPr="004F717E">
        <w:rPr>
          <w:rFonts w:cstheme="minorHAnsi"/>
        </w:rPr>
        <w:t xml:space="preserve"> </w:t>
      </w:r>
      <w:r w:rsidR="00E17109" w:rsidRPr="004F717E">
        <w:rPr>
          <w:rFonts w:cstheme="minorHAnsi"/>
        </w:rPr>
        <w:t xml:space="preserve">nėra </w:t>
      </w:r>
      <w:r w:rsidR="00FB3C75" w:rsidRPr="004F717E">
        <w:rPr>
          <w:rFonts w:cstheme="minorHAnsi"/>
        </w:rPr>
        <w:t>PVM mokėtoja.</w:t>
      </w:r>
      <w:r w:rsidR="00BB16A2" w:rsidRPr="004F717E">
        <w:rPr>
          <w:rFonts w:cstheme="minorHAnsi"/>
        </w:rPr>
        <w:t xml:space="preserve"> </w:t>
      </w:r>
      <w:r w:rsidR="00BB16A2" w:rsidRPr="004F717E">
        <w:rPr>
          <w:b/>
          <w:bCs/>
          <w:i/>
          <w:iCs/>
          <w:lang w:eastAsia="ar-SA"/>
        </w:rPr>
        <w:t>Pirkimo finansavimas numatomas iš Europos Sąjungos lėšomis finansuojamo projekto „S</w:t>
      </w:r>
      <w:r w:rsidR="00F640E1" w:rsidRPr="004F717E">
        <w:rPr>
          <w:b/>
          <w:bCs/>
          <w:i/>
          <w:iCs/>
          <w:lang w:eastAsia="ar-SA"/>
        </w:rPr>
        <w:t>veikatos centro</w:t>
      </w:r>
      <w:r w:rsidR="00BB16A2" w:rsidRPr="004F717E">
        <w:rPr>
          <w:b/>
          <w:bCs/>
          <w:i/>
          <w:iCs/>
          <w:lang w:eastAsia="ar-SA"/>
        </w:rPr>
        <w:t xml:space="preserve"> sveikatos priežiūros paslaugoms teikti reikiamos infrastruktūros modernizavimas Klaipėdoje“.</w:t>
      </w:r>
      <w:r w:rsidR="006E4327" w:rsidRPr="004F717E">
        <w:rPr>
          <w:b/>
          <w:bCs/>
          <w:i/>
          <w:iCs/>
          <w:lang w:eastAsia="ar-SA"/>
        </w:rPr>
        <w:t xml:space="preserve"> </w:t>
      </w:r>
      <w:r w:rsidR="006E4327" w:rsidRPr="004F717E">
        <w:rPr>
          <w:lang w:eastAsia="ar-SA"/>
        </w:rPr>
        <w:t xml:space="preserve">Konkretus finansuojamo projekto programos kodas nurodytas </w:t>
      </w:r>
      <w:r w:rsidR="006E4327" w:rsidRPr="004F717E">
        <w:rPr>
          <w:rFonts w:cstheme="minorHAnsi"/>
        </w:rPr>
        <w:t xml:space="preserve">specialiųjų pirkimo sąlygų </w:t>
      </w:r>
      <w:r w:rsidR="006E4327" w:rsidRPr="004F717E">
        <w:t>4 priede</w:t>
      </w:r>
      <w:r w:rsidR="00287203" w:rsidRPr="004F717E">
        <w:t>.</w:t>
      </w:r>
    </w:p>
    <w:p w14:paraId="43304316" w14:textId="25080F08" w:rsidR="00020DD7" w:rsidRPr="004F717E" w:rsidRDefault="00FB3C75" w:rsidP="00833A0E">
      <w:pPr>
        <w:pStyle w:val="Sraopastraipa"/>
        <w:numPr>
          <w:ilvl w:val="1"/>
          <w:numId w:val="8"/>
        </w:numPr>
        <w:spacing w:line="240" w:lineRule="auto"/>
        <w:ind w:left="0" w:firstLine="710"/>
        <w:rPr>
          <w:rFonts w:cstheme="minorHAnsi"/>
        </w:rPr>
      </w:pPr>
      <w:bookmarkStart w:id="10" w:name="_Hlk199407057"/>
      <w:r w:rsidRPr="004F717E">
        <w:rPr>
          <w:rFonts w:eastAsia="Calibri" w:cstheme="minorHAnsi"/>
        </w:rPr>
        <w:t xml:space="preserve">Pirkimą </w:t>
      </w:r>
      <w:r w:rsidR="00E02035" w:rsidRPr="004F717E">
        <w:rPr>
          <w:rFonts w:cstheme="minorHAnsi"/>
        </w:rPr>
        <w:t xml:space="preserve">perkančiosios organizacijos </w:t>
      </w:r>
      <w:r w:rsidRPr="004F717E">
        <w:rPr>
          <w:rFonts w:eastAsia="Calibri" w:cstheme="minorHAnsi"/>
        </w:rPr>
        <w:t>vardu atlieka</w:t>
      </w:r>
      <w:r w:rsidR="007034D1" w:rsidRPr="004F717E">
        <w:rPr>
          <w:rFonts w:eastAsia="Calibri" w:cstheme="minorHAnsi"/>
        </w:rPr>
        <w:t xml:space="preserve"> centrinė perkančioji organizacija: </w:t>
      </w:r>
      <w:r w:rsidR="00E17109" w:rsidRPr="004F717E">
        <w:rPr>
          <w:rFonts w:eastAsia="Calibri" w:cstheme="minorHAnsi"/>
        </w:rPr>
        <w:t>Klaipėdos miesto savivaldybės administracija</w:t>
      </w:r>
      <w:bookmarkEnd w:id="10"/>
      <w:r w:rsidR="00AF1AAB" w:rsidRPr="004F717E">
        <w:rPr>
          <w:rFonts w:eastAsia="Calibri" w:cstheme="minorHAnsi"/>
        </w:rPr>
        <w:t xml:space="preserve"> (toliau – CPO)</w:t>
      </w:r>
      <w:r w:rsidRPr="004F717E">
        <w:rPr>
          <w:rFonts w:eastAsia="Calibri" w:cstheme="minorHAnsi"/>
        </w:rPr>
        <w:t xml:space="preserve">, juridinio asmens kodas </w:t>
      </w:r>
      <w:r w:rsidR="00E17109" w:rsidRPr="004F717E">
        <w:rPr>
          <w:rFonts w:eastAsia="Calibri" w:cstheme="minorHAnsi"/>
        </w:rPr>
        <w:t>188710823</w:t>
      </w:r>
      <w:r w:rsidRPr="004F717E">
        <w:rPr>
          <w:rFonts w:eastAsia="Calibri" w:cstheme="minorHAnsi"/>
        </w:rPr>
        <w:t xml:space="preserve">, adresas </w:t>
      </w:r>
      <w:r w:rsidR="00E17109" w:rsidRPr="004F717E">
        <w:rPr>
          <w:rFonts w:eastAsia="Calibri" w:cstheme="minorHAnsi"/>
        </w:rPr>
        <w:t xml:space="preserve">Liepų g. 11, </w:t>
      </w:r>
      <w:r w:rsidR="00AF1AAB" w:rsidRPr="004F717E">
        <w:rPr>
          <w:rFonts w:eastAsia="Calibri" w:cstheme="minorHAnsi"/>
        </w:rPr>
        <w:t>92138</w:t>
      </w:r>
      <w:r w:rsidR="00E17109" w:rsidRPr="004F717E">
        <w:rPr>
          <w:rFonts w:eastAsia="Calibri" w:cstheme="minorHAnsi"/>
        </w:rPr>
        <w:t xml:space="preserve"> Klaipėda</w:t>
      </w:r>
      <w:r w:rsidRPr="004F717E">
        <w:rPr>
          <w:rFonts w:eastAsia="Calibri" w:cstheme="minorHAnsi"/>
        </w:rPr>
        <w:t xml:space="preserve">. Sutartį pasirašys </w:t>
      </w:r>
      <w:r w:rsidR="006B3563" w:rsidRPr="004F717E">
        <w:rPr>
          <w:rFonts w:cstheme="minorHAnsi"/>
        </w:rPr>
        <w:t>perkančioji organizacija</w:t>
      </w:r>
      <w:r w:rsidRPr="004F717E">
        <w:rPr>
          <w:rFonts w:eastAsia="Calibri" w:cstheme="minorHAnsi"/>
        </w:rPr>
        <w:t>.</w:t>
      </w:r>
      <w:r w:rsidR="00A56E33" w:rsidRPr="004F717E">
        <w:rPr>
          <w:rFonts w:eastAsia="Calibri" w:cstheme="minorHAnsi"/>
        </w:rPr>
        <w:t xml:space="preserve"> </w:t>
      </w:r>
    </w:p>
    <w:p w14:paraId="5E2D2E8C" w14:textId="431F6674"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2979A8" w:rsidRPr="006971E1">
        <w:rPr>
          <w:rFonts w:cstheme="minorHAnsi"/>
        </w:rPr>
        <w:t>nes CPO LT kataloge nėra perkamo objekto</w:t>
      </w:r>
      <w:r w:rsidRPr="004939D6">
        <w:rPr>
          <w:rFonts w:cstheme="minorHAnsi"/>
          <w:color w:val="000000" w:themeColor="text1"/>
        </w:rPr>
        <w:t xml:space="preserve">.  </w:t>
      </w:r>
    </w:p>
    <w:p w14:paraId="3885CC96" w14:textId="11C442A1" w:rsidR="00133CA7" w:rsidRPr="004F717E"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4F717E">
            <w:t>nėra</w:t>
          </w:r>
        </w:sdtContent>
      </w:sdt>
      <w:r w:rsidR="00A100C8" w:rsidRPr="004F717E" w:rsidDel="00A100C8">
        <w:rPr>
          <w:rFonts w:cstheme="minorHAnsi"/>
        </w:rPr>
        <w:t xml:space="preserve"> </w:t>
      </w:r>
      <w:r w:rsidRPr="004F717E">
        <w:rPr>
          <w:rFonts w:cstheme="minorHAnsi"/>
        </w:rPr>
        <w:t xml:space="preserve">sudaroma. </w:t>
      </w:r>
    </w:p>
    <w:p w14:paraId="77437840" w14:textId="758C4CF0" w:rsidR="0048754A" w:rsidRPr="004F717E" w:rsidRDefault="00D459E3" w:rsidP="00833A0E">
      <w:pPr>
        <w:pStyle w:val="Sraopastraipa"/>
        <w:numPr>
          <w:ilvl w:val="1"/>
          <w:numId w:val="8"/>
        </w:numPr>
        <w:tabs>
          <w:tab w:val="left" w:pos="1134"/>
        </w:tabs>
        <w:spacing w:line="240" w:lineRule="auto"/>
        <w:ind w:left="0" w:firstLine="710"/>
      </w:pPr>
      <w:r w:rsidRPr="004F717E">
        <w:t xml:space="preserve">Atliekamas žaliasis pirkimas. Pirkimas vykdomas vadovaujantis </w:t>
      </w:r>
      <w:hyperlink r:id="rId15" w:history="1">
        <w:r w:rsidR="009B66AB" w:rsidRPr="004F71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F717E">
        <w:t xml:space="preserve"> </w:t>
      </w:r>
      <w:r w:rsidR="009B52CF">
        <w:rPr>
          <w:color w:val="000000"/>
          <w:kern w:val="2"/>
          <w:szCs w:val="24"/>
          <w:shd w:val="clear" w:color="auto" w:fill="FFFFFF"/>
        </w:rPr>
        <w:t xml:space="preserve">4.1. ir </w:t>
      </w:r>
      <w:r w:rsidR="009B52CF" w:rsidRPr="00600F9F">
        <w:rPr>
          <w:color w:val="000000"/>
          <w:kern w:val="2"/>
          <w:szCs w:val="24"/>
          <w:shd w:val="clear" w:color="auto" w:fill="FFFFFF"/>
        </w:rPr>
        <w:t>4.4.4</w:t>
      </w:r>
      <w:r w:rsidR="009B52CF">
        <w:rPr>
          <w:color w:val="000000"/>
          <w:kern w:val="2"/>
          <w:szCs w:val="24"/>
          <w:shd w:val="clear" w:color="auto" w:fill="FFFFFF"/>
        </w:rPr>
        <w:t>.1</w:t>
      </w:r>
      <w:r w:rsidR="009B52CF" w:rsidRPr="00600F9F">
        <w:rPr>
          <w:color w:val="000000"/>
          <w:kern w:val="2"/>
          <w:szCs w:val="24"/>
          <w:shd w:val="clear" w:color="auto" w:fill="FFFFFF"/>
        </w:rPr>
        <w:t xml:space="preserve"> </w:t>
      </w:r>
      <w:r w:rsidR="00D8621D" w:rsidRPr="004F717E">
        <w:t>p</w:t>
      </w:r>
      <w:r w:rsidR="00D345F7" w:rsidRPr="004F717E">
        <w:t>unkt</w:t>
      </w:r>
      <w:r w:rsidR="009B52CF">
        <w:t>ais</w:t>
      </w:r>
      <w:r w:rsidR="00AF1AAB" w:rsidRPr="004F717E">
        <w:t>.</w:t>
      </w:r>
      <w:r w:rsidR="00D345F7" w:rsidRPr="004F717E">
        <w:t xml:space="preserve"> </w:t>
      </w:r>
      <w:r w:rsidRPr="004F717E">
        <w:t xml:space="preserve">Aplinkos apaugos kriterijai nustatyti </w:t>
      </w:r>
      <w:r w:rsidR="00D345F7" w:rsidRPr="004F717E">
        <w:t>Techninėje specifikacijoje (1 priede) ir Sutarties vykdymo sąlygose (4 priede Specialiosiose sąlygose);</w:t>
      </w:r>
    </w:p>
    <w:p w14:paraId="58B4D3E2" w14:textId="63E841D9" w:rsidR="00BD290E" w:rsidRPr="004F717E" w:rsidRDefault="00B1192A" w:rsidP="00833A0E">
      <w:pPr>
        <w:pStyle w:val="Sraopastraipa"/>
        <w:numPr>
          <w:ilvl w:val="1"/>
          <w:numId w:val="8"/>
        </w:numPr>
        <w:tabs>
          <w:tab w:val="left" w:pos="1134"/>
        </w:tabs>
        <w:spacing w:line="240" w:lineRule="auto"/>
        <w:ind w:left="0" w:firstLine="710"/>
      </w:pPr>
      <w:r w:rsidRPr="004F717E">
        <w:t>Šiame pirkime socialiniai kriterijai</w:t>
      </w:r>
      <w:r w:rsidR="0048754A" w:rsidRPr="004F717E">
        <w:t xml:space="preserve"> </w:t>
      </w:r>
      <w:bookmarkStart w:id="11" w:name="_Hlk163547301"/>
      <w:r w:rsidR="0048754A" w:rsidRPr="004F717E">
        <w:t>netaikomi.</w:t>
      </w:r>
    </w:p>
    <w:bookmarkEnd w:id="11"/>
    <w:p w14:paraId="15179C0E" w14:textId="0594DE9E" w:rsidR="00257685" w:rsidRPr="004F717E" w:rsidRDefault="4B7098B6" w:rsidP="00833A0E">
      <w:pPr>
        <w:pStyle w:val="Sraopastraipa"/>
        <w:numPr>
          <w:ilvl w:val="1"/>
          <w:numId w:val="8"/>
        </w:numPr>
        <w:spacing w:line="240" w:lineRule="auto"/>
        <w:ind w:left="0" w:firstLine="710"/>
        <w:rPr>
          <w:rFonts w:cstheme="minorHAnsi"/>
        </w:rPr>
      </w:pPr>
      <w:r w:rsidRPr="004F717E">
        <w:rPr>
          <w:rFonts w:eastAsia="Arial" w:cstheme="minorHAnsi"/>
        </w:rPr>
        <w:t>Bendrosios</w:t>
      </w:r>
      <w:r w:rsidR="00931CA2" w:rsidRPr="004F717E">
        <w:rPr>
          <w:rFonts w:eastAsia="Arial" w:cstheme="minorHAnsi"/>
        </w:rPr>
        <w:t xml:space="preserve"> pirkimo</w:t>
      </w:r>
      <w:r w:rsidRPr="004F717E">
        <w:rPr>
          <w:rFonts w:eastAsia="Arial" w:cstheme="minorHAnsi"/>
        </w:rPr>
        <w:t xml:space="preserve"> sąlygos yra neatskiriama ši</w:t>
      </w:r>
      <w:r w:rsidR="00931CA2" w:rsidRPr="004F717E">
        <w:rPr>
          <w:rFonts w:eastAsia="Arial" w:cstheme="minorHAnsi"/>
        </w:rPr>
        <w:t>ų</w:t>
      </w:r>
      <w:r w:rsidRPr="004F717E">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7AB02AED"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1155D" w:rsidRPr="00B1155D">
        <w:rPr>
          <w:rFonts w:eastAsia="Calibri" w:cstheme="minorHAnsi"/>
          <w:b/>
          <w:bCs/>
          <w:color w:val="000000" w:themeColor="text1"/>
        </w:rPr>
        <w:t>fizinės terapijos aparatą – aukšto intensyvumo lazerį</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4F717E">
        <w:rPr>
          <w:rFonts w:cstheme="minorHAnsi"/>
        </w:rPr>
        <w:t xml:space="preserve">sąlygų </w:t>
      </w:r>
      <w:r w:rsidR="00DF11CF" w:rsidRPr="004F717E">
        <w:rPr>
          <w:rFonts w:cstheme="minorHAnsi"/>
        </w:rPr>
        <w:t>1</w:t>
      </w:r>
      <w:r w:rsidR="00AE2AEF" w:rsidRPr="004F717E">
        <w:rPr>
          <w:rFonts w:cstheme="minorHAnsi"/>
        </w:rPr>
        <w:t xml:space="preserve"> priede</w:t>
      </w:r>
      <w:r w:rsidR="00AE2AEF" w:rsidRPr="00244994">
        <w:rPr>
          <w:rFonts w:cstheme="minorHAnsi"/>
        </w:rPr>
        <w:t>.</w:t>
      </w:r>
    </w:p>
    <w:p w14:paraId="49117D58" w14:textId="49A70E76" w:rsidR="005D280D" w:rsidRPr="004F717E"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4F717E">
        <w:rPr>
          <w:rFonts w:cstheme="minorHAnsi"/>
        </w:rPr>
        <w:t>Pirkimo objektas į dalis neskaidomas.</w:t>
      </w:r>
      <w:r w:rsidR="00702B7B" w:rsidRPr="004F717E">
        <w:rPr>
          <w:rFonts w:cstheme="minorHAnsi"/>
        </w:rPr>
        <w:t xml:space="preserve"> Pirkimo apimtys, reikalavimai ir techninė specifikacija apibrėžti </w:t>
      </w:r>
      <w:r w:rsidR="00C314B2" w:rsidRPr="004F717E">
        <w:rPr>
          <w:rFonts w:cstheme="minorHAnsi"/>
        </w:rPr>
        <w:t>s</w:t>
      </w:r>
      <w:r w:rsidR="000B6976" w:rsidRPr="004F717E">
        <w:rPr>
          <w:rFonts w:cstheme="minorHAnsi"/>
        </w:rPr>
        <w:t>pecialiųjų p</w:t>
      </w:r>
      <w:r w:rsidR="00702B7B" w:rsidRPr="004F717E">
        <w:rPr>
          <w:rFonts w:cstheme="minorHAnsi"/>
        </w:rPr>
        <w:t xml:space="preserve">irkimo sąlygų </w:t>
      </w:r>
      <w:r w:rsidR="007A5047" w:rsidRPr="004F717E">
        <w:rPr>
          <w:rFonts w:cstheme="minorHAnsi"/>
        </w:rPr>
        <w:t>1</w:t>
      </w:r>
      <w:r w:rsidR="00702B7B" w:rsidRPr="004F717E">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4D6E8F">
        <w:rPr>
          <w:rFonts w:cstheme="minorHAnsi"/>
        </w:rPr>
        <w:t xml:space="preserve">sąlygų </w:t>
      </w:r>
      <w:r w:rsidR="007A5047" w:rsidRPr="004D6E8F">
        <w:rPr>
          <w:rFonts w:cstheme="minorHAnsi"/>
        </w:rPr>
        <w:t>2</w:t>
      </w:r>
      <w:r w:rsidRPr="004D6E8F">
        <w:rPr>
          <w:rFonts w:cstheme="minorHAnsi"/>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312F3C9" w:rsidR="000C625C" w:rsidRPr="00F8218F" w:rsidRDefault="00B1155D" w:rsidP="00041762">
      <w:pPr>
        <w:pStyle w:val="Sraopastraipa"/>
        <w:spacing w:line="240" w:lineRule="auto"/>
        <w:ind w:left="0" w:firstLine="567"/>
      </w:pPr>
      <w:r>
        <w:rPr>
          <w:rFonts w:cstheme="minorHAnsi"/>
          <w:iCs/>
        </w:rPr>
        <w:t>Netaikoma</w:t>
      </w:r>
    </w:p>
    <w:p w14:paraId="490591E3" w14:textId="09943421"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Pr="004F717E"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4F717E">
        <w:rPr>
          <w:rFonts w:cstheme="minorHAnsi"/>
        </w:rPr>
        <w:t>sąlygų 3</w:t>
      </w:r>
      <w:r w:rsidR="00D85943" w:rsidRPr="004F717E">
        <w:rPr>
          <w:rFonts w:cstheme="minorHAnsi"/>
        </w:rPr>
        <w:t xml:space="preserve"> </w:t>
      </w:r>
      <w:r w:rsidR="008339CC" w:rsidRPr="004F717E">
        <w:rPr>
          <w:rFonts w:cstheme="minorHAnsi"/>
        </w:rPr>
        <w:t xml:space="preserve">priede </w:t>
      </w:r>
      <w:r w:rsidR="005A5204" w:rsidRPr="004F717E">
        <w:rPr>
          <w:rFonts w:cstheme="minorHAnsi"/>
        </w:rPr>
        <w:t>pateiktą pasiūlymo formą</w:t>
      </w:r>
      <w:r w:rsidR="002B40CB" w:rsidRPr="004F717E">
        <w:rPr>
          <w:rFonts w:cstheme="minorHAnsi"/>
        </w:rPr>
        <w:t xml:space="preserve"> ir jo priedai (jei taikoma)</w:t>
      </w:r>
      <w:r w:rsidR="00EB055F" w:rsidRPr="004F717E">
        <w:rPr>
          <w:rFonts w:cstheme="minorHAnsi"/>
        </w:rPr>
        <w:t>;</w:t>
      </w:r>
    </w:p>
    <w:p w14:paraId="09B8C61D" w14:textId="59F36089" w:rsidR="00DA7529" w:rsidRPr="004F717E" w:rsidRDefault="00EB055F" w:rsidP="00833A0E">
      <w:pPr>
        <w:pStyle w:val="Sraopastraipa"/>
        <w:numPr>
          <w:ilvl w:val="2"/>
          <w:numId w:val="7"/>
        </w:numPr>
        <w:spacing w:line="240" w:lineRule="auto"/>
        <w:rPr>
          <w:rFonts w:cstheme="minorHAnsi"/>
        </w:rPr>
      </w:pPr>
      <w:r w:rsidRPr="004F717E">
        <w:rPr>
          <w:rFonts w:cstheme="minorHAnsi"/>
        </w:rPr>
        <w:t>jei pirkime dalyvauja ūkio subjektų grupė jungtinės veiklos sutarties pagrindu</w:t>
      </w:r>
      <w:r w:rsidR="002B40CB" w:rsidRPr="004F717E">
        <w:rPr>
          <w:rFonts w:cstheme="minorHAnsi"/>
        </w:rPr>
        <w:t xml:space="preserve"> - jungtinės veiklos sutarties kopija</w:t>
      </w:r>
      <w:r w:rsidRPr="004F717E">
        <w:rPr>
          <w:rFonts w:cstheme="minorHAnsi"/>
        </w:rPr>
        <w:t>;</w:t>
      </w:r>
    </w:p>
    <w:p w14:paraId="45D01666" w14:textId="6900A9D4" w:rsidR="006573A3" w:rsidRPr="004F717E" w:rsidRDefault="0065081A" w:rsidP="00833A0E">
      <w:pPr>
        <w:pStyle w:val="Sraopastraipa"/>
        <w:numPr>
          <w:ilvl w:val="2"/>
          <w:numId w:val="7"/>
        </w:numPr>
        <w:spacing w:line="240" w:lineRule="auto"/>
        <w:rPr>
          <w:rFonts w:cstheme="minorHAnsi"/>
        </w:rPr>
      </w:pPr>
      <w:r w:rsidRPr="004F717E">
        <w:rPr>
          <w:rFonts w:cstheme="minorHAnsi"/>
        </w:rPr>
        <w:t>jei tiekėjas pasitelkia ūkio subjektus, kurių pajėgumais remiasi</w:t>
      </w:r>
      <w:r w:rsidR="00A71B83" w:rsidRPr="004F717E">
        <w:rPr>
          <w:rFonts w:cstheme="minorHAnsi"/>
        </w:rPr>
        <w:t xml:space="preserve"> </w:t>
      </w:r>
      <w:r w:rsidR="006573A3" w:rsidRPr="004F717E">
        <w:rPr>
          <w:rFonts w:cstheme="minorHAnsi"/>
        </w:rPr>
        <w:t>(įskaitant kvazisubtiekėjus)</w:t>
      </w:r>
      <w:r w:rsidRPr="004F717E">
        <w:rPr>
          <w:rFonts w:cstheme="minorHAnsi"/>
        </w:rPr>
        <w:t xml:space="preserve"> – įrodymai, kad šie ištekliai bus prieinami per visą sutartinių įsipareigojimų vykdymo laikotarpį </w:t>
      </w:r>
      <w:r w:rsidR="00A71B83" w:rsidRPr="004F717E">
        <w:rPr>
          <w:rFonts w:cstheme="minorHAnsi"/>
        </w:rPr>
        <w:t>(</w:t>
      </w:r>
      <w:r w:rsidRPr="004F717E">
        <w:rPr>
          <w:rFonts w:cstheme="minorHAnsi"/>
        </w:rPr>
        <w:t>ketinimų protokolai</w:t>
      </w:r>
      <w:r w:rsidR="00A71B83" w:rsidRPr="004F717E">
        <w:rPr>
          <w:rFonts w:cstheme="minorHAnsi"/>
        </w:rPr>
        <w:t>,</w:t>
      </w:r>
      <w:r w:rsidRPr="004F717E">
        <w:rPr>
          <w:rFonts w:cstheme="minorHAnsi"/>
        </w:rPr>
        <w:t xml:space="preserve"> dvišalės sutartys</w:t>
      </w:r>
      <w:r w:rsidR="006573A3" w:rsidRPr="004F717E">
        <w:rPr>
          <w:rFonts w:cstheme="minorHAnsi"/>
        </w:rPr>
        <w:t xml:space="preserve">, sutikimai </w:t>
      </w:r>
      <w:r w:rsidR="00A71B83" w:rsidRPr="004F717E">
        <w:rPr>
          <w:rFonts w:cstheme="minorHAnsi"/>
        </w:rPr>
        <w:t>ar kiti dokumentai)</w:t>
      </w:r>
      <w:r w:rsidR="003D69CE" w:rsidRPr="004F717E">
        <w:rPr>
          <w:rFonts w:cstheme="minorHAnsi"/>
        </w:rPr>
        <w:t>.</w:t>
      </w:r>
    </w:p>
    <w:p w14:paraId="6123D16F" w14:textId="10E56141" w:rsidR="00A51A1B" w:rsidRPr="004F717E" w:rsidRDefault="00A51A1B" w:rsidP="00A51A1B">
      <w:pPr>
        <w:pStyle w:val="Sraopastraipa"/>
        <w:numPr>
          <w:ilvl w:val="2"/>
          <w:numId w:val="7"/>
        </w:numPr>
        <w:spacing w:line="240" w:lineRule="auto"/>
        <w:rPr>
          <w:rFonts w:cstheme="minorHAnsi"/>
        </w:rPr>
      </w:pPr>
      <w:r w:rsidRPr="004F717E">
        <w:rPr>
          <w:rFonts w:cstheme="minorHAnsi"/>
        </w:rPr>
        <w:t>Užpildyta Techninė specifikacija pagal pirkimo sąlygų 1 priedą.</w:t>
      </w:r>
    </w:p>
    <w:p w14:paraId="6725BAA5" w14:textId="786E0742" w:rsidR="00A51A1B" w:rsidRPr="006971E1" w:rsidRDefault="00A51A1B" w:rsidP="00A51A1B">
      <w:pPr>
        <w:pStyle w:val="Sraopastraipa"/>
        <w:numPr>
          <w:ilvl w:val="2"/>
          <w:numId w:val="7"/>
        </w:numPr>
        <w:spacing w:line="240" w:lineRule="auto"/>
        <w:ind w:left="0" w:firstLine="709"/>
        <w:rPr>
          <w:rFonts w:cstheme="minorHAnsi"/>
        </w:rPr>
      </w:pPr>
      <w:r>
        <w:rPr>
          <w:b/>
          <w:bCs/>
        </w:rPr>
        <w:t xml:space="preserve">      </w:t>
      </w:r>
      <w:r w:rsidRPr="006971E1">
        <w:rPr>
          <w:b/>
          <w:bCs/>
        </w:rPr>
        <w:t xml:space="preserve">jeigu tiekėjo siūlomos prekės </w:t>
      </w:r>
      <w:r w:rsidRPr="006971E1">
        <w:rPr>
          <w:b/>
          <w:bCs/>
          <w:u w:val="single"/>
        </w:rPr>
        <w:t>yra pagamintos (sukurtos)</w:t>
      </w:r>
      <w:r w:rsidRPr="006971E1">
        <w:rPr>
          <w:b/>
          <w:bCs/>
        </w:rPr>
        <w:t>, įrodant siūlomos prekės atitiktį techninės specifikacijos lentelėje nustatytiems reikalavimams, pateikiami prekės gamintojo dokumentai</w:t>
      </w:r>
      <w:r w:rsidRPr="006971E1">
        <w:rPr>
          <w:b/>
          <w:bCs/>
          <w:i/>
          <w:iCs/>
        </w:rPr>
        <w:t> </w:t>
      </w:r>
      <w:r w:rsidRPr="006971E1">
        <w:rPr>
          <w:i/>
          <w:iCs/>
        </w:rPr>
        <w:t>(techninės specifikacijos, katalogų, bukletų kopijos, internetinės nuorodos į prekių gamintojo puslapius, atitinkamą (-</w:t>
      </w:r>
      <w:proofErr w:type="spellStart"/>
      <w:r w:rsidRPr="006971E1">
        <w:rPr>
          <w:i/>
          <w:iCs/>
        </w:rPr>
        <w:t>us</w:t>
      </w:r>
      <w:proofErr w:type="spellEnd"/>
      <w:r w:rsidRPr="006971E1">
        <w:rPr>
          <w:i/>
          <w:iCs/>
        </w:rPr>
        <w:t>) techninės specifikacijos reikalavimą (-</w:t>
      </w:r>
      <w:proofErr w:type="spellStart"/>
      <w:r w:rsidRPr="006971E1">
        <w:rPr>
          <w:i/>
          <w:iCs/>
        </w:rPr>
        <w:t>us</w:t>
      </w:r>
      <w:proofErr w:type="spellEnd"/>
      <w:r w:rsidRPr="006971E1">
        <w:rPr>
          <w:i/>
          <w:iCs/>
        </w:rPr>
        <w:t>) patvirtinanti (-</w:t>
      </w:r>
      <w:proofErr w:type="spellStart"/>
      <w:r w:rsidRPr="006971E1">
        <w:rPr>
          <w:i/>
          <w:iCs/>
        </w:rPr>
        <w:t>čios</w:t>
      </w:r>
      <w:proofErr w:type="spellEnd"/>
      <w:r w:rsidRPr="006971E1">
        <w:rPr>
          <w:i/>
          <w:iCs/>
        </w:rPr>
        <w:t>) momentinė (-ės) ekrano kopija (-</w:t>
      </w:r>
      <w:proofErr w:type="spellStart"/>
      <w:r w:rsidRPr="006971E1">
        <w:rPr>
          <w:i/>
          <w:iCs/>
        </w:rPr>
        <w:t>os</w:t>
      </w:r>
      <w:proofErr w:type="spellEnd"/>
      <w:r w:rsidRPr="006971E1">
        <w:rPr>
          <w:i/>
          <w:iCs/>
        </w:rPr>
        <w:t>) (</w:t>
      </w:r>
      <w:proofErr w:type="spellStart"/>
      <w:r w:rsidRPr="006971E1">
        <w:rPr>
          <w:i/>
          <w:iCs/>
        </w:rPr>
        <w:t>print</w:t>
      </w:r>
      <w:proofErr w:type="spellEnd"/>
      <w:r w:rsidRPr="006971E1">
        <w:rPr>
          <w:i/>
          <w:iCs/>
        </w:rPr>
        <w:t xml:space="preserve"> </w:t>
      </w:r>
      <w:proofErr w:type="spellStart"/>
      <w:r w:rsidRPr="006971E1">
        <w:rPr>
          <w:i/>
          <w:iCs/>
        </w:rPr>
        <w:t>screen</w:t>
      </w:r>
      <w:proofErr w:type="spellEnd"/>
      <w:r w:rsidRPr="006971E1">
        <w:rPr>
          <w:i/>
          <w:iCs/>
        </w:rPr>
        <w:t>) (tokiu atveju momentinėje ekrano kopijoje (</w:t>
      </w:r>
      <w:proofErr w:type="spellStart"/>
      <w:r w:rsidRPr="006971E1">
        <w:rPr>
          <w:i/>
          <w:iCs/>
        </w:rPr>
        <w:t>print</w:t>
      </w:r>
      <w:proofErr w:type="spellEnd"/>
      <w:r w:rsidRPr="006971E1">
        <w:rPr>
          <w:i/>
          <w:iCs/>
        </w:rPr>
        <w:t xml:space="preserve"> </w:t>
      </w:r>
      <w:proofErr w:type="spellStart"/>
      <w:r w:rsidRPr="006971E1">
        <w:rPr>
          <w:i/>
          <w:iCs/>
        </w:rPr>
        <w:t>screen</w:t>
      </w:r>
      <w:proofErr w:type="spellEnd"/>
      <w:r w:rsidRPr="006971E1">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D764819" w14:textId="77777777" w:rsidR="00A51A1B" w:rsidRPr="006971E1" w:rsidRDefault="00A51A1B" w:rsidP="00A51A1B">
      <w:pPr>
        <w:pStyle w:val="Sraopastraipa"/>
        <w:spacing w:line="240" w:lineRule="auto"/>
        <w:ind w:left="0" w:firstLine="1429"/>
        <w:rPr>
          <w:rFonts w:cstheme="minorHAnsi"/>
        </w:rPr>
      </w:pPr>
      <w:r w:rsidRPr="006971E1">
        <w:rPr>
          <w:b/>
          <w:bCs/>
        </w:rPr>
        <w:t xml:space="preserve">Jeigu tiekėjo siūlomos prekės </w:t>
      </w:r>
      <w:r w:rsidRPr="006971E1">
        <w:rPr>
          <w:b/>
          <w:bCs/>
          <w:u w:val="single"/>
        </w:rPr>
        <w:t xml:space="preserve">nėra pagamintos </w:t>
      </w:r>
      <w:r w:rsidRPr="006971E1">
        <w:rPr>
          <w:b/>
          <w:bCs/>
          <w:i/>
          <w:iCs/>
          <w:u w:val="single"/>
        </w:rPr>
        <w:t>(sukurtos)</w:t>
      </w:r>
      <w:r w:rsidRPr="006971E1">
        <w:rPr>
          <w:b/>
          <w:bCs/>
          <w:i/>
          <w:iCs/>
        </w:rPr>
        <w:t xml:space="preserve"> ir tiekėjas </w:t>
      </w:r>
      <w:r w:rsidRPr="006971E1">
        <w:rPr>
          <w:b/>
          <w:bCs/>
          <w:i/>
          <w:iCs/>
          <w:u w:val="single"/>
        </w:rPr>
        <w:t>pats bus siūlomų prekių gamintojas</w:t>
      </w:r>
      <w:r w:rsidRPr="006971E1">
        <w:rPr>
          <w:b/>
          <w:bCs/>
          <w:i/>
          <w:iCs/>
        </w:rPr>
        <w:t>, papildomų atitiktį reikalavimams patvirtinančių dokumentų pateikti nereikalaujama. Tiekėjas techninėje specifikacijoje nurodo, kad yra siūlomų prekių gamintojas.</w:t>
      </w:r>
    </w:p>
    <w:p w14:paraId="2DB8C019" w14:textId="77777777" w:rsidR="00A51A1B" w:rsidRPr="006971E1" w:rsidRDefault="00A51A1B" w:rsidP="00A51A1B">
      <w:pPr>
        <w:pStyle w:val="Sraopastraipa"/>
        <w:spacing w:line="240" w:lineRule="auto"/>
        <w:ind w:left="0" w:firstLine="1429"/>
        <w:rPr>
          <w:rFonts w:cstheme="minorHAnsi"/>
        </w:rPr>
      </w:pPr>
      <w:r w:rsidRPr="006971E1">
        <w:rPr>
          <w:b/>
          <w:bCs/>
        </w:rPr>
        <w:t xml:space="preserve">Jeigu tiekėjo siūlomos prekės </w:t>
      </w:r>
      <w:r w:rsidRPr="006971E1">
        <w:rPr>
          <w:b/>
          <w:bCs/>
          <w:u w:val="single"/>
        </w:rPr>
        <w:t>nėra pagamintos (sukurtos) ir tiekėjas pats jų negamins</w:t>
      </w:r>
      <w:r w:rsidRPr="006971E1">
        <w:rPr>
          <w:b/>
          <w:bCs/>
        </w:rPr>
        <w:t>,</w:t>
      </w:r>
      <w:r w:rsidRPr="006971E1">
        <w:rPr>
          <w:b/>
          <w:bCs/>
          <w:i/>
          <w:iCs/>
        </w:rPr>
        <w:t xml:space="preserve"> jis turi pateikti siūlomų prekių gamintojo (-ų) raštiškus patvirtinimus dėl prekių atitikties reikalavimams (atitikties deklaracijas ar pan.).</w:t>
      </w:r>
    </w:p>
    <w:p w14:paraId="715FB55F" w14:textId="02706B35" w:rsidR="00A51A1B" w:rsidRDefault="00A51A1B" w:rsidP="00A51A1B">
      <w:pPr>
        <w:pStyle w:val="Sraopastraipa"/>
        <w:spacing w:line="240" w:lineRule="auto"/>
        <w:ind w:left="0" w:firstLine="1429"/>
        <w:rPr>
          <w:i/>
          <w:iCs/>
        </w:rPr>
      </w:pPr>
      <w:r w:rsidRPr="006971E1">
        <w:rPr>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4AD0B761" w14:textId="4BC8389B" w:rsidR="00A51A1B" w:rsidRPr="00BE490B" w:rsidRDefault="0092685D" w:rsidP="0092685D">
      <w:pPr>
        <w:widowControl w:val="0"/>
        <w:tabs>
          <w:tab w:val="left" w:pos="1080"/>
          <w:tab w:val="left" w:pos="1134"/>
          <w:tab w:val="left" w:pos="1260"/>
          <w:tab w:val="left" w:pos="1418"/>
        </w:tabs>
        <w:ind w:left="-10" w:firstLine="720"/>
        <w:rPr>
          <w:rFonts w:eastAsia="Calibri"/>
          <w:b/>
        </w:rPr>
      </w:pPr>
      <w:r w:rsidRPr="0092685D">
        <w:lastRenderedPageBreak/>
        <w:t>5.1.6.</w:t>
      </w:r>
      <w:r>
        <w:rPr>
          <w:i/>
          <w:iCs/>
        </w:rPr>
        <w:t xml:space="preserve"> </w:t>
      </w:r>
      <w:r w:rsidRPr="0092685D">
        <w:rPr>
          <w:rFonts w:eastAsia="Calibri"/>
          <w:b/>
        </w:rPr>
        <w:t>CE sertifikato (arba lygiaverčio dokumento) kopiją</w:t>
      </w:r>
      <w:r w:rsidRPr="0092685D">
        <w:rPr>
          <w:rFonts w:eastAsia="Calibri"/>
          <w:bCs/>
        </w:rPr>
        <w:t xml:space="preserve">, kuri patvirtintų, jog Prekė atitinka Europos direktyvos 93/42/EEB </w:t>
      </w:r>
      <w:r w:rsidRPr="00BE490B">
        <w:rPr>
          <w:rFonts w:eastAsia="Calibri"/>
          <w:bCs/>
        </w:rPr>
        <w:t>reikalavimus medicinos prietaisams ir turi CE ženklinimą</w:t>
      </w:r>
      <w:r w:rsidR="00BE490B">
        <w:rPr>
          <w:rFonts w:eastAsia="Calibri"/>
          <w:bCs/>
        </w:rPr>
        <w:t>.</w:t>
      </w:r>
    </w:p>
    <w:p w14:paraId="2648D765" w14:textId="77777777" w:rsidR="00521A8B" w:rsidRPr="00BE490B" w:rsidRDefault="00521A8B" w:rsidP="00F77A5D">
      <w:pPr>
        <w:tabs>
          <w:tab w:val="left" w:pos="567"/>
        </w:tabs>
        <w:spacing w:line="240" w:lineRule="auto"/>
        <w:ind w:firstLine="0"/>
        <w:rPr>
          <w:rFonts w:cstheme="minorHAnsi"/>
          <w:vanish/>
          <w:color w:val="7030A0"/>
        </w:rPr>
      </w:pPr>
    </w:p>
    <w:p w14:paraId="25741C16" w14:textId="271C90C7" w:rsidR="00EB0E73" w:rsidRPr="00F70558" w:rsidRDefault="00456F36" w:rsidP="00F77A5D">
      <w:pPr>
        <w:pStyle w:val="Sraopastraipa"/>
        <w:spacing w:line="240" w:lineRule="auto"/>
        <w:ind w:left="0"/>
        <w:rPr>
          <w:rFonts w:cstheme="minorHAnsi"/>
        </w:rPr>
      </w:pPr>
      <w:r w:rsidRPr="00BE490B">
        <w:rPr>
          <w:rFonts w:eastAsia="Arial" w:cstheme="minorHAnsi"/>
        </w:rPr>
        <w:t>5.</w:t>
      </w:r>
      <w:r w:rsidR="002B40CB" w:rsidRPr="00BE490B">
        <w:rPr>
          <w:rFonts w:eastAsia="Arial" w:cstheme="minorHAnsi"/>
        </w:rPr>
        <w:t>2</w:t>
      </w:r>
      <w:r w:rsidRPr="00BE490B">
        <w:rPr>
          <w:rFonts w:eastAsia="Arial" w:cstheme="minorHAnsi"/>
        </w:rPr>
        <w:t xml:space="preserve">. </w:t>
      </w:r>
      <w:r w:rsidR="00032BAD" w:rsidRPr="00BE490B">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00032BAD" w:rsidRPr="00BE490B">
        <w:rPr>
          <w:b/>
          <w:bCs/>
        </w:rPr>
        <w:t>juridinių/fizinių asmenų atestaciją/išsilavinimą patvirtinantiems dokumentams,</w:t>
      </w:r>
      <w:r w:rsidR="00032BAD" w:rsidRPr="00BE490B">
        <w:t xml:space="preserve"> prekių gamintojų dokumentams, nuorodoms, kur informacija gali būti pateikiama lietuvių arba anglų kalbomis. </w:t>
      </w:r>
      <w:r w:rsidR="00032BAD" w:rsidRPr="00BE490B">
        <w:rPr>
          <w:b/>
          <w:bCs/>
        </w:rPr>
        <w:t>Esant poreikiui, Perkančiajai organizacijai paprašius, tiekėjas privalo pateikti minėtų dokumentų anglų kalba vertimą į lietuvių kalbą.</w:t>
      </w:r>
      <w:r w:rsidR="00032BAD" w:rsidRPr="00BE490B">
        <w:t xml:space="preserve"> Kilus įtarimų dėl pateikto dokumento vertimo kokybės ir (ar) jo atitikties dokumento originalo turiniui, pirkimo vykdytojas pasilieka teisę reikalauti pateikti vertėjo parašu ir </w:t>
      </w:r>
      <w:r w:rsidR="00032BAD" w:rsidRPr="00BE490B">
        <w:rPr>
          <w:rStyle w:val="Grietas"/>
        </w:rPr>
        <w:t>vertimų biuro antspaudu (jei turi)</w:t>
      </w:r>
      <w:r w:rsidR="00032BAD" w:rsidRPr="00BE490B">
        <w:t xml:space="preserve"> patvirtintą šio dokumento vertimą ir (arba) nurodyti, kad vertimą atlikusio asmens parašas būtų patvirtintas notariškai.</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7ECE5800"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F640E1" w:rsidRPr="00F640E1">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3097DA3" w14:textId="77777777" w:rsidR="001E1FD3" w:rsidRPr="004802BB" w:rsidRDefault="001E1FD3"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2A512E1E" w:rsidR="002B40CB" w:rsidRPr="001164B3" w:rsidRDefault="002B40CB" w:rsidP="00041762">
      <w:pPr>
        <w:pStyle w:val="Sraopastraipa"/>
        <w:spacing w:line="240" w:lineRule="auto"/>
        <w:ind w:left="0" w:firstLine="709"/>
        <w:rPr>
          <w:rFonts w:cstheme="minorHAnsi"/>
        </w:rPr>
      </w:pPr>
      <w:r w:rsidRPr="00041762">
        <w:rPr>
          <w:rFonts w:eastAsia="Calibri" w:cstheme="minorHAnsi"/>
        </w:rPr>
        <w:t>7.1</w:t>
      </w:r>
      <w:r w:rsidRPr="001164B3">
        <w:rPr>
          <w:rFonts w:eastAsia="Calibri" w:cstheme="minorHAnsi"/>
        </w:rPr>
        <w:t xml:space="preserve">. </w:t>
      </w:r>
      <w:r w:rsidR="00FA6531" w:rsidRPr="001164B3">
        <w:rPr>
          <w:rFonts w:cstheme="minorHAnsi"/>
        </w:rPr>
        <w:t>CPO</w:t>
      </w:r>
      <w:r w:rsidR="00B870A5" w:rsidRPr="001164B3">
        <w:rPr>
          <w:rFonts w:cstheme="minorHAnsi"/>
        </w:rPr>
        <w:t xml:space="preserve"> </w:t>
      </w:r>
      <w:r w:rsidR="00FA6531" w:rsidRPr="001164B3">
        <w:rPr>
          <w:rFonts w:cstheme="minorHAnsi"/>
        </w:rPr>
        <w:t xml:space="preserve">ir (ar) perkančioji organizacija </w:t>
      </w:r>
      <w:r w:rsidR="00B870A5" w:rsidRPr="001164B3">
        <w:rPr>
          <w:rFonts w:cstheme="minorHAnsi"/>
        </w:rPr>
        <w:t xml:space="preserve">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22B3E2C0" w:rsidR="00831133" w:rsidRPr="001164B3" w:rsidRDefault="006A0320" w:rsidP="00F77A5D">
      <w:pPr>
        <w:pStyle w:val="Sraopastraipa"/>
        <w:spacing w:line="240" w:lineRule="auto"/>
        <w:ind w:left="0" w:firstLine="709"/>
        <w:rPr>
          <w:rFonts w:eastAsia="Calibri" w:cstheme="minorHAnsi"/>
        </w:rPr>
      </w:pPr>
      <w:r w:rsidRPr="001164B3">
        <w:rPr>
          <w:rFonts w:eastAsia="Calibri" w:cstheme="minorHAnsi"/>
        </w:rPr>
        <w:t>7</w:t>
      </w:r>
      <w:r w:rsidR="0010148D" w:rsidRPr="001164B3">
        <w:rPr>
          <w:rFonts w:eastAsia="Calibri" w:cstheme="minorHAnsi"/>
        </w:rPr>
        <w:t>.</w:t>
      </w:r>
      <w:r w:rsidR="00B870A5" w:rsidRPr="001164B3">
        <w:rPr>
          <w:rFonts w:eastAsia="Calibri" w:cstheme="minorHAnsi"/>
        </w:rPr>
        <w:t>2</w:t>
      </w:r>
      <w:r w:rsidR="0010148D" w:rsidRPr="001164B3">
        <w:rPr>
          <w:rFonts w:eastAsia="Calibri" w:cstheme="minorHAnsi"/>
        </w:rPr>
        <w:t>.</w:t>
      </w:r>
      <w:r w:rsidR="4639D25F" w:rsidRPr="001164B3">
        <w:rPr>
          <w:rFonts w:cstheme="minorHAnsi"/>
        </w:rPr>
        <w:t xml:space="preserve"> </w:t>
      </w:r>
      <w:r w:rsidR="00FA6531" w:rsidRPr="001164B3">
        <w:rPr>
          <w:rFonts w:cstheme="minorHAnsi"/>
        </w:rPr>
        <w:t>CPO ir (ar) perkančioji organizacija</w:t>
      </w:r>
      <w:r w:rsidR="00831133" w:rsidRPr="001164B3">
        <w:rPr>
          <w:rFonts w:eastAsia="Calibri" w:cstheme="minorHAnsi"/>
        </w:rPr>
        <w:t xml:space="preserve"> ekonomiškai naudingiausią </w:t>
      </w:r>
      <w:r w:rsidR="000E681E" w:rsidRPr="001164B3">
        <w:rPr>
          <w:rFonts w:eastAsia="Calibri" w:cstheme="minorHAnsi"/>
        </w:rPr>
        <w:t>p</w:t>
      </w:r>
      <w:r w:rsidR="00831133" w:rsidRPr="001164B3">
        <w:rPr>
          <w:rFonts w:eastAsia="Calibri" w:cstheme="minorHAnsi"/>
        </w:rPr>
        <w:t xml:space="preserve">asiūlymą išrenka pagal kainos ir kokybės santykį. Duomenys, kuriuos savo </w:t>
      </w:r>
      <w:r w:rsidR="000E681E" w:rsidRPr="001164B3">
        <w:rPr>
          <w:rFonts w:eastAsia="Calibri" w:cstheme="minorHAnsi"/>
        </w:rPr>
        <w:t>p</w:t>
      </w:r>
      <w:r w:rsidR="00831133" w:rsidRPr="001164B3">
        <w:rPr>
          <w:rFonts w:eastAsia="Calibri" w:cstheme="minorHAnsi"/>
        </w:rPr>
        <w:t xml:space="preserve">asiūlyme turi pateikti </w:t>
      </w:r>
      <w:r w:rsidR="000E681E" w:rsidRPr="001164B3">
        <w:rPr>
          <w:rFonts w:eastAsia="Calibri" w:cstheme="minorHAnsi"/>
        </w:rPr>
        <w:t>tiekėjas</w:t>
      </w:r>
      <w:r w:rsidR="00831133" w:rsidRPr="001164B3">
        <w:rPr>
          <w:rFonts w:eastAsia="Calibri" w:cstheme="minorHAnsi"/>
        </w:rPr>
        <w:t>, vertinimo kriterijai ir tvarka, pagal kuri</w:t>
      </w:r>
      <w:r w:rsidR="00DD0202" w:rsidRPr="001164B3">
        <w:rPr>
          <w:rFonts w:eastAsia="Calibri" w:cstheme="minorHAnsi"/>
        </w:rPr>
        <w:t>ą</w:t>
      </w:r>
      <w:r w:rsidR="00831133" w:rsidRPr="001164B3">
        <w:rPr>
          <w:rFonts w:eastAsia="Calibri" w:cstheme="minorHAnsi"/>
        </w:rPr>
        <w:t xml:space="preserve"> vertinami </w:t>
      </w:r>
      <w:r w:rsidR="00F158C7" w:rsidRPr="001164B3">
        <w:rPr>
          <w:rFonts w:eastAsia="Calibri" w:cstheme="minorHAnsi"/>
        </w:rPr>
        <w:t>tiekėjo</w:t>
      </w:r>
      <w:r w:rsidR="00831133" w:rsidRPr="001164B3">
        <w:rPr>
          <w:rFonts w:eastAsia="Calibri" w:cstheme="minorHAnsi"/>
        </w:rPr>
        <w:t xml:space="preserve"> pateikti duomenys, pa</w:t>
      </w:r>
      <w:r w:rsidR="00DE051B" w:rsidRPr="001164B3">
        <w:rPr>
          <w:rFonts w:eastAsia="Calibri" w:cstheme="minorHAnsi"/>
        </w:rPr>
        <w:t>teikiam</w:t>
      </w:r>
      <w:r w:rsidR="00F158C7" w:rsidRPr="001164B3">
        <w:rPr>
          <w:rFonts w:eastAsia="Calibri" w:cstheme="minorHAnsi"/>
        </w:rPr>
        <w:t>a</w:t>
      </w:r>
      <w:r w:rsidR="00DE051B" w:rsidRPr="001164B3">
        <w:rPr>
          <w:rFonts w:eastAsia="Calibri" w:cstheme="minorHAnsi"/>
        </w:rPr>
        <w:t xml:space="preserve"> </w:t>
      </w:r>
      <w:r w:rsidR="00F158C7" w:rsidRPr="001164B3">
        <w:rPr>
          <w:rFonts w:eastAsia="Calibri" w:cstheme="minorHAnsi"/>
        </w:rPr>
        <w:t>specialiųjų p</w:t>
      </w:r>
      <w:r w:rsidR="00DE051B" w:rsidRPr="001164B3">
        <w:rPr>
          <w:rFonts w:eastAsia="Calibri" w:cstheme="minorHAnsi"/>
        </w:rPr>
        <w:t xml:space="preserve">irkimo sąlygų </w:t>
      </w:r>
      <w:r w:rsidR="007705BB" w:rsidRPr="001164B3">
        <w:rPr>
          <w:rFonts w:eastAsia="Calibri" w:cstheme="minorHAnsi"/>
        </w:rPr>
        <w:t>6</w:t>
      </w:r>
      <w:r w:rsidR="00F158C7" w:rsidRPr="001164B3">
        <w:rPr>
          <w:rFonts w:eastAsia="Calibri" w:cstheme="minorHAnsi"/>
        </w:rPr>
        <w:t xml:space="preserve"> priede</w:t>
      </w:r>
      <w:r w:rsidR="00DE051B" w:rsidRPr="001164B3">
        <w:rPr>
          <w:rFonts w:eastAsia="Calibri" w:cstheme="minorHAnsi"/>
        </w:rPr>
        <w:t>.</w:t>
      </w:r>
    </w:p>
    <w:p w14:paraId="69CC295B" w14:textId="2DF958BB" w:rsidR="009C5AA9" w:rsidRPr="001164B3" w:rsidRDefault="00660FD8" w:rsidP="00F77A5D">
      <w:pPr>
        <w:pStyle w:val="Sraopastraipa"/>
        <w:spacing w:line="240" w:lineRule="auto"/>
        <w:ind w:left="0"/>
        <w:rPr>
          <w:rFonts w:cstheme="minorHAnsi"/>
        </w:rPr>
      </w:pPr>
      <w:r w:rsidRPr="001164B3">
        <w:rPr>
          <w:rFonts w:cstheme="minorHAnsi"/>
        </w:rPr>
        <w:t>7</w:t>
      </w:r>
      <w:r w:rsidR="001404CC" w:rsidRPr="001164B3">
        <w:rPr>
          <w:rFonts w:cstheme="minorHAnsi"/>
        </w:rPr>
        <w:t>.</w:t>
      </w:r>
      <w:r w:rsidR="00B870A5" w:rsidRPr="001164B3">
        <w:rPr>
          <w:rFonts w:cstheme="minorHAnsi"/>
        </w:rPr>
        <w:t>3</w:t>
      </w:r>
      <w:r w:rsidR="001404CC" w:rsidRPr="001164B3">
        <w:rPr>
          <w:rFonts w:cstheme="minorHAnsi"/>
        </w:rPr>
        <w:t xml:space="preserve">. </w:t>
      </w:r>
      <w:r w:rsidR="00D734C6" w:rsidRPr="001164B3">
        <w:rPr>
          <w:rFonts w:cstheme="minorHAnsi"/>
        </w:rPr>
        <w:t xml:space="preserve">Laimėjusiu </w:t>
      </w:r>
      <w:r w:rsidR="00996FBB" w:rsidRPr="001164B3">
        <w:rPr>
          <w:rFonts w:cstheme="minorHAnsi"/>
        </w:rPr>
        <w:t>p</w:t>
      </w:r>
      <w:r w:rsidR="005D7D8C" w:rsidRPr="001164B3">
        <w:rPr>
          <w:rFonts w:cstheme="minorHAnsi"/>
        </w:rPr>
        <w:t>asiūlymu</w:t>
      </w:r>
      <w:r w:rsidR="00D734C6" w:rsidRPr="001164B3">
        <w:rPr>
          <w:rFonts w:cstheme="minorHAnsi"/>
        </w:rPr>
        <w:t xml:space="preserve"> galės būti pripažintas tik 1 (vienas) </w:t>
      </w:r>
      <w:r w:rsidR="005D7D8C" w:rsidRPr="001164B3">
        <w:rPr>
          <w:rFonts w:cstheme="minorHAnsi"/>
        </w:rPr>
        <w:t xml:space="preserve">ekonomiškai naudingiausias </w:t>
      </w:r>
      <w:r w:rsidR="00A36CC9" w:rsidRPr="001164B3">
        <w:rPr>
          <w:rFonts w:cstheme="minorHAnsi"/>
        </w:rPr>
        <w:t>p</w:t>
      </w:r>
      <w:r w:rsidR="005D7D8C" w:rsidRPr="001164B3">
        <w:rPr>
          <w:rFonts w:cstheme="minorHAnsi"/>
        </w:rPr>
        <w:t>asiūlymas, esantis pasiūlymų eilės pirmojoje vietoje</w:t>
      </w:r>
      <w:r w:rsidR="00D734C6" w:rsidRPr="001164B3">
        <w:rPr>
          <w:rFonts w:cstheme="minorHAnsi"/>
        </w:rPr>
        <w:t xml:space="preserve">. </w:t>
      </w:r>
    </w:p>
    <w:p w14:paraId="7E67ECB8" w14:textId="24264E43" w:rsidR="00EC790E" w:rsidRPr="001164B3" w:rsidRDefault="00F5411E" w:rsidP="006C7DED">
      <w:pPr>
        <w:pStyle w:val="Betarp"/>
        <w:ind w:firstLine="709"/>
        <w:contextualSpacing/>
        <w:rPr>
          <w:rFonts w:eastAsiaTheme="minorHAnsi" w:cstheme="minorHAnsi"/>
          <w:bCs/>
          <w:i/>
          <w:iCs/>
        </w:rPr>
      </w:pPr>
      <w:r w:rsidRPr="001164B3">
        <w:rPr>
          <w:rStyle w:val="cf01"/>
          <w:rFonts w:asciiTheme="minorHAnsi" w:hAnsiTheme="minorHAnsi" w:cstheme="minorHAnsi"/>
          <w:sz w:val="21"/>
          <w:szCs w:val="21"/>
        </w:rPr>
        <w:t>7.</w:t>
      </w:r>
      <w:r w:rsidR="00B870A5" w:rsidRPr="001164B3">
        <w:rPr>
          <w:rStyle w:val="cf01"/>
          <w:rFonts w:asciiTheme="minorHAnsi" w:hAnsiTheme="minorHAnsi" w:cstheme="minorHAnsi"/>
          <w:sz w:val="21"/>
          <w:szCs w:val="21"/>
        </w:rPr>
        <w:t>4</w:t>
      </w:r>
      <w:r w:rsidRPr="001164B3">
        <w:rPr>
          <w:rStyle w:val="cf01"/>
          <w:rFonts w:asciiTheme="minorHAnsi" w:hAnsiTheme="minorHAnsi" w:cstheme="minorHAnsi"/>
          <w:sz w:val="21"/>
          <w:szCs w:val="21"/>
        </w:rPr>
        <w:t xml:space="preserve">. </w:t>
      </w:r>
      <w:r w:rsidR="00FA6531" w:rsidRPr="001164B3">
        <w:rPr>
          <w:rStyle w:val="cf01"/>
          <w:rFonts w:asciiTheme="minorHAnsi" w:hAnsiTheme="minorHAnsi" w:cstheme="minorHAnsi"/>
          <w:sz w:val="21"/>
          <w:szCs w:val="21"/>
        </w:rPr>
        <w:t>CPO</w:t>
      </w:r>
      <w:r w:rsidR="0014359C" w:rsidRPr="001164B3">
        <w:rPr>
          <w:rStyle w:val="cf01"/>
          <w:rFonts w:asciiTheme="minorHAnsi" w:hAnsiTheme="minorHAnsi" w:cstheme="minorHAnsi"/>
          <w:sz w:val="21"/>
          <w:szCs w:val="21"/>
        </w:rPr>
        <w:t xml:space="preserve"> </w:t>
      </w:r>
      <w:r w:rsidRPr="001164B3">
        <w:rPr>
          <w:rStyle w:val="cf01"/>
          <w:rFonts w:asciiTheme="minorHAnsi" w:hAnsiTheme="minorHAnsi" w:cstheme="minorHAnsi"/>
          <w:sz w:val="21"/>
          <w:szCs w:val="21"/>
        </w:rPr>
        <w:t xml:space="preserve">atmes tiekėjo pasiūlymą, jeigu kartu su pasiūlymu nebus pateikti šie </w:t>
      </w:r>
      <w:r w:rsidR="0014359C" w:rsidRPr="001164B3">
        <w:rPr>
          <w:rStyle w:val="cf01"/>
          <w:rFonts w:asciiTheme="minorHAnsi" w:hAnsiTheme="minorHAnsi" w:cstheme="minorHAnsi"/>
          <w:sz w:val="21"/>
          <w:szCs w:val="21"/>
        </w:rPr>
        <w:t>p</w:t>
      </w:r>
      <w:r w:rsidRPr="001164B3">
        <w:rPr>
          <w:rStyle w:val="cf01"/>
          <w:rFonts w:asciiTheme="minorHAnsi" w:hAnsiTheme="minorHAnsi" w:cstheme="minorHAnsi"/>
          <w:sz w:val="21"/>
          <w:szCs w:val="21"/>
        </w:rPr>
        <w:t xml:space="preserve">irkimo sąlygose reikalaujami pateikti dokumentai: </w:t>
      </w:r>
      <w:r w:rsidR="00CC1977" w:rsidRPr="001164B3">
        <w:rPr>
          <w:rFonts w:cstheme="minorHAnsi"/>
        </w:rPr>
        <w:t>užpildytas pirkimo sąlygų 3 priedas „Pasiūlymas“; nei vienas iš pirkimo sąlygų 5.1.4-5.1.5. p. nurodytų dokumentų.</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1164B3">
        <w:t>skaidomas į dalis – su tiekėjais, kurių pasiūlymai bus pripažinti laimėję. Sutarties sąlygos pateikiamos</w:t>
      </w:r>
      <w:r w:rsidR="00F56579" w:rsidRPr="001164B3">
        <w:t xml:space="preserve"> specialiųjų pirkimo sąlygų</w:t>
      </w:r>
      <w:r w:rsidR="00D83C57" w:rsidRPr="001164B3">
        <w:t xml:space="preserve"> </w:t>
      </w:r>
      <w:r w:rsidR="00892829" w:rsidRPr="001164B3">
        <w:rPr>
          <w:rFonts w:cstheme="minorHAnsi"/>
        </w:rPr>
        <w:t>4</w:t>
      </w:r>
      <w:r w:rsidR="00F56579" w:rsidRPr="001164B3">
        <w:rPr>
          <w:rFonts w:cstheme="minorHAnsi"/>
        </w:rPr>
        <w:t xml:space="preserve"> priede</w:t>
      </w:r>
      <w:r w:rsidR="00F56579" w:rsidRPr="00041762">
        <w:rPr>
          <w:rFonts w:cstheme="minorHAnsi"/>
          <w:color w:val="00B050"/>
        </w:rPr>
        <w:t>.</w:t>
      </w:r>
      <w:r w:rsidR="00F56579" w:rsidRPr="004A0305">
        <w:rPr>
          <w:rFonts w:cstheme="minorHAnsi"/>
        </w:rPr>
        <w:t xml:space="preserv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7BB7CD1" w14:textId="77777777" w:rsidR="000D2EA3" w:rsidRDefault="000D2EA3" w:rsidP="000D2EA3">
      <w:pPr>
        <w:pStyle w:val="Sraopastraipa"/>
        <w:spacing w:line="240" w:lineRule="auto"/>
        <w:ind w:left="0" w:firstLine="709"/>
        <w:rPr>
          <w:color w:val="000000" w:themeColor="text1"/>
        </w:rPr>
      </w:pPr>
      <w:r>
        <w:rPr>
          <w:color w:val="000000" w:themeColor="text1"/>
        </w:rPr>
        <w:t xml:space="preserve">9.1. Šio pirkimo </w:t>
      </w:r>
      <w:r w:rsidRPr="001164B3">
        <w:rPr>
          <w:color w:val="000000" w:themeColor="text1"/>
        </w:rPr>
        <w:t>metu nebus deramasi</w:t>
      </w:r>
      <w:r>
        <w:rPr>
          <w:color w:val="000000" w:themeColor="text1"/>
        </w:rPr>
        <w:t xml:space="preserve"> dėl pasiūlymo kainos.</w:t>
      </w:r>
    </w:p>
    <w:p w14:paraId="5EB024F5" w14:textId="77777777" w:rsidR="000D2EA3" w:rsidRDefault="000D2EA3" w:rsidP="000D2EA3">
      <w:pPr>
        <w:pStyle w:val="Sraopastraipa"/>
        <w:spacing w:line="240" w:lineRule="auto"/>
        <w:ind w:left="0" w:firstLine="709"/>
        <w:rPr>
          <w:color w:val="000000" w:themeColor="text1"/>
        </w:rPr>
      </w:pPr>
      <w:r>
        <w:rPr>
          <w:color w:val="000000" w:themeColor="text1"/>
        </w:rPr>
        <w:t xml:space="preserve">9.2. Papildomos sąlygos pirkime netaikomos. </w:t>
      </w:r>
    </w:p>
    <w:p w14:paraId="23F1547C" w14:textId="6E2255E9" w:rsidR="001679BC" w:rsidRDefault="000D2EA3" w:rsidP="00112F92">
      <w:pPr>
        <w:spacing w:line="240" w:lineRule="auto"/>
        <w:ind w:left="7314" w:firstLine="0"/>
        <w:rPr>
          <w:rFonts w:cstheme="minorHAnsi"/>
        </w:rPr>
      </w:pPr>
      <w:r>
        <w:rPr>
          <w:rFonts w:cstheme="minorHAnsi"/>
        </w:rPr>
        <w:t xml:space="preserve"> </w:t>
      </w: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61B8548E" w:rsidR="001679BC" w:rsidRDefault="001679BC" w:rsidP="00112F92">
      <w:pPr>
        <w:spacing w:line="240" w:lineRule="auto"/>
        <w:ind w:left="7314" w:firstLine="0"/>
        <w:rPr>
          <w:rFonts w:cstheme="minorHAnsi"/>
        </w:rPr>
      </w:pPr>
    </w:p>
    <w:p w14:paraId="7790AB1E" w14:textId="04018E72" w:rsidR="00697A06" w:rsidRDefault="00697A06" w:rsidP="00112F92">
      <w:pPr>
        <w:spacing w:line="240" w:lineRule="auto"/>
        <w:ind w:left="7314" w:firstLine="0"/>
        <w:rPr>
          <w:rFonts w:cstheme="minorHAnsi"/>
        </w:rPr>
      </w:pPr>
    </w:p>
    <w:p w14:paraId="4AC2584C" w14:textId="1CC22DE2" w:rsidR="00697A06" w:rsidRDefault="00697A06" w:rsidP="00112F92">
      <w:pPr>
        <w:spacing w:line="240" w:lineRule="auto"/>
        <w:ind w:left="7314" w:firstLine="0"/>
        <w:rPr>
          <w:rFonts w:cstheme="minorHAnsi"/>
        </w:rPr>
      </w:pPr>
    </w:p>
    <w:p w14:paraId="6066FB82" w14:textId="69CBA435" w:rsidR="00697A06" w:rsidRDefault="00697A06" w:rsidP="00112F92">
      <w:pPr>
        <w:spacing w:line="240" w:lineRule="auto"/>
        <w:ind w:left="7314" w:firstLine="0"/>
        <w:rPr>
          <w:rFonts w:cstheme="minorHAnsi"/>
        </w:rPr>
      </w:pPr>
    </w:p>
    <w:p w14:paraId="44677A5E" w14:textId="50CE3E51" w:rsidR="00697A06" w:rsidRDefault="00697A06" w:rsidP="00112F92">
      <w:pPr>
        <w:spacing w:line="240" w:lineRule="auto"/>
        <w:ind w:left="7314" w:firstLine="0"/>
        <w:rPr>
          <w:rFonts w:cstheme="minorHAnsi"/>
        </w:rPr>
      </w:pPr>
    </w:p>
    <w:p w14:paraId="13397EEC" w14:textId="1FC6E0E1" w:rsidR="00697A06" w:rsidRDefault="00697A06" w:rsidP="00112F92">
      <w:pPr>
        <w:spacing w:line="240" w:lineRule="auto"/>
        <w:ind w:left="7314" w:firstLine="0"/>
        <w:rPr>
          <w:rFonts w:cstheme="minorHAnsi"/>
        </w:rPr>
      </w:pPr>
    </w:p>
    <w:p w14:paraId="2BADD39C" w14:textId="469BC02B" w:rsidR="00697A06" w:rsidRDefault="00697A06" w:rsidP="00112F92">
      <w:pPr>
        <w:spacing w:line="240" w:lineRule="auto"/>
        <w:ind w:left="7314" w:firstLine="0"/>
        <w:rPr>
          <w:rFonts w:cstheme="minorHAnsi"/>
        </w:rPr>
      </w:pPr>
    </w:p>
    <w:p w14:paraId="602809CF" w14:textId="7B0D4262" w:rsidR="00697A06" w:rsidRDefault="00697A06" w:rsidP="00112F92">
      <w:pPr>
        <w:spacing w:line="240" w:lineRule="auto"/>
        <w:ind w:left="7314" w:firstLine="0"/>
        <w:rPr>
          <w:rFonts w:cstheme="minorHAnsi"/>
        </w:rPr>
      </w:pPr>
    </w:p>
    <w:p w14:paraId="46B890ED" w14:textId="319CC085" w:rsidR="00697A06" w:rsidRDefault="00697A06" w:rsidP="00112F92">
      <w:pPr>
        <w:spacing w:line="240" w:lineRule="auto"/>
        <w:ind w:left="7314" w:firstLine="0"/>
        <w:rPr>
          <w:rFonts w:cstheme="minorHAnsi"/>
        </w:rPr>
      </w:pPr>
    </w:p>
    <w:p w14:paraId="659281C9" w14:textId="4089E332" w:rsidR="00697A06" w:rsidRDefault="00697A06" w:rsidP="00112F92">
      <w:pPr>
        <w:spacing w:line="240" w:lineRule="auto"/>
        <w:ind w:left="7314" w:firstLine="0"/>
        <w:rPr>
          <w:rFonts w:cstheme="minorHAnsi"/>
        </w:rPr>
      </w:pPr>
    </w:p>
    <w:p w14:paraId="04DDD394" w14:textId="4D0A8325" w:rsidR="00697A06" w:rsidRDefault="00697A06" w:rsidP="00112F92">
      <w:pPr>
        <w:spacing w:line="240" w:lineRule="auto"/>
        <w:ind w:left="7314" w:firstLine="0"/>
        <w:rPr>
          <w:rFonts w:cstheme="minorHAnsi"/>
        </w:rPr>
      </w:pPr>
    </w:p>
    <w:p w14:paraId="27560CFE" w14:textId="2B3D2AFD" w:rsidR="00697A06" w:rsidRDefault="00697A06" w:rsidP="00112F92">
      <w:pPr>
        <w:spacing w:line="240" w:lineRule="auto"/>
        <w:ind w:left="7314" w:firstLine="0"/>
        <w:rPr>
          <w:rFonts w:cstheme="minorHAnsi"/>
        </w:rPr>
      </w:pPr>
    </w:p>
    <w:p w14:paraId="64A70705" w14:textId="76C54638" w:rsidR="00697A06" w:rsidRDefault="00697A06" w:rsidP="00112F92">
      <w:pPr>
        <w:spacing w:line="240" w:lineRule="auto"/>
        <w:ind w:left="7314" w:firstLine="0"/>
        <w:rPr>
          <w:rFonts w:cstheme="minorHAnsi"/>
        </w:rPr>
      </w:pPr>
    </w:p>
    <w:p w14:paraId="0923D8C5" w14:textId="3F3FABF3" w:rsidR="00697A06" w:rsidRDefault="00697A06" w:rsidP="00112F92">
      <w:pPr>
        <w:spacing w:line="240" w:lineRule="auto"/>
        <w:ind w:left="7314" w:firstLine="0"/>
        <w:rPr>
          <w:rFonts w:cstheme="minorHAnsi"/>
        </w:rPr>
      </w:pPr>
    </w:p>
    <w:p w14:paraId="08B44D77" w14:textId="080C8CF3" w:rsidR="00697A06" w:rsidRDefault="00697A06" w:rsidP="00112F92">
      <w:pPr>
        <w:spacing w:line="240" w:lineRule="auto"/>
        <w:ind w:left="7314" w:firstLine="0"/>
        <w:rPr>
          <w:rFonts w:cstheme="minorHAnsi"/>
        </w:rPr>
      </w:pPr>
    </w:p>
    <w:p w14:paraId="6487FB06" w14:textId="4FB61096" w:rsidR="00697A06" w:rsidRDefault="00697A06" w:rsidP="00112F92">
      <w:pPr>
        <w:spacing w:line="240" w:lineRule="auto"/>
        <w:ind w:left="7314" w:firstLine="0"/>
        <w:rPr>
          <w:rFonts w:cstheme="minorHAnsi"/>
        </w:rPr>
      </w:pPr>
    </w:p>
    <w:p w14:paraId="16A72A8E" w14:textId="261837D2" w:rsidR="00697A06" w:rsidRDefault="00697A06" w:rsidP="00112F92">
      <w:pPr>
        <w:spacing w:line="240" w:lineRule="auto"/>
        <w:ind w:left="7314" w:firstLine="0"/>
        <w:rPr>
          <w:rFonts w:cstheme="minorHAnsi"/>
        </w:rPr>
      </w:pPr>
    </w:p>
    <w:p w14:paraId="0A22298A" w14:textId="5BA05A17" w:rsidR="00697A06" w:rsidRDefault="00697A06" w:rsidP="00112F92">
      <w:pPr>
        <w:spacing w:line="240" w:lineRule="auto"/>
        <w:ind w:left="7314" w:firstLine="0"/>
        <w:rPr>
          <w:rFonts w:cstheme="minorHAnsi"/>
        </w:rPr>
      </w:pPr>
    </w:p>
    <w:p w14:paraId="31ACFEB8" w14:textId="54B4B4EE" w:rsidR="00697A06" w:rsidRDefault="00697A06" w:rsidP="00112F92">
      <w:pPr>
        <w:spacing w:line="240" w:lineRule="auto"/>
        <w:ind w:left="7314" w:firstLine="0"/>
        <w:rPr>
          <w:rFonts w:cstheme="minorHAnsi"/>
        </w:rPr>
      </w:pPr>
    </w:p>
    <w:p w14:paraId="338DF15E" w14:textId="677173FE" w:rsidR="00697A06" w:rsidRDefault="00697A06" w:rsidP="00112F92">
      <w:pPr>
        <w:spacing w:line="240" w:lineRule="auto"/>
        <w:ind w:left="7314" w:firstLine="0"/>
        <w:rPr>
          <w:rFonts w:cstheme="minorHAnsi"/>
        </w:rPr>
      </w:pPr>
    </w:p>
    <w:p w14:paraId="067BD71B" w14:textId="57F7D5A3" w:rsidR="00697A06" w:rsidRDefault="00697A06" w:rsidP="00112F92">
      <w:pPr>
        <w:spacing w:line="240" w:lineRule="auto"/>
        <w:ind w:left="7314" w:firstLine="0"/>
        <w:rPr>
          <w:rFonts w:cstheme="minorHAnsi"/>
        </w:rPr>
      </w:pPr>
    </w:p>
    <w:p w14:paraId="59CBBC35" w14:textId="78002FF7" w:rsidR="00697A06" w:rsidRDefault="00697A06" w:rsidP="00112F92">
      <w:pPr>
        <w:spacing w:line="240" w:lineRule="auto"/>
        <w:ind w:left="7314" w:firstLine="0"/>
        <w:rPr>
          <w:rFonts w:cstheme="minorHAnsi"/>
        </w:rPr>
      </w:pPr>
    </w:p>
    <w:p w14:paraId="3A3D1A75" w14:textId="552CBA91" w:rsidR="00697A06" w:rsidRDefault="00697A06" w:rsidP="00112F92">
      <w:pPr>
        <w:spacing w:line="240" w:lineRule="auto"/>
        <w:ind w:left="7314" w:firstLine="0"/>
        <w:rPr>
          <w:rFonts w:cstheme="minorHAnsi"/>
        </w:rPr>
      </w:pPr>
    </w:p>
    <w:p w14:paraId="2FFE3221" w14:textId="45D5F394" w:rsidR="00697A06" w:rsidRDefault="00697A06" w:rsidP="00112F92">
      <w:pPr>
        <w:spacing w:line="240" w:lineRule="auto"/>
        <w:ind w:left="7314" w:firstLine="0"/>
        <w:rPr>
          <w:rFonts w:cstheme="minorHAnsi"/>
        </w:rPr>
      </w:pPr>
    </w:p>
    <w:p w14:paraId="3BEE5B91" w14:textId="423BAB9B" w:rsidR="00697A06" w:rsidRDefault="00697A06" w:rsidP="00112F92">
      <w:pPr>
        <w:spacing w:line="240" w:lineRule="auto"/>
        <w:ind w:left="7314" w:firstLine="0"/>
        <w:rPr>
          <w:rFonts w:cstheme="minorHAnsi"/>
        </w:rPr>
      </w:pPr>
    </w:p>
    <w:p w14:paraId="063342A9" w14:textId="77910FB4" w:rsidR="00697A06" w:rsidRDefault="00697A06" w:rsidP="00112F92">
      <w:pPr>
        <w:spacing w:line="240" w:lineRule="auto"/>
        <w:ind w:left="7314" w:firstLine="0"/>
        <w:rPr>
          <w:rFonts w:cstheme="minorHAnsi"/>
        </w:rPr>
      </w:pPr>
    </w:p>
    <w:p w14:paraId="13146315" w14:textId="1029C551" w:rsidR="00697A06" w:rsidRDefault="00697A06" w:rsidP="00112F92">
      <w:pPr>
        <w:spacing w:line="240" w:lineRule="auto"/>
        <w:ind w:left="7314" w:firstLine="0"/>
        <w:rPr>
          <w:rFonts w:cstheme="minorHAnsi"/>
        </w:rPr>
      </w:pPr>
    </w:p>
    <w:p w14:paraId="1CB9CF7A" w14:textId="1F5934A5" w:rsidR="00697A06" w:rsidRDefault="00697A06" w:rsidP="00112F92">
      <w:pPr>
        <w:spacing w:line="240" w:lineRule="auto"/>
        <w:ind w:left="7314" w:firstLine="0"/>
        <w:rPr>
          <w:rFonts w:cstheme="minorHAnsi"/>
        </w:rPr>
      </w:pPr>
    </w:p>
    <w:p w14:paraId="3C454FB2" w14:textId="12ADB7AB" w:rsidR="00697A06" w:rsidRDefault="00697A06" w:rsidP="00112F92">
      <w:pPr>
        <w:spacing w:line="240" w:lineRule="auto"/>
        <w:ind w:left="7314" w:firstLine="0"/>
        <w:rPr>
          <w:rFonts w:cstheme="minorHAnsi"/>
        </w:rPr>
      </w:pPr>
    </w:p>
    <w:p w14:paraId="2D6BE84C" w14:textId="1FBB88E6" w:rsidR="004451F3" w:rsidRDefault="004451F3" w:rsidP="00112F92">
      <w:pPr>
        <w:spacing w:line="240" w:lineRule="auto"/>
        <w:ind w:left="7314" w:firstLine="0"/>
        <w:rPr>
          <w:rFonts w:cstheme="minorHAnsi"/>
        </w:rPr>
      </w:pPr>
    </w:p>
    <w:p w14:paraId="787F987F" w14:textId="520A4223" w:rsidR="004451F3" w:rsidRDefault="004451F3" w:rsidP="00112F92">
      <w:pPr>
        <w:spacing w:line="240" w:lineRule="auto"/>
        <w:ind w:left="7314" w:firstLine="0"/>
        <w:rPr>
          <w:rFonts w:cstheme="minorHAnsi"/>
        </w:rPr>
      </w:pPr>
    </w:p>
    <w:p w14:paraId="6E98183F" w14:textId="77777777" w:rsidR="004451F3" w:rsidRDefault="004451F3"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4B5DD4DE" w:rsidR="00CF4B8C" w:rsidRPr="00CB237B" w:rsidRDefault="00272A60" w:rsidP="00F77A5D">
      <w:pPr>
        <w:spacing w:line="240" w:lineRule="auto"/>
        <w:ind w:firstLine="720"/>
        <w:rPr>
          <w:rFonts w:eastAsia="Arial" w:cstheme="minorHAnsi"/>
          <w:i/>
        </w:rPr>
      </w:pPr>
      <w:r w:rsidRPr="00272A60">
        <w:rPr>
          <w:rFonts w:cstheme="minorHAnsi"/>
          <w:i/>
          <w:iCs/>
          <w:color w:val="000000" w:themeColor="text1"/>
        </w:rPr>
        <w:t>CPO ir (ar) perkančioji organizacija</w:t>
      </w:r>
      <w:r w:rsidRPr="00272A60">
        <w:rPr>
          <w:rFonts w:cstheme="minorHAnsi"/>
          <w:color w:val="000000" w:themeColor="text1"/>
        </w:rPr>
        <w:t xml:space="preserve"> </w:t>
      </w:r>
      <w:r w:rsidR="00440E78" w:rsidRPr="00CB237B">
        <w:rPr>
          <w:rFonts w:eastAsia="Arial" w:cstheme="minorHAnsi"/>
          <w:i/>
        </w:rPr>
        <w:t>atmeta tiekėjo pasiūlym</w:t>
      </w:r>
      <w:r w:rsidR="00CB237B">
        <w:rPr>
          <w:rFonts w:eastAsia="Arial" w:cstheme="minorHAnsi"/>
          <w:i/>
        </w:rPr>
        <w:t>ą</w:t>
      </w:r>
      <w:r w:rsidR="00440E78"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Pr="004D6E8F" w:rsidRDefault="00586C8C" w:rsidP="00041762">
      <w:pPr>
        <w:spacing w:line="200" w:lineRule="auto"/>
        <w:ind w:firstLine="0"/>
        <w:jc w:val="right"/>
        <w:rPr>
          <w:rFonts w:eastAsia="Arial" w:cstheme="minorHAnsi"/>
        </w:rPr>
      </w:pPr>
      <w:r w:rsidRPr="004D6E8F">
        <w:rPr>
          <w:rFonts w:eastAsia="Arial" w:cstheme="minorHAnsi"/>
        </w:rPr>
        <w:lastRenderedPageBreak/>
        <w:t xml:space="preserve">Pirkimo sąlygų </w:t>
      </w:r>
      <w:r w:rsidR="005F30AD" w:rsidRPr="004D6E8F">
        <w:rPr>
          <w:rFonts w:eastAsia="Arial" w:cstheme="minorHAnsi"/>
        </w:rPr>
        <w:t>5</w:t>
      </w:r>
      <w:r w:rsidRPr="004D6E8F">
        <w:rPr>
          <w:rFonts w:eastAsia="Arial" w:cstheme="minorHAnsi"/>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38B7C715" w:rsidR="00586C8C" w:rsidRPr="004F1A11" w:rsidRDefault="005320B9" w:rsidP="00637FDF">
            <w:pPr>
              <w:ind w:firstLine="0"/>
              <w:rPr>
                <w:rFonts w:asciiTheme="minorHAnsi" w:hAnsiTheme="minorHAnsi" w:cstheme="minorHAnsi"/>
                <w:sz w:val="21"/>
                <w:szCs w:val="21"/>
              </w:rPr>
            </w:pPr>
            <w:r w:rsidRPr="005320B9">
              <w:rPr>
                <w:rFonts w:asciiTheme="minorHAnsi" w:hAnsiTheme="minorHAnsi" w:cstheme="minorHAnsi"/>
                <w:sz w:val="21"/>
                <w:szCs w:val="21"/>
              </w:rPr>
              <w:t xml:space="preserve">CPO </w:t>
            </w:r>
            <w:r w:rsidR="00586C8C" w:rsidRPr="004F1A11">
              <w:rPr>
                <w:rFonts w:asciiTheme="minorHAnsi" w:hAnsiTheme="minorHAnsi" w:cstheme="minorHAnsi"/>
                <w:sz w:val="21"/>
                <w:szCs w:val="21"/>
              </w:rPr>
              <w:t>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1D71FB06" w:rsidR="00586C8C" w:rsidRPr="004F1A11" w:rsidRDefault="005320B9" w:rsidP="00637FDF">
            <w:pPr>
              <w:ind w:firstLine="0"/>
              <w:rPr>
                <w:rFonts w:asciiTheme="minorHAnsi" w:hAnsiTheme="minorHAnsi" w:cstheme="minorHAnsi"/>
                <w:sz w:val="21"/>
                <w:szCs w:val="21"/>
              </w:rPr>
            </w:pPr>
            <w:r w:rsidRPr="005320B9">
              <w:rPr>
                <w:rFonts w:asciiTheme="minorHAnsi" w:hAnsiTheme="minorHAnsi" w:cstheme="minorHAnsi"/>
                <w:sz w:val="21"/>
                <w:szCs w:val="21"/>
              </w:rPr>
              <w:t xml:space="preserve">CPO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DA8C772" w:rsidR="00586C8C" w:rsidRPr="004F1A11" w:rsidRDefault="005320B9" w:rsidP="00637FDF">
            <w:pPr>
              <w:ind w:firstLine="0"/>
              <w:rPr>
                <w:rFonts w:asciiTheme="minorHAnsi" w:hAnsiTheme="minorHAnsi" w:cstheme="minorHAnsi"/>
                <w:sz w:val="21"/>
                <w:szCs w:val="21"/>
              </w:rPr>
            </w:pPr>
            <w:r w:rsidRPr="005320B9">
              <w:rPr>
                <w:rFonts w:asciiTheme="minorHAnsi" w:eastAsia="Arial" w:hAnsiTheme="minorHAnsi" w:cstheme="minorHAnsi"/>
                <w:sz w:val="21"/>
                <w:szCs w:val="21"/>
              </w:rPr>
              <w:t>C</w:t>
            </w:r>
            <w:r w:rsidRPr="005320B9">
              <w:rPr>
                <w:rFonts w:asciiTheme="minorHAnsi" w:eastAsia="Arial" w:hAnsiTheme="minorHAnsi" w:cstheme="minorHAnsi"/>
              </w:rPr>
              <w:t>PO</w:t>
            </w:r>
            <w:r w:rsidR="00586C8C" w:rsidRPr="005320B9">
              <w:rPr>
                <w:rFonts w:asciiTheme="minorHAnsi" w:hAnsiTheme="minorHAnsi" w:cstheme="minorHAnsi"/>
                <w:sz w:val="21"/>
                <w:szCs w:val="21"/>
              </w:rPr>
              <w:t xml:space="preserve"> atsako</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642DA8E3" w:rsidR="00586C8C" w:rsidRPr="004F1A11" w:rsidRDefault="005320B9"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A9C1208" w:rsidR="00586C8C" w:rsidRPr="004F1A11" w:rsidRDefault="005320B9"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32573236"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5320B9">
              <w:rPr>
                <w:rFonts w:asciiTheme="minorHAnsi" w:eastAsia="Arial"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408758CF"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5320B9">
              <w:rPr>
                <w:rFonts w:asciiTheme="minorHAnsi" w:eastAsia="Arial"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5320B9">
              <w:rPr>
                <w:rFonts w:asciiTheme="minorHAnsi" w:eastAsia="Arial" w:hAnsiTheme="minorHAnsi" w:cstheme="minorHAnsi"/>
                <w:sz w:val="21"/>
                <w:szCs w:val="21"/>
              </w:rPr>
              <w:t xml:space="preserve">CPO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5320B9">
              <w:rPr>
                <w:rFonts w:asciiTheme="minorHAnsi" w:eastAsia="Arial"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10688D3F" w14:textId="77777777" w:rsidR="00112F92" w:rsidRDefault="00112F92" w:rsidP="00032BAD">
      <w:pPr>
        <w:ind w:firstLine="0"/>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2C7E9D26" w14:textId="77777777" w:rsidR="0003519B" w:rsidRDefault="0003519B" w:rsidP="00A040B5"/>
    <w:p w14:paraId="4B815F12" w14:textId="77777777" w:rsidR="00A040B5" w:rsidRPr="00A040B5" w:rsidRDefault="00A040B5" w:rsidP="00032BAD">
      <w:pPr>
        <w:ind w:firstLine="0"/>
      </w:pPr>
    </w:p>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Start w:id="34" w:name="_Toc147739116"/>
      <w:bookmarkEnd w:id="25"/>
      <w:bookmarkEnd w:id="26"/>
    </w:p>
    <w:p w14:paraId="1E7DCE7E" w14:textId="77777777" w:rsidR="00E078A0" w:rsidRDefault="00E078A0" w:rsidP="00041762">
      <w:pPr>
        <w:spacing w:line="240" w:lineRule="auto"/>
        <w:ind w:firstLine="0"/>
        <w:rPr>
          <w:rFonts w:ascii="Arial" w:hAnsi="Arial" w:cs="Arial"/>
        </w:rPr>
      </w:pPr>
      <w:bookmarkStart w:id="35" w:name="_Pirkimo_sąlygų_2"/>
      <w:bookmarkStart w:id="36" w:name="_Pirkimo_sąlygų_3"/>
      <w:bookmarkEnd w:id="27"/>
      <w:bookmarkEnd w:id="28"/>
      <w:bookmarkEnd w:id="29"/>
      <w:bookmarkEnd w:id="30"/>
      <w:bookmarkEnd w:id="31"/>
      <w:bookmarkEnd w:id="32"/>
      <w:bookmarkEnd w:id="33"/>
      <w:bookmarkEnd w:id="35"/>
      <w:bookmarkEnd w:id="36"/>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4BC76435" w14:textId="77777777" w:rsidR="004451F3" w:rsidRDefault="004451F3" w:rsidP="007D6542">
      <w:pPr>
        <w:spacing w:line="240" w:lineRule="auto"/>
        <w:ind w:left="7314" w:firstLine="0"/>
        <w:rPr>
          <w:rFonts w:cstheme="minorHAnsi"/>
        </w:rPr>
      </w:pPr>
    </w:p>
    <w:p w14:paraId="56FF5A74" w14:textId="77777777" w:rsidR="004451F3" w:rsidRDefault="004451F3" w:rsidP="007D6542">
      <w:pPr>
        <w:spacing w:line="240" w:lineRule="auto"/>
        <w:ind w:left="7314" w:firstLine="0"/>
        <w:rPr>
          <w:rFonts w:cstheme="minorHAnsi"/>
        </w:rPr>
      </w:pPr>
    </w:p>
    <w:p w14:paraId="6AF0F296" w14:textId="77777777" w:rsidR="004451F3" w:rsidRDefault="004451F3" w:rsidP="007D6542">
      <w:pPr>
        <w:spacing w:line="240" w:lineRule="auto"/>
        <w:ind w:left="7314" w:firstLine="0"/>
        <w:rPr>
          <w:rFonts w:cstheme="minorHAnsi"/>
        </w:rPr>
      </w:pPr>
    </w:p>
    <w:p w14:paraId="2271F8D3" w14:textId="77777777" w:rsidR="004451F3" w:rsidRDefault="004451F3" w:rsidP="007D6542">
      <w:pPr>
        <w:spacing w:line="240" w:lineRule="auto"/>
        <w:ind w:left="7314" w:firstLine="0"/>
        <w:rPr>
          <w:rFonts w:cstheme="minorHAnsi"/>
        </w:rPr>
      </w:pPr>
    </w:p>
    <w:p w14:paraId="4974BCEC" w14:textId="77777777" w:rsidR="004451F3" w:rsidRDefault="004451F3" w:rsidP="007D6542">
      <w:pPr>
        <w:spacing w:line="240" w:lineRule="auto"/>
        <w:ind w:left="7314" w:firstLine="0"/>
        <w:rPr>
          <w:rFonts w:cstheme="minorHAnsi"/>
        </w:rPr>
      </w:pPr>
    </w:p>
    <w:p w14:paraId="4421C61E" w14:textId="77777777" w:rsidR="004451F3" w:rsidRDefault="004451F3" w:rsidP="007D6542">
      <w:pPr>
        <w:spacing w:line="240" w:lineRule="auto"/>
        <w:ind w:left="7314" w:firstLine="0"/>
        <w:rPr>
          <w:rFonts w:cstheme="minorHAnsi"/>
        </w:rPr>
      </w:pPr>
    </w:p>
    <w:p w14:paraId="5707BE58" w14:textId="1E808958"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7705BB">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bookmarkEnd w:id="34"/>
    <w:p w14:paraId="626B0508" w14:textId="443288D6" w:rsidR="00032BAD" w:rsidRPr="00032BAD" w:rsidRDefault="00697A06" w:rsidP="00032BAD">
      <w:pPr>
        <w:pStyle w:val="Standard"/>
        <w:ind w:right="-1" w:firstLine="851"/>
        <w:contextualSpacing/>
        <w:jc w:val="both"/>
        <w:rPr>
          <w:rFonts w:asciiTheme="minorHAnsi" w:hAnsiTheme="minorHAnsi" w:cstheme="minorHAnsi"/>
          <w:sz w:val="21"/>
          <w:szCs w:val="21"/>
        </w:rPr>
      </w:pPr>
      <w:r>
        <w:rPr>
          <w:rFonts w:asciiTheme="minorHAnsi" w:hAnsiTheme="minorHAnsi" w:cstheme="minorHAnsi"/>
          <w:sz w:val="21"/>
          <w:szCs w:val="21"/>
          <w:lang w:val="lt-LT"/>
        </w:rPr>
        <w:t>N</w:t>
      </w:r>
      <w:r w:rsidR="00032BAD" w:rsidRPr="00032BAD">
        <w:rPr>
          <w:rFonts w:asciiTheme="minorHAnsi" w:hAnsiTheme="minorHAnsi" w:cstheme="minorHAnsi"/>
          <w:sz w:val="21"/>
          <w:szCs w:val="21"/>
          <w:lang w:val="lt-LT"/>
        </w:rPr>
        <w:t>eatmesti pasiūlymai vertinami ir tarpusavyje palyginami pagal ekonomiškai naudingiausio pasiūlymo kriterijų, t. y. pagal kainos ir kokybės santykį.</w:t>
      </w:r>
    </w:p>
    <w:p w14:paraId="3EACDD4C" w14:textId="77777777" w:rsidR="00032BAD" w:rsidRPr="00032BAD" w:rsidRDefault="00032BAD" w:rsidP="00032BAD">
      <w:pPr>
        <w:pStyle w:val="Standard"/>
        <w:ind w:right="-1" w:firstLine="851"/>
        <w:contextualSpacing/>
        <w:jc w:val="both"/>
        <w:rPr>
          <w:rFonts w:asciiTheme="minorHAnsi" w:hAnsiTheme="minorHAnsi" w:cstheme="minorHAnsi"/>
          <w:sz w:val="21"/>
          <w:szCs w:val="21"/>
        </w:rPr>
      </w:pPr>
      <w:r w:rsidRPr="00032BAD">
        <w:rPr>
          <w:rFonts w:asciiTheme="minorHAnsi" w:hAnsiTheme="minorHAnsi" w:cstheme="minorHAnsi"/>
          <w:sz w:val="21"/>
          <w:szCs w:val="21"/>
          <w:lang w:val="lt-LT"/>
        </w:rPr>
        <w:t>Laimėjusiu bus pripažintas pasiūlymas, kuris gaus daugiausia ekonominio naudingumo balų pagal toliau nustatytus pasiūlymų vertinimo kriterijus ir sąlygas.</w:t>
      </w:r>
    </w:p>
    <w:p w14:paraId="08B27AD7" w14:textId="77777777" w:rsidR="00032BAD" w:rsidRPr="00032BAD" w:rsidRDefault="00032BAD" w:rsidP="00032BAD">
      <w:pPr>
        <w:pStyle w:val="Standard"/>
        <w:shd w:val="clear" w:color="auto" w:fill="FFFFFF"/>
        <w:ind w:firstLine="851"/>
        <w:contextualSpacing/>
        <w:jc w:val="both"/>
        <w:rPr>
          <w:rFonts w:asciiTheme="minorHAnsi" w:hAnsiTheme="minorHAnsi" w:cstheme="minorHAnsi"/>
          <w:sz w:val="21"/>
          <w:szCs w:val="21"/>
        </w:rPr>
      </w:pPr>
      <w:r w:rsidRPr="00032BAD">
        <w:rPr>
          <w:rFonts w:asciiTheme="minorHAnsi" w:hAnsiTheme="minorHAnsi" w:cstheme="minorHAnsi"/>
          <w:sz w:val="21"/>
          <w:szCs w:val="21"/>
          <w:lang w:val="lt-LT"/>
        </w:rPr>
        <w:t>Numatytų vertinimo kriterijų lyginamieji svoriai:</w:t>
      </w:r>
    </w:p>
    <w:p w14:paraId="421F2F7F" w14:textId="77777777" w:rsidR="00032BAD" w:rsidRPr="00032BAD" w:rsidRDefault="00032BAD" w:rsidP="00032BAD">
      <w:pPr>
        <w:pStyle w:val="Standard"/>
        <w:shd w:val="clear" w:color="auto" w:fill="FFFFFF"/>
        <w:ind w:firstLine="851"/>
        <w:contextualSpacing/>
        <w:jc w:val="both"/>
        <w:rPr>
          <w:rFonts w:asciiTheme="minorHAnsi" w:hAnsiTheme="minorHAnsi" w:cstheme="minorHAnsi"/>
          <w:sz w:val="21"/>
          <w:szCs w:val="21"/>
        </w:rPr>
      </w:pPr>
      <w:r w:rsidRPr="00032BAD">
        <w:rPr>
          <w:rFonts w:asciiTheme="minorHAnsi" w:hAnsiTheme="minorHAnsi" w:cstheme="minorHAnsi"/>
          <w:color w:val="000000"/>
          <w:sz w:val="21"/>
          <w:szCs w:val="21"/>
          <w:lang w:val="lt-LT"/>
        </w:rPr>
        <w:t>1) kaina (K)</w:t>
      </w:r>
    </w:p>
    <w:p w14:paraId="7E793606" w14:textId="77777777" w:rsidR="00697A06" w:rsidRDefault="00032BAD" w:rsidP="00697A06">
      <w:pPr>
        <w:pStyle w:val="Standard"/>
        <w:shd w:val="clear" w:color="auto" w:fill="FFFFFF"/>
        <w:ind w:firstLine="851"/>
        <w:contextualSpacing/>
        <w:jc w:val="both"/>
        <w:rPr>
          <w:rFonts w:asciiTheme="minorHAnsi" w:hAnsiTheme="minorHAnsi" w:cstheme="minorHAnsi"/>
          <w:sz w:val="21"/>
          <w:szCs w:val="21"/>
        </w:rPr>
      </w:pPr>
      <w:r w:rsidRPr="00032BAD">
        <w:rPr>
          <w:rFonts w:asciiTheme="minorHAnsi" w:hAnsiTheme="minorHAnsi" w:cstheme="minorHAnsi"/>
          <w:color w:val="000000"/>
          <w:sz w:val="21"/>
          <w:szCs w:val="21"/>
          <w:lang w:val="lt-LT"/>
        </w:rPr>
        <w:t>2) Techniniai pranašumai (T)</w:t>
      </w:r>
    </w:p>
    <w:p w14:paraId="49D756F4" w14:textId="77777777" w:rsidR="00697A06" w:rsidRPr="00697A06" w:rsidRDefault="00697A06" w:rsidP="00697A06">
      <w:pPr>
        <w:pStyle w:val="Standard"/>
        <w:shd w:val="clear" w:color="auto" w:fill="FFFFFF"/>
        <w:ind w:firstLine="851"/>
        <w:contextualSpacing/>
        <w:jc w:val="both"/>
        <w:rPr>
          <w:rFonts w:asciiTheme="minorHAnsi" w:hAnsiTheme="minorHAnsi" w:cstheme="minorHAnsi"/>
          <w:color w:val="000000"/>
          <w:sz w:val="21"/>
          <w:szCs w:val="21"/>
          <w:lang w:val="lt-LT"/>
        </w:rPr>
      </w:pPr>
    </w:p>
    <w:p w14:paraId="11DCE638" w14:textId="6278A824" w:rsidR="00697A06" w:rsidRPr="00697A06" w:rsidRDefault="00032BAD" w:rsidP="00697A06">
      <w:pPr>
        <w:pStyle w:val="Standard"/>
        <w:shd w:val="clear" w:color="auto" w:fill="FFFFFF"/>
        <w:ind w:firstLine="851"/>
        <w:contextualSpacing/>
        <w:jc w:val="both"/>
        <w:rPr>
          <w:rFonts w:asciiTheme="minorHAnsi" w:hAnsiTheme="minorHAnsi" w:cstheme="minorHAnsi"/>
          <w:color w:val="000000"/>
          <w:sz w:val="21"/>
          <w:szCs w:val="21"/>
          <w:lang w:val="lt-LT"/>
        </w:rPr>
      </w:pPr>
      <w:r w:rsidRPr="00697A06">
        <w:rPr>
          <w:rFonts w:asciiTheme="minorHAnsi" w:hAnsiTheme="minorHAnsi" w:cstheme="minorHAnsi"/>
          <w:color w:val="000000"/>
          <w:sz w:val="21"/>
          <w:szCs w:val="21"/>
          <w:lang w:val="lt-LT"/>
        </w:rPr>
        <w:t>Vertinimo kriterijai ir jų parametrų lyginamieji svoriai:</w:t>
      </w:r>
    </w:p>
    <w:p w14:paraId="5AA9F164" w14:textId="0B1A7A92" w:rsidR="00032BAD" w:rsidRPr="00032BAD" w:rsidRDefault="00032BAD" w:rsidP="00697A06">
      <w:pPr>
        <w:pStyle w:val="Standard"/>
        <w:shd w:val="clear" w:color="auto" w:fill="FFFFFF"/>
        <w:ind w:firstLine="851"/>
        <w:contextualSpacing/>
        <w:jc w:val="both"/>
        <w:rPr>
          <w:rFonts w:asciiTheme="minorHAnsi" w:hAnsiTheme="minorHAnsi" w:cstheme="minorHAnsi"/>
          <w:sz w:val="21"/>
          <w:szCs w:val="21"/>
        </w:rPr>
      </w:pPr>
      <w:r w:rsidRPr="00032BAD">
        <w:rPr>
          <w:rFonts w:asciiTheme="minorHAnsi" w:hAnsiTheme="minorHAnsi" w:cstheme="minorHAnsi"/>
          <w:b/>
          <w:bCs/>
          <w:sz w:val="21"/>
          <w:szCs w:val="21"/>
          <w:lang w:val="lt-LT"/>
        </w:rPr>
        <w:tab/>
      </w:r>
    </w:p>
    <w:tbl>
      <w:tblPr>
        <w:tblW w:w="5058" w:type="pct"/>
        <w:tblInd w:w="-5" w:type="dxa"/>
        <w:tblLayout w:type="fixed"/>
        <w:tblCellMar>
          <w:left w:w="10" w:type="dxa"/>
          <w:right w:w="10" w:type="dxa"/>
        </w:tblCellMar>
        <w:tblLook w:val="0000" w:firstRow="0" w:lastRow="0" w:firstColumn="0" w:lastColumn="0" w:noHBand="0" w:noVBand="0"/>
      </w:tblPr>
      <w:tblGrid>
        <w:gridCol w:w="1313"/>
        <w:gridCol w:w="4641"/>
        <w:gridCol w:w="1701"/>
        <w:gridCol w:w="1276"/>
        <w:gridCol w:w="1984"/>
      </w:tblGrid>
      <w:tr w:rsidR="00032BAD" w:rsidRPr="00032BAD" w14:paraId="727E3815" w14:textId="77777777" w:rsidTr="00697A06">
        <w:trPr>
          <w:trHeight w:val="846"/>
        </w:trPr>
        <w:tc>
          <w:tcPr>
            <w:tcW w:w="76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9E5EF9"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Vertinimo kriterijai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AE418A"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Parametro lyginamasis svoris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14FEC2"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Lyginamasis svoris ekonominio naudingumo įvertinime</w:t>
            </w:r>
          </w:p>
        </w:tc>
      </w:tr>
      <w:tr w:rsidR="00032BAD" w:rsidRPr="00032BAD" w14:paraId="6CAD7EBD" w14:textId="77777777" w:rsidTr="00697A06">
        <w:tc>
          <w:tcPr>
            <w:tcW w:w="89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3A7523"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Kaina (K)</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ACB521"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X=50</w:t>
            </w:r>
          </w:p>
        </w:tc>
      </w:tr>
      <w:tr w:rsidR="00032BAD" w:rsidRPr="00032BAD" w14:paraId="224D755D" w14:textId="77777777" w:rsidTr="00697A06">
        <w:tc>
          <w:tcPr>
            <w:tcW w:w="89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E40B00"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Techniniai pranašumai (T)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86E009"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Y=50</w:t>
            </w:r>
          </w:p>
        </w:tc>
      </w:tr>
      <w:tr w:rsidR="00032BAD" w:rsidRPr="00032BAD" w14:paraId="69A7F411" w14:textId="77777777" w:rsidTr="00697A06">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3E30"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Nr.</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8344"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Parametrai</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A9AA7"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
                <w:sz w:val="21"/>
                <w:szCs w:val="21"/>
                <w:lang w:val="lt-LT"/>
              </w:rPr>
              <w:t>Vertinimo būdas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AF11" w14:textId="77777777" w:rsidR="00032BAD" w:rsidRPr="00032BAD" w:rsidRDefault="00032BAD" w:rsidP="00A630EF">
            <w:pPr>
              <w:pStyle w:val="Standard"/>
              <w:rPr>
                <w:rFonts w:asciiTheme="minorHAnsi" w:hAnsiTheme="minorHAnsi" w:cstheme="minorHAnsi"/>
                <w:b/>
                <w:sz w:val="21"/>
                <w:szCs w:val="21"/>
                <w:lang w:val="lt-LT"/>
              </w:rPr>
            </w:pPr>
          </w:p>
        </w:tc>
      </w:tr>
      <w:tr w:rsidR="00032BAD" w:rsidRPr="00032BAD" w14:paraId="2D26192E" w14:textId="77777777" w:rsidTr="00697A06">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B28A8"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T1</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3B83B"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bCs/>
                <w:sz w:val="21"/>
                <w:szCs w:val="21"/>
                <w:lang w:val="lt-LT"/>
              </w:rPr>
              <w:t>Galimybė su prietaisu atlikti šalčio terapija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F8B5F"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Statinis:</w:t>
            </w:r>
          </w:p>
          <w:p w14:paraId="44B2907B"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(yra/nėra)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D97C7"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L</w:t>
            </w:r>
            <w:r w:rsidRPr="00032BAD">
              <w:rPr>
                <w:rFonts w:asciiTheme="minorHAnsi" w:hAnsiTheme="minorHAnsi" w:cstheme="minorHAnsi"/>
                <w:sz w:val="21"/>
                <w:szCs w:val="21"/>
                <w:vertAlign w:val="subscript"/>
                <w:lang w:val="lt-LT"/>
              </w:rPr>
              <w:t>1</w:t>
            </w:r>
            <w:r w:rsidRPr="00032BAD">
              <w:rPr>
                <w:rFonts w:asciiTheme="minorHAnsi" w:hAnsiTheme="minorHAnsi" w:cstheme="minorHAnsi"/>
                <w:sz w:val="21"/>
                <w:szCs w:val="21"/>
                <w:lang w:val="lt-LT"/>
              </w:rPr>
              <w:t xml:space="preserve"> = 0,50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45FA5" w14:textId="77777777" w:rsidR="00032BAD" w:rsidRPr="00032BAD" w:rsidRDefault="00032BAD" w:rsidP="00A630EF">
            <w:pPr>
              <w:pStyle w:val="Standard"/>
              <w:rPr>
                <w:rFonts w:asciiTheme="minorHAnsi" w:hAnsiTheme="minorHAnsi" w:cstheme="minorHAnsi"/>
                <w:sz w:val="21"/>
                <w:szCs w:val="21"/>
                <w:lang w:val="lt-LT"/>
              </w:rPr>
            </w:pPr>
          </w:p>
        </w:tc>
      </w:tr>
      <w:tr w:rsidR="00032BAD" w:rsidRPr="00032BAD" w14:paraId="1D0D616E" w14:textId="77777777" w:rsidTr="00697A06">
        <w:trPr>
          <w:trHeight w:val="233"/>
        </w:trPr>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0C431"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T2</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35469"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Galimybė su prietaisu atlikti šilumos terapija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9F400"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Statinis:</w:t>
            </w:r>
          </w:p>
          <w:p w14:paraId="20B24BCA"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(yra/nėra)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2492A" w14:textId="77777777" w:rsidR="00032BAD" w:rsidRPr="00032BAD" w:rsidRDefault="00032BAD" w:rsidP="00A630EF">
            <w:pPr>
              <w:pStyle w:val="Standard"/>
              <w:rPr>
                <w:rFonts w:asciiTheme="minorHAnsi" w:hAnsiTheme="minorHAnsi" w:cstheme="minorHAnsi"/>
                <w:sz w:val="21"/>
                <w:szCs w:val="21"/>
              </w:rPr>
            </w:pPr>
            <w:r w:rsidRPr="00032BAD">
              <w:rPr>
                <w:rFonts w:asciiTheme="minorHAnsi" w:hAnsiTheme="minorHAnsi" w:cstheme="minorHAnsi"/>
                <w:sz w:val="21"/>
                <w:szCs w:val="21"/>
                <w:lang w:val="lt-LT"/>
              </w:rPr>
              <w:t>L</w:t>
            </w:r>
            <w:r w:rsidRPr="00032BAD">
              <w:rPr>
                <w:rFonts w:asciiTheme="minorHAnsi" w:hAnsiTheme="minorHAnsi" w:cstheme="minorHAnsi"/>
                <w:sz w:val="21"/>
                <w:szCs w:val="21"/>
                <w:vertAlign w:val="subscript"/>
                <w:lang w:val="lt-LT"/>
              </w:rPr>
              <w:t>2</w:t>
            </w:r>
            <w:r w:rsidRPr="00032BAD">
              <w:rPr>
                <w:rFonts w:asciiTheme="minorHAnsi" w:hAnsiTheme="minorHAnsi" w:cstheme="minorHAnsi"/>
                <w:sz w:val="21"/>
                <w:szCs w:val="21"/>
                <w:lang w:val="lt-LT"/>
              </w:rPr>
              <w:t xml:space="preserve"> = 0,50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C6B9" w14:textId="77777777" w:rsidR="00032BAD" w:rsidRPr="00032BAD" w:rsidRDefault="00032BAD" w:rsidP="00A630EF">
            <w:pPr>
              <w:pStyle w:val="Standard"/>
              <w:rPr>
                <w:rFonts w:asciiTheme="minorHAnsi" w:hAnsiTheme="minorHAnsi" w:cstheme="minorHAnsi"/>
                <w:sz w:val="21"/>
                <w:szCs w:val="21"/>
                <w:lang w:val="lt-LT"/>
              </w:rPr>
            </w:pPr>
          </w:p>
        </w:tc>
      </w:tr>
    </w:tbl>
    <w:p w14:paraId="255F719C" w14:textId="77777777" w:rsidR="00032BAD" w:rsidRDefault="00032BAD" w:rsidP="00032BAD">
      <w:pPr>
        <w:pStyle w:val="Standard"/>
        <w:rPr>
          <w:rFonts w:hint="eastAsia"/>
        </w:rPr>
      </w:pPr>
      <w:r>
        <w:rPr>
          <w:rFonts w:ascii="Times New Roman" w:hAnsi="Times New Roman"/>
          <w:lang w:val="lt-LT"/>
        </w:rPr>
        <w:t xml:space="preserve"> </w:t>
      </w:r>
    </w:p>
    <w:p w14:paraId="59962D6F" w14:textId="77777777" w:rsidR="00032BAD" w:rsidRPr="00032BAD" w:rsidRDefault="00032BAD" w:rsidP="00697A06">
      <w:pPr>
        <w:pStyle w:val="Standard"/>
        <w:ind w:firstLine="851"/>
        <w:rPr>
          <w:rFonts w:asciiTheme="minorHAnsi" w:hAnsiTheme="minorHAnsi" w:cstheme="minorHAnsi"/>
          <w:sz w:val="21"/>
          <w:szCs w:val="21"/>
        </w:rPr>
      </w:pPr>
      <w:r w:rsidRPr="00032BAD">
        <w:rPr>
          <w:rFonts w:asciiTheme="minorHAnsi" w:hAnsiTheme="minorHAnsi" w:cstheme="minorHAnsi"/>
          <w:sz w:val="21"/>
          <w:szCs w:val="21"/>
          <w:lang w:val="lt-LT"/>
        </w:rPr>
        <w:t>Pasiūlymo ekonominio naudingumo (kainos ir kokybės santykio) apskaičiavimo tvarka (formulė):</w:t>
      </w:r>
    </w:p>
    <w:p w14:paraId="7159EB44" w14:textId="77777777" w:rsidR="00032BAD" w:rsidRPr="00032BAD" w:rsidRDefault="00032BAD" w:rsidP="00697A06">
      <w:pPr>
        <w:pStyle w:val="Standard"/>
        <w:ind w:firstLine="851"/>
        <w:rPr>
          <w:rFonts w:asciiTheme="minorHAnsi" w:hAnsiTheme="minorHAnsi" w:cstheme="minorHAnsi"/>
          <w:sz w:val="21"/>
          <w:szCs w:val="21"/>
        </w:rPr>
      </w:pPr>
      <w:r w:rsidRPr="00032BAD">
        <w:rPr>
          <w:rFonts w:asciiTheme="minorHAnsi" w:hAnsiTheme="minorHAnsi" w:cstheme="minorHAnsi"/>
          <w:sz w:val="21"/>
          <w:szCs w:val="21"/>
          <w:lang w:val="lt-LT"/>
        </w:rPr>
        <w:t>1. Pasiūlymo ekonominis naudingumas (E) apskaičiuojamas sudedant tiekėjo pasiūlymo kainos (K) ir techninių pranašumų (T), balus:</w:t>
      </w:r>
    </w:p>
    <w:p w14:paraId="21A377C8" w14:textId="77777777" w:rsidR="00032BAD" w:rsidRPr="00032BAD" w:rsidRDefault="00032BAD" w:rsidP="00032BAD">
      <w:pPr>
        <w:pStyle w:val="Standard"/>
        <w:jc w:val="center"/>
        <w:rPr>
          <w:rFonts w:asciiTheme="minorHAnsi" w:hAnsiTheme="minorHAnsi" w:cstheme="minorHAnsi"/>
          <w:sz w:val="21"/>
          <w:szCs w:val="21"/>
        </w:rPr>
      </w:pPr>
      <w:r w:rsidRPr="00032BAD">
        <w:rPr>
          <w:rFonts w:asciiTheme="minorHAnsi" w:hAnsiTheme="minorHAnsi" w:cstheme="minorHAnsi"/>
          <w:i/>
          <w:iCs/>
          <w:sz w:val="21"/>
          <w:szCs w:val="21"/>
          <w:lang w:val="lt-LT"/>
        </w:rPr>
        <w:t xml:space="preserve">E </w:t>
      </w:r>
      <w:r w:rsidRPr="00032BAD">
        <w:rPr>
          <w:rFonts w:asciiTheme="minorHAnsi" w:hAnsiTheme="minorHAnsi" w:cstheme="minorHAnsi"/>
          <w:sz w:val="21"/>
          <w:szCs w:val="21"/>
          <w:lang w:val="lt-LT"/>
        </w:rPr>
        <w:t xml:space="preserve">= </w:t>
      </w:r>
      <w:r w:rsidRPr="00032BAD">
        <w:rPr>
          <w:rFonts w:asciiTheme="minorHAnsi" w:hAnsiTheme="minorHAnsi" w:cstheme="minorHAnsi"/>
          <w:i/>
          <w:sz w:val="21"/>
          <w:szCs w:val="21"/>
          <w:lang w:val="lt-LT"/>
        </w:rPr>
        <w:t>K</w:t>
      </w:r>
      <w:r w:rsidRPr="00032BAD">
        <w:rPr>
          <w:rFonts w:asciiTheme="minorHAnsi" w:hAnsiTheme="minorHAnsi" w:cstheme="minorHAnsi"/>
          <w:sz w:val="21"/>
          <w:szCs w:val="21"/>
          <w:lang w:val="lt-LT"/>
        </w:rPr>
        <w:t xml:space="preserve"> </w:t>
      </w:r>
      <w:r w:rsidRPr="00032BAD">
        <w:rPr>
          <w:rFonts w:asciiTheme="minorHAnsi" w:hAnsiTheme="minorHAnsi" w:cstheme="minorHAnsi"/>
          <w:i/>
          <w:iCs/>
          <w:sz w:val="21"/>
          <w:szCs w:val="21"/>
          <w:lang w:val="lt-LT"/>
        </w:rPr>
        <w:t>+ T</w:t>
      </w:r>
    </w:p>
    <w:p w14:paraId="1736F2AC" w14:textId="77777777" w:rsidR="00032BAD" w:rsidRPr="00032BAD" w:rsidRDefault="00032BAD" w:rsidP="00032BAD">
      <w:pPr>
        <w:pStyle w:val="Standard"/>
        <w:rPr>
          <w:rFonts w:asciiTheme="minorHAnsi" w:hAnsiTheme="minorHAnsi" w:cstheme="minorHAnsi"/>
          <w:sz w:val="21"/>
          <w:szCs w:val="21"/>
          <w:lang w:val="lt-LT"/>
        </w:rPr>
      </w:pPr>
    </w:p>
    <w:p w14:paraId="3208811C" w14:textId="77777777" w:rsidR="00032BAD" w:rsidRPr="00032BAD" w:rsidRDefault="00032BAD" w:rsidP="00697A06">
      <w:pPr>
        <w:pStyle w:val="Standard"/>
        <w:ind w:firstLine="851"/>
        <w:rPr>
          <w:rFonts w:asciiTheme="minorHAnsi" w:hAnsiTheme="minorHAnsi" w:cstheme="minorHAnsi"/>
          <w:sz w:val="21"/>
          <w:szCs w:val="21"/>
        </w:rPr>
      </w:pPr>
      <w:r w:rsidRPr="00032BAD">
        <w:rPr>
          <w:rFonts w:asciiTheme="minorHAnsi" w:hAnsiTheme="minorHAnsi" w:cstheme="minorHAnsi"/>
          <w:iCs/>
          <w:sz w:val="21"/>
          <w:szCs w:val="21"/>
          <w:lang w:val="lt-LT"/>
        </w:rPr>
        <w:t xml:space="preserve">2. </w:t>
      </w:r>
      <w:r w:rsidRPr="00032BAD">
        <w:rPr>
          <w:rFonts w:asciiTheme="minorHAnsi" w:hAnsiTheme="minorHAnsi" w:cstheme="minorHAnsi"/>
          <w:sz w:val="21"/>
          <w:szCs w:val="21"/>
          <w:lang w:val="lt-LT"/>
        </w:rPr>
        <w:t>Pasiūlymo kainos (K) balai apskaičiuojami mažiausios pasiūlytos kainos (</w:t>
      </w:r>
      <w:proofErr w:type="spellStart"/>
      <w:r w:rsidRPr="00032BAD">
        <w:rPr>
          <w:rFonts w:asciiTheme="minorHAnsi" w:hAnsiTheme="minorHAnsi" w:cstheme="minorHAnsi"/>
          <w:sz w:val="21"/>
          <w:szCs w:val="21"/>
          <w:lang w:val="lt-LT"/>
        </w:rPr>
        <w:t>K</w:t>
      </w:r>
      <w:r w:rsidRPr="00032BAD">
        <w:rPr>
          <w:rFonts w:asciiTheme="minorHAnsi" w:hAnsiTheme="minorHAnsi" w:cstheme="minorHAnsi"/>
          <w:sz w:val="21"/>
          <w:szCs w:val="21"/>
          <w:vertAlign w:val="subscript"/>
          <w:lang w:val="lt-LT"/>
        </w:rPr>
        <w:t>min</w:t>
      </w:r>
      <w:proofErr w:type="spellEnd"/>
      <w:r w:rsidRPr="00032BAD">
        <w:rPr>
          <w:rFonts w:asciiTheme="minorHAnsi" w:hAnsiTheme="minorHAnsi" w:cstheme="minorHAnsi"/>
          <w:sz w:val="21"/>
          <w:szCs w:val="21"/>
          <w:lang w:val="lt-LT"/>
        </w:rPr>
        <w:t>) ir vertinamo pasiūlymo kainos (</w:t>
      </w:r>
      <w:proofErr w:type="spellStart"/>
      <w:r w:rsidRPr="00032BAD">
        <w:rPr>
          <w:rFonts w:asciiTheme="minorHAnsi" w:hAnsiTheme="minorHAnsi" w:cstheme="minorHAnsi"/>
          <w:sz w:val="21"/>
          <w:szCs w:val="21"/>
          <w:lang w:val="lt-LT"/>
        </w:rPr>
        <w:t>K</w:t>
      </w:r>
      <w:r w:rsidRPr="00032BAD">
        <w:rPr>
          <w:rFonts w:asciiTheme="minorHAnsi" w:hAnsiTheme="minorHAnsi" w:cstheme="minorHAnsi"/>
          <w:sz w:val="21"/>
          <w:szCs w:val="21"/>
          <w:vertAlign w:val="subscript"/>
          <w:lang w:val="lt-LT"/>
        </w:rPr>
        <w:t>v</w:t>
      </w:r>
      <w:proofErr w:type="spellEnd"/>
      <w:r w:rsidRPr="00032BAD">
        <w:rPr>
          <w:rFonts w:asciiTheme="minorHAnsi" w:hAnsiTheme="minorHAnsi" w:cstheme="minorHAnsi"/>
          <w:sz w:val="21"/>
          <w:szCs w:val="21"/>
          <w:lang w:val="lt-LT"/>
        </w:rPr>
        <w:t>) santykį padauginant iš kainos lyginamojo svorio (X):</w:t>
      </w:r>
    </w:p>
    <w:p w14:paraId="0B4DD3BC" w14:textId="77777777" w:rsidR="00032BAD" w:rsidRPr="00032BAD" w:rsidRDefault="00032BAD" w:rsidP="00032BAD">
      <w:pPr>
        <w:pStyle w:val="Standard"/>
        <w:jc w:val="center"/>
        <w:rPr>
          <w:rFonts w:asciiTheme="minorHAnsi" w:hAnsiTheme="minorHAnsi" w:cstheme="minorHAnsi"/>
          <w:sz w:val="21"/>
          <w:szCs w:val="21"/>
        </w:rPr>
      </w:pPr>
      <m:oMathPara>
        <m:oMathParaPr>
          <m:jc m:val="center"/>
        </m:oMathParaPr>
        <m:oMath>
          <m:r>
            <w:rPr>
              <w:rFonts w:ascii="Cambria Math" w:hAnsi="Cambria Math" w:cstheme="minorHAnsi"/>
              <w:sz w:val="21"/>
              <w:szCs w:val="21"/>
            </w:rPr>
            <m:t>K=</m:t>
          </m:r>
          <m:f>
            <m:fPr>
              <m:ctrlPr>
                <w:rPr>
                  <w:rFonts w:ascii="Cambria Math" w:hAnsi="Cambria Math" w:cstheme="minorHAnsi"/>
                  <w:sz w:val="21"/>
                  <w:szCs w:val="21"/>
                </w:rPr>
              </m:ctrlPr>
            </m:fPr>
            <m:num>
              <m:sSub>
                <m:sSubPr>
                  <m:ctrlPr>
                    <w:rPr>
                      <w:rFonts w:ascii="Cambria Math" w:hAnsi="Cambria Math" w:cstheme="minorHAnsi"/>
                      <w:sz w:val="21"/>
                      <w:szCs w:val="21"/>
                    </w:rPr>
                  </m:ctrlPr>
                </m:sSubPr>
                <m:e>
                  <m:r>
                    <w:rPr>
                      <w:rFonts w:ascii="Cambria Math" w:hAnsi="Cambria Math" w:cstheme="minorHAnsi"/>
                      <w:sz w:val="21"/>
                      <w:szCs w:val="21"/>
                    </w:rPr>
                    <m:t>K</m:t>
                  </m:r>
                </m:e>
                <m:sub>
                  <m:r>
                    <w:rPr>
                      <w:rFonts w:ascii="Cambria Math" w:hAnsi="Cambria Math" w:cstheme="minorHAnsi"/>
                      <w:sz w:val="21"/>
                      <w:szCs w:val="21"/>
                    </w:rPr>
                    <m:t>min</m:t>
                  </m:r>
                </m:sub>
              </m:sSub>
            </m:num>
            <m:den>
              <m:sSub>
                <m:sSubPr>
                  <m:ctrlPr>
                    <w:rPr>
                      <w:rFonts w:ascii="Cambria Math" w:hAnsi="Cambria Math" w:cstheme="minorHAnsi"/>
                      <w:sz w:val="21"/>
                      <w:szCs w:val="21"/>
                    </w:rPr>
                  </m:ctrlPr>
                </m:sSubPr>
                <m:e>
                  <m:r>
                    <w:rPr>
                      <w:rFonts w:ascii="Cambria Math" w:hAnsi="Cambria Math" w:cstheme="minorHAnsi"/>
                      <w:sz w:val="21"/>
                      <w:szCs w:val="21"/>
                    </w:rPr>
                    <m:t>K</m:t>
                  </m:r>
                </m:e>
                <m:sub>
                  <m:r>
                    <w:rPr>
                      <w:rFonts w:ascii="Cambria Math" w:hAnsi="Cambria Math" w:cstheme="minorHAnsi"/>
                      <w:sz w:val="21"/>
                      <w:szCs w:val="21"/>
                    </w:rPr>
                    <m:t>v</m:t>
                  </m:r>
                </m:sub>
              </m:sSub>
            </m:den>
          </m:f>
          <m:r>
            <w:rPr>
              <w:rFonts w:ascii="Cambria Math" w:hAnsi="Cambria Math" w:cstheme="minorHAnsi"/>
              <w:sz w:val="21"/>
              <w:szCs w:val="21"/>
            </w:rPr>
            <m:t>×X</m:t>
          </m:r>
        </m:oMath>
      </m:oMathPara>
    </w:p>
    <w:p w14:paraId="43C08E7E" w14:textId="77777777" w:rsidR="00032BAD" w:rsidRPr="00032BAD" w:rsidRDefault="00032BAD" w:rsidP="00697A06">
      <w:pPr>
        <w:pStyle w:val="Standard"/>
        <w:ind w:firstLine="851"/>
        <w:rPr>
          <w:rFonts w:asciiTheme="minorHAnsi" w:hAnsiTheme="minorHAnsi" w:cstheme="minorHAnsi"/>
          <w:sz w:val="21"/>
          <w:szCs w:val="21"/>
        </w:rPr>
      </w:pPr>
      <w:r w:rsidRPr="00032BAD">
        <w:rPr>
          <w:rFonts w:asciiTheme="minorHAnsi" w:hAnsiTheme="minorHAnsi" w:cstheme="minorHAnsi"/>
          <w:sz w:val="21"/>
          <w:szCs w:val="21"/>
          <w:lang w:val="lt-LT"/>
        </w:rPr>
        <w:t>3. Siūlomo objekto techniniai pranašumai vertinami dviem skirtingais vertinimo būdais, todėl parametrų vertinimas apskaičiuojamas skirtingais metodais:</w:t>
      </w:r>
    </w:p>
    <w:p w14:paraId="4D273E48" w14:textId="77777777" w:rsidR="00032BAD" w:rsidRPr="00032BAD" w:rsidRDefault="00032BAD" w:rsidP="00697A06">
      <w:pPr>
        <w:pStyle w:val="Standard"/>
        <w:ind w:firstLine="851"/>
        <w:rPr>
          <w:rFonts w:asciiTheme="minorHAnsi" w:hAnsiTheme="minorHAnsi" w:cstheme="minorHAnsi"/>
          <w:sz w:val="21"/>
          <w:szCs w:val="21"/>
        </w:rPr>
      </w:pPr>
      <w:r w:rsidRPr="00032BAD">
        <w:rPr>
          <w:rFonts w:asciiTheme="minorHAnsi" w:hAnsiTheme="minorHAnsi" w:cstheme="minorHAnsi"/>
          <w:sz w:val="21"/>
          <w:szCs w:val="21"/>
          <w:lang w:val="lt-LT"/>
        </w:rPr>
        <w:t>Siūlomo objekto T1 ir T2, techniniai parametrai aprašomi statiniu vertinimo būdu (yra arba nėra), todėl parametro įvertinimas apskaičiuojamas pagal formulę:</w:t>
      </w:r>
    </w:p>
    <w:p w14:paraId="4C07957E" w14:textId="77777777" w:rsidR="00697A06" w:rsidRDefault="00032BAD" w:rsidP="00032BAD">
      <w:pPr>
        <w:pStyle w:val="Standard"/>
        <w:numPr>
          <w:ilvl w:val="0"/>
          <w:numId w:val="11"/>
        </w:numPr>
        <w:ind w:left="1134" w:hanging="283"/>
        <w:rPr>
          <w:rFonts w:asciiTheme="minorHAnsi" w:hAnsiTheme="minorHAnsi" w:cstheme="minorHAnsi"/>
          <w:sz w:val="21"/>
          <w:szCs w:val="21"/>
        </w:rPr>
      </w:pPr>
      <w:r w:rsidRPr="00032BAD">
        <w:rPr>
          <w:rFonts w:asciiTheme="minorHAnsi" w:hAnsiTheme="minorHAnsi" w:cstheme="minorHAnsi"/>
          <w:sz w:val="21"/>
          <w:szCs w:val="21"/>
          <w:lang w:val="lt-LT"/>
        </w:rPr>
        <w:t xml:space="preserve">Jei siūlomas objektas turi nurodytą pranašumą: </w:t>
      </w:r>
      <w:r w:rsidRPr="00032BAD">
        <w:rPr>
          <w:rFonts w:asciiTheme="minorHAnsi" w:hAnsiTheme="minorHAnsi" w:cstheme="minorHAnsi"/>
          <w:i/>
          <w:sz w:val="21"/>
          <w:szCs w:val="21"/>
          <w:lang w:val="lt-LT"/>
        </w:rPr>
        <w:t>T</w:t>
      </w:r>
      <w:r w:rsidRPr="00032BAD">
        <w:rPr>
          <w:rFonts w:asciiTheme="minorHAnsi" w:hAnsiTheme="minorHAnsi" w:cstheme="minorHAnsi"/>
          <w:i/>
          <w:sz w:val="21"/>
          <w:szCs w:val="21"/>
          <w:vertAlign w:val="subscript"/>
          <w:lang w:val="lt-LT"/>
        </w:rPr>
        <w:t>1</w:t>
      </w:r>
      <w:r w:rsidRPr="00032BAD">
        <w:rPr>
          <w:rFonts w:asciiTheme="minorHAnsi" w:hAnsiTheme="minorHAnsi" w:cstheme="minorHAnsi"/>
          <w:i/>
          <w:sz w:val="21"/>
          <w:szCs w:val="21"/>
          <w:lang w:val="lt-LT"/>
        </w:rPr>
        <w:t xml:space="preserve"> = L</w:t>
      </w:r>
      <w:r w:rsidRPr="00032BAD">
        <w:rPr>
          <w:rFonts w:asciiTheme="minorHAnsi" w:hAnsiTheme="minorHAnsi" w:cstheme="minorHAnsi"/>
          <w:i/>
          <w:sz w:val="21"/>
          <w:szCs w:val="21"/>
          <w:vertAlign w:val="subscript"/>
          <w:lang w:val="lt-LT"/>
        </w:rPr>
        <w:t>1</w:t>
      </w:r>
      <w:r w:rsidRPr="00032BAD">
        <w:rPr>
          <w:rFonts w:asciiTheme="minorHAnsi" w:hAnsiTheme="minorHAnsi" w:cstheme="minorHAnsi"/>
          <w:i/>
          <w:sz w:val="21"/>
          <w:szCs w:val="21"/>
          <w:lang w:val="lt-LT"/>
        </w:rPr>
        <w:t xml:space="preserve"> = 0,50; T</w:t>
      </w:r>
      <w:r w:rsidRPr="00032BAD">
        <w:rPr>
          <w:rFonts w:asciiTheme="minorHAnsi" w:hAnsiTheme="minorHAnsi" w:cstheme="minorHAnsi"/>
          <w:i/>
          <w:sz w:val="21"/>
          <w:szCs w:val="21"/>
          <w:vertAlign w:val="subscript"/>
          <w:lang w:val="lt-LT"/>
        </w:rPr>
        <w:t>2</w:t>
      </w:r>
      <w:r w:rsidRPr="00032BAD">
        <w:rPr>
          <w:rFonts w:asciiTheme="minorHAnsi" w:hAnsiTheme="minorHAnsi" w:cstheme="minorHAnsi"/>
          <w:i/>
          <w:sz w:val="21"/>
          <w:szCs w:val="21"/>
          <w:lang w:val="lt-LT"/>
        </w:rPr>
        <w:t xml:space="preserve"> = L</w:t>
      </w:r>
      <w:r w:rsidRPr="00032BAD">
        <w:rPr>
          <w:rFonts w:asciiTheme="minorHAnsi" w:hAnsiTheme="minorHAnsi" w:cstheme="minorHAnsi"/>
          <w:i/>
          <w:sz w:val="21"/>
          <w:szCs w:val="21"/>
          <w:vertAlign w:val="subscript"/>
          <w:lang w:val="lt-LT"/>
        </w:rPr>
        <w:t>2</w:t>
      </w:r>
      <w:r w:rsidRPr="00032BAD">
        <w:rPr>
          <w:rFonts w:asciiTheme="minorHAnsi" w:hAnsiTheme="minorHAnsi" w:cstheme="minorHAnsi"/>
          <w:i/>
          <w:sz w:val="21"/>
          <w:szCs w:val="21"/>
          <w:lang w:val="lt-LT"/>
        </w:rPr>
        <w:t xml:space="preserve"> = 0,50;</w:t>
      </w:r>
    </w:p>
    <w:p w14:paraId="4320D25A" w14:textId="4D3D8441" w:rsidR="00032BAD" w:rsidRPr="00697A06" w:rsidRDefault="00032BAD" w:rsidP="00032BAD">
      <w:pPr>
        <w:pStyle w:val="Standard"/>
        <w:numPr>
          <w:ilvl w:val="0"/>
          <w:numId w:val="11"/>
        </w:numPr>
        <w:ind w:left="1134" w:hanging="283"/>
        <w:rPr>
          <w:rFonts w:asciiTheme="minorHAnsi" w:hAnsiTheme="minorHAnsi" w:cstheme="minorHAnsi"/>
          <w:sz w:val="21"/>
          <w:szCs w:val="21"/>
        </w:rPr>
      </w:pPr>
      <w:r w:rsidRPr="00697A06">
        <w:rPr>
          <w:rFonts w:asciiTheme="minorHAnsi" w:hAnsiTheme="minorHAnsi" w:cstheme="minorHAnsi"/>
          <w:sz w:val="21"/>
          <w:szCs w:val="21"/>
          <w:lang w:val="lt-LT"/>
        </w:rPr>
        <w:t xml:space="preserve">Jei siūlomas objektas neturi nurodyto pranašumo: </w:t>
      </w:r>
      <w:r w:rsidRPr="00697A06">
        <w:rPr>
          <w:rFonts w:asciiTheme="minorHAnsi" w:hAnsiTheme="minorHAnsi" w:cstheme="minorHAnsi"/>
          <w:i/>
          <w:sz w:val="21"/>
          <w:szCs w:val="21"/>
          <w:lang w:val="lt-LT"/>
        </w:rPr>
        <w:t>T</w:t>
      </w:r>
      <w:r w:rsidRPr="00697A06">
        <w:rPr>
          <w:rFonts w:asciiTheme="minorHAnsi" w:hAnsiTheme="minorHAnsi" w:cstheme="minorHAnsi"/>
          <w:i/>
          <w:sz w:val="21"/>
          <w:szCs w:val="21"/>
          <w:vertAlign w:val="subscript"/>
          <w:lang w:val="lt-LT"/>
        </w:rPr>
        <w:t>1</w:t>
      </w:r>
      <w:r w:rsidRPr="00697A06">
        <w:rPr>
          <w:rFonts w:asciiTheme="minorHAnsi" w:hAnsiTheme="minorHAnsi" w:cstheme="minorHAnsi"/>
          <w:i/>
          <w:sz w:val="21"/>
          <w:szCs w:val="21"/>
          <w:lang w:val="lt-LT"/>
        </w:rPr>
        <w:t xml:space="preserve"> = L</w:t>
      </w:r>
      <w:r w:rsidRPr="00697A06">
        <w:rPr>
          <w:rFonts w:asciiTheme="minorHAnsi" w:hAnsiTheme="minorHAnsi" w:cstheme="minorHAnsi"/>
          <w:i/>
          <w:sz w:val="21"/>
          <w:szCs w:val="21"/>
          <w:vertAlign w:val="subscript"/>
          <w:lang w:val="lt-LT"/>
        </w:rPr>
        <w:t>1</w:t>
      </w:r>
      <w:r w:rsidRPr="00697A06">
        <w:rPr>
          <w:rFonts w:asciiTheme="minorHAnsi" w:hAnsiTheme="minorHAnsi" w:cstheme="minorHAnsi"/>
          <w:i/>
          <w:sz w:val="21"/>
          <w:szCs w:val="21"/>
          <w:lang w:val="lt-LT"/>
        </w:rPr>
        <w:t xml:space="preserve"> = 0; T</w:t>
      </w:r>
      <w:r w:rsidRPr="00697A06">
        <w:rPr>
          <w:rFonts w:asciiTheme="minorHAnsi" w:hAnsiTheme="minorHAnsi" w:cstheme="minorHAnsi"/>
          <w:i/>
          <w:sz w:val="21"/>
          <w:szCs w:val="21"/>
          <w:vertAlign w:val="subscript"/>
          <w:lang w:val="lt-LT"/>
        </w:rPr>
        <w:t>2</w:t>
      </w:r>
      <w:r w:rsidRPr="00697A06">
        <w:rPr>
          <w:rFonts w:asciiTheme="minorHAnsi" w:hAnsiTheme="minorHAnsi" w:cstheme="minorHAnsi"/>
          <w:i/>
          <w:sz w:val="21"/>
          <w:szCs w:val="21"/>
          <w:lang w:val="lt-LT"/>
        </w:rPr>
        <w:t xml:space="preserve"> = L</w:t>
      </w:r>
      <w:r w:rsidRPr="00697A06">
        <w:rPr>
          <w:rFonts w:asciiTheme="minorHAnsi" w:hAnsiTheme="minorHAnsi" w:cstheme="minorHAnsi"/>
          <w:i/>
          <w:sz w:val="21"/>
          <w:szCs w:val="21"/>
          <w:vertAlign w:val="subscript"/>
          <w:lang w:val="lt-LT"/>
        </w:rPr>
        <w:t>2</w:t>
      </w:r>
      <w:r w:rsidRPr="00697A06">
        <w:rPr>
          <w:rFonts w:asciiTheme="minorHAnsi" w:hAnsiTheme="minorHAnsi" w:cstheme="minorHAnsi"/>
          <w:i/>
          <w:sz w:val="21"/>
          <w:szCs w:val="21"/>
          <w:lang w:val="lt-LT"/>
        </w:rPr>
        <w:t xml:space="preserve"> = 0;</w:t>
      </w:r>
    </w:p>
    <w:p w14:paraId="5D32A76D" w14:textId="77777777" w:rsidR="00032BAD" w:rsidRPr="00032BAD" w:rsidRDefault="00032BAD" w:rsidP="00697A06">
      <w:pPr>
        <w:pStyle w:val="Standard"/>
        <w:ind w:firstLine="851"/>
        <w:rPr>
          <w:rFonts w:asciiTheme="minorHAnsi" w:hAnsiTheme="minorHAnsi" w:cstheme="minorHAnsi"/>
          <w:sz w:val="21"/>
          <w:szCs w:val="21"/>
        </w:rPr>
      </w:pPr>
      <w:r w:rsidRPr="00032BAD">
        <w:rPr>
          <w:rFonts w:asciiTheme="minorHAnsi" w:hAnsiTheme="minorHAnsi" w:cstheme="minorHAnsi"/>
          <w:sz w:val="21"/>
          <w:szCs w:val="21"/>
          <w:lang w:val="lt-LT"/>
        </w:rPr>
        <w:t>Techninių pranašumų (T) balai apskaičiuojami visų techninių kriterijų parametrų įvertinimų sumą padauginant iš techninių pranašumų lyginamojo svorio (Y):</w:t>
      </w:r>
    </w:p>
    <w:p w14:paraId="779ECB61" w14:textId="1F3F958F" w:rsidR="00032BAD" w:rsidRPr="00697A06" w:rsidRDefault="00032BAD" w:rsidP="00697A06">
      <w:pPr>
        <w:pStyle w:val="Standard"/>
        <w:jc w:val="center"/>
        <w:rPr>
          <w:rFonts w:asciiTheme="minorHAnsi" w:hAnsiTheme="minorHAnsi" w:cstheme="minorHAnsi"/>
          <w:sz w:val="21"/>
          <w:szCs w:val="21"/>
        </w:rPr>
      </w:pPr>
      <m:oMathPara>
        <m:oMath>
          <m:r>
            <w:rPr>
              <w:rFonts w:ascii="Cambria Math" w:hAnsi="Cambria Math" w:cstheme="minorHAnsi"/>
              <w:sz w:val="21"/>
              <w:szCs w:val="21"/>
            </w:rPr>
            <m:t>T=(</m:t>
          </m:r>
          <m:nary>
            <m:naryPr>
              <m:chr m:val="∑"/>
              <m:limLoc m:val="undOvr"/>
              <m:ctrlPr>
                <w:rPr>
                  <w:rFonts w:ascii="Cambria Math" w:hAnsi="Cambria Math" w:cstheme="minorHAnsi"/>
                  <w:sz w:val="21"/>
                  <w:szCs w:val="21"/>
                </w:rPr>
              </m:ctrlPr>
            </m:naryPr>
            <m:sub>
              <m:r>
                <w:rPr>
                  <w:rFonts w:ascii="Cambria Math" w:hAnsi="Cambria Math" w:cstheme="minorHAnsi"/>
                  <w:sz w:val="21"/>
                  <w:szCs w:val="21"/>
                </w:rPr>
                <m:t>i=1</m:t>
              </m:r>
            </m:sub>
            <m:sup>
              <m:r>
                <w:rPr>
                  <w:rFonts w:ascii="Cambria Math" w:hAnsi="Cambria Math" w:cstheme="minorHAnsi"/>
                  <w:sz w:val="21"/>
                  <w:szCs w:val="21"/>
                </w:rPr>
                <m:t>2</m:t>
              </m:r>
            </m:sup>
            <m:e/>
          </m:nary>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i</m:t>
              </m:r>
            </m:sub>
          </m:sSub>
          <m:r>
            <w:rPr>
              <w:rFonts w:ascii="Cambria Math" w:hAnsi="Cambria Math" w:cstheme="minorHAnsi"/>
              <w:sz w:val="21"/>
              <w:szCs w:val="21"/>
            </w:rPr>
            <m:t>)×Y</m:t>
          </m:r>
        </m:oMath>
      </m:oMathPara>
    </w:p>
    <w:p w14:paraId="367E8661" w14:textId="1EC69CA9" w:rsidR="009B4090" w:rsidRPr="00032BAD" w:rsidRDefault="00032BAD" w:rsidP="00032BAD">
      <w:pPr>
        <w:jc w:val="center"/>
        <w:rPr>
          <w:rFonts w:ascii="Arial" w:eastAsia="Arial" w:hAnsi="Arial" w:cs="Arial"/>
        </w:rPr>
      </w:pPr>
      <w:r>
        <w:rPr>
          <w:rFonts w:ascii="Arial" w:eastAsia="Arial" w:hAnsi="Arial" w:cs="Arial"/>
        </w:rPr>
        <w:t>_________</w:t>
      </w:r>
    </w:p>
    <w:sectPr w:rsidR="009B4090" w:rsidRPr="00032BAD"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67D4D04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CF0A69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15C1FB9"/>
    <w:multiLevelType w:val="hybridMultilevel"/>
    <w:tmpl w:val="704C946E"/>
    <w:lvl w:ilvl="0" w:tplc="28CEDE3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10"/>
  </w:num>
  <w:num w:numId="5">
    <w:abstractNumId w:val="3"/>
  </w:num>
  <w:num w:numId="6">
    <w:abstractNumId w:val="0"/>
  </w:num>
  <w:num w:numId="7">
    <w:abstractNumId w:val="5"/>
  </w:num>
  <w:num w:numId="8">
    <w:abstractNumId w:val="9"/>
  </w:num>
  <w:num w:numId="9">
    <w:abstractNumId w:val="7"/>
  </w:num>
  <w:num w:numId="10">
    <w:abstractNumId w:val="2"/>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BAD"/>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2EA3"/>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3F90"/>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9BA"/>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4B3"/>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FD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A60"/>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203"/>
    <w:rsid w:val="002902C1"/>
    <w:rsid w:val="002917EB"/>
    <w:rsid w:val="00291C92"/>
    <w:rsid w:val="00291DCB"/>
    <w:rsid w:val="00291EAC"/>
    <w:rsid w:val="00292169"/>
    <w:rsid w:val="0029216D"/>
    <w:rsid w:val="002926A1"/>
    <w:rsid w:val="00294BE3"/>
    <w:rsid w:val="002970CF"/>
    <w:rsid w:val="00297490"/>
    <w:rsid w:val="002974D4"/>
    <w:rsid w:val="002979A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1F3"/>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E8F"/>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17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B9"/>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A06"/>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327"/>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05BB"/>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685D"/>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52CF"/>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A1B"/>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AB"/>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55D"/>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6A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490B"/>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A2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97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5F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E1"/>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31"/>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B39"/>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customStyle="1" w:styleId="Standard">
    <w:name w:val="Standard"/>
    <w:rsid w:val="00032BAD"/>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39133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10</Pages>
  <Words>12598</Words>
  <Characters>7181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Gabija Viluckytė</cp:lastModifiedBy>
  <cp:revision>31</cp:revision>
  <cp:lastPrinted>2021-11-03T05:49:00Z</cp:lastPrinted>
  <dcterms:created xsi:type="dcterms:W3CDTF">2025-05-23T12:55:00Z</dcterms:created>
  <dcterms:modified xsi:type="dcterms:W3CDTF">2025-11-27T12:31:00Z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