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7F542283" w14:textId="77777777" w:rsidR="00261ED3" w:rsidRPr="000E4347" w:rsidRDefault="00261ED3" w:rsidP="00261ED3">
      <w:pPr>
        <w:jc w:val="center"/>
        <w:rPr>
          <w:b/>
          <w:lang w:eastAsia="lt-LT"/>
        </w:rPr>
      </w:pPr>
      <w:r w:rsidRPr="00261ED3">
        <w:rPr>
          <w:b/>
          <w:lang w:eastAsia="lt-LT"/>
        </w:rPr>
        <w:t xml:space="preserve">SKELBIAMOS </w:t>
      </w:r>
      <w:r w:rsidRPr="000E4347">
        <w:rPr>
          <w:b/>
          <w:lang w:eastAsia="lt-LT"/>
        </w:rPr>
        <w:t xml:space="preserve">APKLAUSOS BŪDU ATLIEKAMO </w:t>
      </w:r>
    </w:p>
    <w:p w14:paraId="46146BDA" w14:textId="00506841" w:rsidR="00261ED3" w:rsidRPr="000E4347" w:rsidRDefault="00261ED3" w:rsidP="00261ED3">
      <w:pPr>
        <w:jc w:val="center"/>
        <w:rPr>
          <w:b/>
          <w:lang w:eastAsia="lt-LT"/>
        </w:rPr>
      </w:pPr>
      <w:r w:rsidRPr="000E4347">
        <w:rPr>
          <w:b/>
          <w:lang w:eastAsia="lt-LT"/>
        </w:rPr>
        <w:t>MAŽOS VERTĖS VIEŠOJO PIRKIMO „</w:t>
      </w:r>
      <w:r w:rsidR="000E4347" w:rsidRPr="000E4347">
        <w:rPr>
          <w:rFonts w:cstheme="minorHAnsi"/>
          <w:b/>
          <w:bCs/>
        </w:rPr>
        <w:t>FIZINĖS TERAPIJOS APARATAS – AUKŠTO INTENSYVUMO LAZERIS</w:t>
      </w:r>
      <w:r w:rsidRPr="000E4347">
        <w:rPr>
          <w:b/>
          <w:lang w:eastAsia="lt-LT"/>
        </w:rPr>
        <w:t>“</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12F8F11A" w:rsidR="00011EC0" w:rsidRDefault="00011EC0" w:rsidP="00D21285">
            <w:pPr>
              <w:jc w:val="both"/>
              <w:rPr>
                <w:b/>
                <w:bCs/>
                <w:color w:val="000000" w:themeColor="text1"/>
              </w:rPr>
            </w:pPr>
            <w:r w:rsidRPr="00031EB2">
              <w:rPr>
                <w:b/>
                <w:bCs/>
                <w:color w:val="000000" w:themeColor="text1"/>
              </w:rPr>
              <w:t>Sub</w:t>
            </w:r>
            <w:r w:rsidR="000E4347">
              <w:rPr>
                <w:b/>
                <w:bCs/>
                <w:color w:val="000000" w:themeColor="text1"/>
              </w:rPr>
              <w:t>tiekėjo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35484F2B" w:rsidR="00011EC0" w:rsidRPr="00031EB2" w:rsidRDefault="00011EC0" w:rsidP="00D21285">
            <w:pPr>
              <w:jc w:val="both"/>
              <w:rPr>
                <w:color w:val="000000" w:themeColor="text1"/>
              </w:rPr>
            </w:pPr>
            <w:r w:rsidRPr="00031EB2">
              <w:rPr>
                <w:color w:val="000000" w:themeColor="text1"/>
              </w:rPr>
              <w:t>Sub</w:t>
            </w:r>
            <w:r w:rsidR="000E4347">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4BEE8230" w:rsidR="00011EC0" w:rsidRPr="00031EB2" w:rsidRDefault="00011EC0" w:rsidP="00D21285">
            <w:pPr>
              <w:jc w:val="both"/>
              <w:rPr>
                <w:color w:val="000000" w:themeColor="text1"/>
              </w:rPr>
            </w:pPr>
            <w:r w:rsidRPr="00031EB2">
              <w:rPr>
                <w:color w:val="000000" w:themeColor="text1"/>
              </w:rPr>
              <w:t>Sub</w:t>
            </w:r>
            <w:r w:rsidR="000E4347">
              <w:rPr>
                <w:color w:val="000000" w:themeColor="text1"/>
              </w:rPr>
              <w:t xml:space="preserve">tiekėjui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2EC801DC"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0E4347">
        <w:rPr>
          <w:i/>
          <w:iCs/>
          <w:color w:val="000000" w:themeColor="text1"/>
        </w:rPr>
        <w:t>tiekėjus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658"/>
        <w:gridCol w:w="2976"/>
      </w:tblGrid>
      <w:tr w:rsidR="00011EC0" w14:paraId="4F428959" w14:textId="77777777" w:rsidTr="00D21285">
        <w:tc>
          <w:tcPr>
            <w:tcW w:w="9634" w:type="dxa"/>
            <w:gridSpan w:val="2"/>
            <w:shd w:val="clear" w:color="auto" w:fill="F2F2F2" w:themeFill="background1" w:themeFillShade="F2"/>
            <w:vAlign w:val="center"/>
          </w:tcPr>
          <w:p w14:paraId="02FD6CC6" w14:textId="77777777" w:rsidR="00011EC0" w:rsidRDefault="00011EC0" w:rsidP="00D21285">
            <w:pPr>
              <w:jc w:val="center"/>
              <w:rPr>
                <w:b/>
                <w:bCs/>
              </w:rPr>
            </w:pPr>
            <w:r>
              <w:rPr>
                <w:b/>
                <w:bCs/>
              </w:rPr>
              <w:t>Pavadinimas</w:t>
            </w:r>
          </w:p>
        </w:tc>
      </w:tr>
      <w:tr w:rsidR="00011EC0" w14:paraId="682AC0E2" w14:textId="77777777" w:rsidTr="00D21285">
        <w:tc>
          <w:tcPr>
            <w:tcW w:w="9634" w:type="dxa"/>
            <w:gridSpan w:val="2"/>
            <w:shd w:val="clear" w:color="auto" w:fill="FFFFFF" w:themeFill="background1"/>
            <w:vAlign w:val="center"/>
          </w:tcPr>
          <w:p w14:paraId="469BF59F" w14:textId="26FD47E9" w:rsidR="00011EC0" w:rsidRPr="00B57301" w:rsidRDefault="000E4347" w:rsidP="00D21285">
            <w:pPr>
              <w:jc w:val="both"/>
            </w:pPr>
            <w:r w:rsidRPr="000E4347">
              <w:t>Fizinės terapijos aparatas – aukšto intensyvumo lazeris</w:t>
            </w:r>
            <w:r w:rsidR="00A759AA">
              <w:t>*</w:t>
            </w:r>
          </w:p>
        </w:tc>
      </w:tr>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997281">
              <w:rPr>
                <w:b/>
              </w:rPr>
              <w:t>PVM (21 proc.)</w:t>
            </w:r>
            <w:r w:rsidRPr="00997281">
              <w:t xml:space="preserve"> </w:t>
            </w:r>
            <w:r w:rsidRPr="00D313B2">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3FEBDF4C" w14:textId="53626B85" w:rsidR="00A759AA" w:rsidRPr="00A759AA" w:rsidRDefault="00A759AA" w:rsidP="00A759AA">
      <w:pPr>
        <w:widowControl w:val="0"/>
        <w:jc w:val="both"/>
        <w:rPr>
          <w:i/>
          <w:iCs/>
          <w:lang w:eastAsia="lt-LT"/>
        </w:rPr>
      </w:pPr>
      <w:r w:rsidRPr="00A759AA">
        <w:rPr>
          <w:rFonts w:eastAsia="Calibri"/>
          <w:i/>
          <w:iCs/>
          <w:lang w:eastAsia="lt-LT"/>
        </w:rPr>
        <w:t xml:space="preserve">*Kartu su pasiūlymų privaloma pateikti specialiųjų pirkimo sąlygų 5.1.4 p. ir 5.1.5 p. nurodytus dokumentus. </w:t>
      </w: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0" w:name="_Hlk127263941"/>
      <w:r>
        <w:rPr>
          <w:i/>
        </w:rPr>
        <w:t xml:space="preserve">- </w:t>
      </w:r>
      <w:bookmarkEnd w:id="0"/>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lastRenderedPageBreak/>
        <w:t xml:space="preserve">- </w:t>
      </w:r>
      <w:r w:rsidR="00A007D6">
        <w:rPr>
          <w:i/>
        </w:rPr>
        <w:t>j</w:t>
      </w:r>
      <w:r w:rsidR="00A007D6" w:rsidRPr="00A007D6">
        <w:rPr>
          <w:i/>
        </w:rPr>
        <w:t>ei tiekėjas yra ne PVM mokėtojas, turi apie tai nurodyti pasiūlyme, nurodant teisinį pagrindą</w:t>
      </w:r>
      <w:r>
        <w:rPr>
          <w:i/>
        </w:rPr>
        <w:t>;</w:t>
      </w:r>
    </w:p>
    <w:p w14:paraId="4D68F710" w14:textId="582809C8" w:rsidR="00011EC0" w:rsidRDefault="00011EC0" w:rsidP="00011EC0">
      <w:pPr>
        <w:widowControl w:val="0"/>
        <w:ind w:firstLine="709"/>
        <w:jc w:val="both"/>
        <w:rPr>
          <w:i/>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130C1FF7" w14:textId="53330632" w:rsidR="00393690" w:rsidRDefault="00393690" w:rsidP="00011EC0">
      <w:pPr>
        <w:widowControl w:val="0"/>
        <w:ind w:firstLine="709"/>
        <w:jc w:val="both"/>
        <w:rPr>
          <w:i/>
        </w:rPr>
      </w:pPr>
    </w:p>
    <w:p w14:paraId="6E214FFE" w14:textId="77777777" w:rsidR="00393690" w:rsidRDefault="00393690" w:rsidP="00393690">
      <w:pPr>
        <w:widowControl w:val="0"/>
        <w:ind w:firstLine="567"/>
        <w:rPr>
          <w:b/>
          <w:bCs/>
        </w:rPr>
      </w:pPr>
      <w:r w:rsidRPr="00473D7B">
        <w:rPr>
          <w:b/>
          <w:bCs/>
        </w:rPr>
        <w:t>Mūsų siūloma ekonominio naudingumo vertinimo kriterijaus reikšmė:</w:t>
      </w:r>
    </w:p>
    <w:tbl>
      <w:tblPr>
        <w:tblW w:w="9619" w:type="dxa"/>
        <w:tblInd w:w="10" w:type="dxa"/>
        <w:tblLayout w:type="fixed"/>
        <w:tblCellMar>
          <w:left w:w="10" w:type="dxa"/>
          <w:right w:w="10" w:type="dxa"/>
        </w:tblCellMar>
        <w:tblLook w:val="0000" w:firstRow="0" w:lastRow="0" w:firstColumn="0" w:lastColumn="0" w:noHBand="0" w:noVBand="0"/>
      </w:tblPr>
      <w:tblGrid>
        <w:gridCol w:w="597"/>
        <w:gridCol w:w="5479"/>
        <w:gridCol w:w="3543"/>
      </w:tblGrid>
      <w:tr w:rsidR="00393690" w:rsidRPr="00A07A40" w14:paraId="183C551B" w14:textId="77777777" w:rsidTr="006E24EC">
        <w:trPr>
          <w:trHeight w:val="475"/>
        </w:trPr>
        <w:tc>
          <w:tcPr>
            <w:tcW w:w="607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0F06A715" w14:textId="77777777" w:rsidR="00393690" w:rsidRPr="00A07A40" w:rsidRDefault="00393690" w:rsidP="006E24EC">
            <w:pPr>
              <w:pStyle w:val="Standard"/>
              <w:jc w:val="center"/>
              <w:rPr>
                <w:rFonts w:hint="eastAsia"/>
                <w:lang w:val="lt-LT"/>
              </w:rPr>
            </w:pPr>
            <w:r w:rsidRPr="00A07A40">
              <w:rPr>
                <w:rFonts w:ascii="Times New Roman" w:hAnsi="Times New Roman"/>
                <w:b/>
                <w:bCs/>
                <w:lang w:val="lt-LT"/>
              </w:rPr>
              <w:t>Vertinimo kriterijai</w:t>
            </w:r>
          </w:p>
        </w:tc>
        <w:tc>
          <w:tcPr>
            <w:tcW w:w="3543"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0D448203" w14:textId="77777777" w:rsidR="00393690" w:rsidRPr="002F4A5B" w:rsidRDefault="00393690" w:rsidP="006E24EC">
            <w:pPr>
              <w:pStyle w:val="Standard"/>
              <w:jc w:val="center"/>
              <w:rPr>
                <w:rFonts w:hint="eastAsia"/>
                <w:lang w:val="lt-LT"/>
              </w:rPr>
            </w:pPr>
            <w:r w:rsidRPr="002F4A5B">
              <w:rPr>
                <w:b/>
                <w:lang w:val="lt-LT"/>
              </w:rPr>
              <w:t>Siūloma kriterijaus reikšmė</w:t>
            </w:r>
          </w:p>
        </w:tc>
      </w:tr>
      <w:tr w:rsidR="00393690" w:rsidRPr="00A07A40" w14:paraId="529BDA8F" w14:textId="77777777" w:rsidTr="006E24EC">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D99A022" w14:textId="77777777" w:rsidR="00393690" w:rsidRPr="00A07A40" w:rsidRDefault="00393690" w:rsidP="006E24EC">
            <w:pPr>
              <w:pStyle w:val="Standard"/>
              <w:rPr>
                <w:rFonts w:ascii="Times New Roman" w:hAnsi="Times New Roman"/>
                <w:lang w:val="lt-LT"/>
              </w:rPr>
            </w:pPr>
            <w:r w:rsidRPr="00A07A40">
              <w:rPr>
                <w:rFonts w:ascii="Times New Roman" w:hAnsi="Times New Roman"/>
                <w:lang w:val="lt-LT"/>
              </w:rPr>
              <w:t>1.</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65B37768" w14:textId="2DBD9EF5" w:rsidR="00393690" w:rsidRPr="00A07A40" w:rsidRDefault="00393690" w:rsidP="006E24EC">
            <w:pPr>
              <w:pStyle w:val="Standard"/>
              <w:rPr>
                <w:rFonts w:ascii="Times New Roman" w:hAnsi="Times New Roman"/>
                <w:lang w:val="lt-LT"/>
              </w:rPr>
            </w:pPr>
            <w:r>
              <w:rPr>
                <w:rFonts w:ascii="Times New Roman" w:hAnsi="Times New Roman"/>
                <w:bCs/>
                <w:lang w:val="lt-LT"/>
              </w:rPr>
              <w:t>Galimybė su prietaisu atlikti šalčio terapija</w:t>
            </w:r>
            <w:r w:rsidRPr="00A07A40">
              <w:rPr>
                <w:rFonts w:ascii="Times New Roman" w:hAnsi="Times New Roman"/>
                <w:lang w:val="lt-LT"/>
              </w:rPr>
              <w:t xml:space="preserve"> </w:t>
            </w: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0F8C49F" w14:textId="77777777" w:rsidR="00393690" w:rsidRPr="002F4A5B" w:rsidRDefault="00393690" w:rsidP="006E24EC">
            <w:pPr>
              <w:pStyle w:val="Standard"/>
              <w:jc w:val="center"/>
              <w:rPr>
                <w:rFonts w:ascii="Times New Roman" w:hAnsi="Times New Roman"/>
                <w:lang w:val="lt-LT"/>
              </w:rPr>
            </w:pPr>
            <w:r w:rsidRPr="002F4A5B">
              <w:rPr>
                <w:rFonts w:ascii="Times New Roman" w:hAnsi="Times New Roman"/>
                <w:lang w:val="lt-LT"/>
              </w:rPr>
              <w:t xml:space="preserve">Statinis: </w:t>
            </w:r>
            <w:r w:rsidRPr="00393690">
              <w:rPr>
                <w:rFonts w:ascii="Times New Roman" w:hAnsi="Times New Roman"/>
                <w:color w:val="0070C0"/>
                <w:lang w:val="lt-LT"/>
              </w:rPr>
              <w:t>(taip/ne)</w:t>
            </w:r>
            <w:r w:rsidRPr="00393690">
              <w:rPr>
                <w:rFonts w:ascii="Times New Roman" w:hAnsi="Times New Roman"/>
                <w:color w:val="0070C0"/>
                <w:lang w:val="lt-LT"/>
              </w:rPr>
              <w:br/>
            </w:r>
            <w:r w:rsidRPr="00393690">
              <w:rPr>
                <w:rFonts w:ascii="Times New Roman" w:hAnsi="Times New Roman"/>
                <w:i/>
                <w:iCs/>
                <w:color w:val="0070C0"/>
                <w:lang w:val="lt-LT"/>
              </w:rPr>
              <w:t>Palikti tinkamą ir nurodyti dokumentą</w:t>
            </w:r>
            <w:r w:rsidRPr="00393690">
              <w:rPr>
                <w:i/>
                <w:iCs/>
                <w:color w:val="0070C0"/>
                <w:lang w:val="lt-LT"/>
              </w:rPr>
              <w:t>/ nuorodą</w:t>
            </w:r>
            <w:r w:rsidRPr="00393690">
              <w:rPr>
                <w:rFonts w:ascii="Times New Roman" w:hAnsi="Times New Roman"/>
                <w:i/>
                <w:iCs/>
                <w:color w:val="0070C0"/>
                <w:lang w:val="lt-LT"/>
              </w:rPr>
              <w:t>, puslapį, kuriame matosi reikalaujamas kriterijus</w:t>
            </w:r>
          </w:p>
        </w:tc>
      </w:tr>
      <w:tr w:rsidR="00393690" w:rsidRPr="00A07A40" w14:paraId="4A8D5EBD" w14:textId="77777777" w:rsidTr="006E24EC">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01C6EC6" w14:textId="77777777" w:rsidR="00393690" w:rsidRPr="00A07A40" w:rsidRDefault="00393690" w:rsidP="006E24EC">
            <w:pPr>
              <w:pStyle w:val="Standard"/>
              <w:rPr>
                <w:rFonts w:ascii="Times New Roman" w:hAnsi="Times New Roman"/>
                <w:lang w:val="lt-LT"/>
              </w:rPr>
            </w:pPr>
            <w:r w:rsidRPr="00A07A40">
              <w:rPr>
                <w:rFonts w:ascii="Times New Roman" w:hAnsi="Times New Roman"/>
                <w:lang w:val="lt-LT"/>
              </w:rPr>
              <w:t>2.</w:t>
            </w:r>
          </w:p>
        </w:tc>
        <w:tc>
          <w:tcPr>
            <w:tcW w:w="547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DD27F11" w14:textId="0279A6E4" w:rsidR="00393690" w:rsidRPr="00A07A40" w:rsidRDefault="00393690" w:rsidP="006E24EC">
            <w:pPr>
              <w:pStyle w:val="Standard"/>
              <w:rPr>
                <w:rFonts w:hint="eastAsia"/>
                <w:lang w:val="lt-LT"/>
              </w:rPr>
            </w:pPr>
            <w:r>
              <w:rPr>
                <w:rFonts w:ascii="Times New Roman" w:hAnsi="Times New Roman"/>
                <w:lang w:val="lt-LT"/>
              </w:rPr>
              <w:t>Galimybė su prietaisu atlikti šilumos terapija</w:t>
            </w:r>
          </w:p>
        </w:tc>
        <w:tc>
          <w:tcPr>
            <w:tcW w:w="3543"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F61808D" w14:textId="77777777" w:rsidR="00393690" w:rsidRPr="002F4A5B" w:rsidRDefault="00393690" w:rsidP="006E24EC">
            <w:pPr>
              <w:pStyle w:val="Standard"/>
              <w:jc w:val="center"/>
              <w:rPr>
                <w:rFonts w:ascii="Times New Roman" w:hAnsi="Times New Roman"/>
                <w:lang w:val="lt-LT"/>
              </w:rPr>
            </w:pPr>
            <w:r w:rsidRPr="002F4A5B">
              <w:rPr>
                <w:rFonts w:ascii="Times New Roman" w:hAnsi="Times New Roman"/>
                <w:lang w:val="lt-LT"/>
              </w:rPr>
              <w:t xml:space="preserve">Statinis: </w:t>
            </w:r>
            <w:r w:rsidRPr="00393690">
              <w:rPr>
                <w:rFonts w:ascii="Times New Roman" w:hAnsi="Times New Roman"/>
                <w:color w:val="0070C0"/>
                <w:lang w:val="lt-LT"/>
              </w:rPr>
              <w:t>(taip/ne)</w:t>
            </w:r>
            <w:r w:rsidRPr="00393690">
              <w:rPr>
                <w:rFonts w:ascii="Times New Roman" w:hAnsi="Times New Roman"/>
                <w:color w:val="0070C0"/>
                <w:lang w:val="lt-LT"/>
              </w:rPr>
              <w:br/>
            </w:r>
            <w:r w:rsidRPr="00393690">
              <w:rPr>
                <w:rFonts w:ascii="Times New Roman" w:hAnsi="Times New Roman"/>
                <w:i/>
                <w:iCs/>
                <w:color w:val="0070C0"/>
                <w:lang w:val="lt-LT"/>
              </w:rPr>
              <w:t>Palikti tinkamą ir nurodyti dokumentą</w:t>
            </w:r>
            <w:r w:rsidRPr="00393690">
              <w:rPr>
                <w:i/>
                <w:iCs/>
                <w:color w:val="0070C0"/>
                <w:lang w:val="lt-LT"/>
              </w:rPr>
              <w:t>/ nuorodą</w:t>
            </w:r>
            <w:r w:rsidRPr="00393690">
              <w:rPr>
                <w:rFonts w:ascii="Times New Roman" w:hAnsi="Times New Roman"/>
                <w:i/>
                <w:iCs/>
                <w:color w:val="0070C0"/>
                <w:lang w:val="lt-LT"/>
              </w:rPr>
              <w:t>, puslapį, kuriame matosi reikalaujamas kriterijus</w:t>
            </w:r>
          </w:p>
        </w:tc>
      </w:tr>
    </w:tbl>
    <w:p w14:paraId="7607CEFC" w14:textId="77777777" w:rsidR="00393690" w:rsidRPr="00D50E67" w:rsidRDefault="00393690" w:rsidP="00393690">
      <w:pPr>
        <w:tabs>
          <w:tab w:val="left" w:pos="851"/>
          <w:tab w:val="left" w:pos="1647"/>
          <w:tab w:val="left" w:pos="2007"/>
        </w:tabs>
        <w:ind w:firstLine="851"/>
        <w:jc w:val="both"/>
      </w:pPr>
      <w:r w:rsidRPr="00D50E67">
        <w:rPr>
          <w:i/>
          <w:iCs/>
        </w:rPr>
        <w:t>Pastabos.</w:t>
      </w:r>
      <w:r w:rsidRPr="00D50E67">
        <w:rPr>
          <w:b/>
          <w:bCs/>
        </w:rPr>
        <w:t xml:space="preserve"> Kokybei taikomos balų skyrimo taisyklės:</w:t>
      </w:r>
    </w:p>
    <w:p w14:paraId="249C806D" w14:textId="26497F09" w:rsidR="00393690" w:rsidRPr="00A07A40" w:rsidRDefault="00393690" w:rsidP="00393690">
      <w:pPr>
        <w:pStyle w:val="Standard"/>
        <w:ind w:firstLine="851"/>
        <w:jc w:val="both"/>
        <w:rPr>
          <w:rFonts w:ascii="Times New Roman" w:hAnsi="Times New Roman"/>
          <w:lang w:val="lt-LT"/>
        </w:rPr>
      </w:pPr>
      <w:r w:rsidRPr="00A07A40">
        <w:rPr>
          <w:rFonts w:ascii="Times New Roman" w:hAnsi="Times New Roman"/>
          <w:lang w:val="lt-LT"/>
        </w:rPr>
        <w:t>Siūlomo objekto kokybės kriterijai (</w:t>
      </w:r>
      <w:r>
        <w:rPr>
          <w:rFonts w:ascii="Times New Roman" w:hAnsi="Times New Roman"/>
          <w:lang w:val="lt-LT"/>
        </w:rPr>
        <w:t>T</w:t>
      </w:r>
      <w:r w:rsidRPr="00A07A40">
        <w:rPr>
          <w:rFonts w:ascii="Times New Roman" w:hAnsi="Times New Roman"/>
          <w:lang w:val="lt-LT"/>
        </w:rPr>
        <w:t>) aprašomi statiniu vertinimo būdu ir neturi skaitinių išraiškų (atitinka arba neatitinka), todėl kokybės kriterijaus įvertinimas apskaičiuojamas pagal tokią metodiką:</w:t>
      </w:r>
    </w:p>
    <w:p w14:paraId="22F79836" w14:textId="4EBDD391" w:rsidR="00393690" w:rsidRPr="00A07A40" w:rsidRDefault="00393690" w:rsidP="00393690">
      <w:pPr>
        <w:pStyle w:val="Standard"/>
        <w:ind w:firstLine="851"/>
        <w:jc w:val="both"/>
        <w:rPr>
          <w:rFonts w:ascii="Times New Roman" w:hAnsi="Times New Roman"/>
          <w:lang w:val="lt-LT"/>
        </w:rPr>
      </w:pPr>
      <w:r w:rsidRPr="00A07A40">
        <w:rPr>
          <w:rFonts w:ascii="Times New Roman" w:hAnsi="Times New Roman"/>
          <w:lang w:val="lt-LT"/>
        </w:rPr>
        <w:t>a) jei siūlomas objektas turi nurodytą kokybinį pranašumą, gauna pranašumui</w:t>
      </w:r>
      <w:r w:rsidR="00A759AA">
        <w:rPr>
          <w:rFonts w:ascii="Times New Roman" w:hAnsi="Times New Roman"/>
          <w:lang w:val="lt-LT"/>
        </w:rPr>
        <w:t xml:space="preserve"> specialiųjų</w:t>
      </w:r>
      <w:r w:rsidRPr="00A07A40">
        <w:rPr>
          <w:rFonts w:ascii="Times New Roman" w:hAnsi="Times New Roman"/>
          <w:lang w:val="lt-LT"/>
        </w:rPr>
        <w:t xml:space="preserve"> </w:t>
      </w:r>
      <w:r>
        <w:rPr>
          <w:rFonts w:ascii="Times New Roman" w:hAnsi="Times New Roman"/>
          <w:lang w:val="lt-LT"/>
        </w:rPr>
        <w:t>pirkimo sąlygų</w:t>
      </w:r>
      <w:r w:rsidR="00A759AA">
        <w:rPr>
          <w:rFonts w:ascii="Times New Roman" w:hAnsi="Times New Roman"/>
          <w:lang w:val="lt-LT"/>
        </w:rPr>
        <w:t xml:space="preserve"> </w:t>
      </w:r>
      <w:r>
        <w:rPr>
          <w:rFonts w:ascii="Times New Roman" w:hAnsi="Times New Roman"/>
          <w:lang w:val="lt-LT"/>
        </w:rPr>
        <w:t xml:space="preserve"> 6 priedo lentelėje </w:t>
      </w:r>
      <w:r w:rsidRPr="00A07A40">
        <w:rPr>
          <w:rFonts w:ascii="Times New Roman" w:hAnsi="Times New Roman"/>
          <w:lang w:val="lt-LT"/>
        </w:rPr>
        <w:t>numatytą balų skaičių;</w:t>
      </w:r>
    </w:p>
    <w:p w14:paraId="0F971574" w14:textId="77777777" w:rsidR="00393690" w:rsidRPr="00A07A40" w:rsidRDefault="00393690" w:rsidP="00393690">
      <w:pPr>
        <w:pStyle w:val="Standard"/>
        <w:ind w:firstLine="851"/>
        <w:rPr>
          <w:rFonts w:hint="eastAsia"/>
          <w:lang w:val="lt-LT"/>
        </w:rPr>
      </w:pPr>
      <w:r w:rsidRPr="00A07A40">
        <w:rPr>
          <w:rFonts w:ascii="Times New Roman" w:hAnsi="Times New Roman"/>
          <w:lang w:val="lt-LT"/>
        </w:rPr>
        <w:t>b) jei siūlomas objektas neturi nurodyto kokybinio pranašumo, gauna nulį balų.</w:t>
      </w:r>
    </w:p>
    <w:p w14:paraId="4EDAFAA7" w14:textId="77777777" w:rsidR="00011EC0" w:rsidRDefault="00011EC0" w:rsidP="00393690">
      <w:pPr>
        <w:widowControl w:val="0"/>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6AC711C7" w14:textId="77777777" w:rsidR="00C50647" w:rsidRDefault="00C50647" w:rsidP="00C50647">
      <w:pPr>
        <w:widowControl w:val="0"/>
        <w:ind w:firstLine="709"/>
        <w:jc w:val="both"/>
        <w:rPr>
          <w:b/>
        </w:rPr>
      </w:pPr>
      <w:r>
        <w:rPr>
          <w:b/>
        </w:rPr>
        <w:t>Pasiūlymas galioja 3 (tris) mėnesius nuo pasiūlymo pateikimo termino paskutinės dienos.</w:t>
      </w:r>
    </w:p>
    <w:p w14:paraId="58BDCB23" w14:textId="77777777" w:rsidR="00AC7E9B" w:rsidRDefault="00AC7E9B" w:rsidP="00717F2B">
      <w:pPr>
        <w:widowControl w:val="0"/>
        <w:ind w:firstLine="709"/>
        <w:jc w:val="both"/>
      </w:pPr>
      <w:r>
        <w:t xml:space="preserve">Pateikdami CVP IS priemonėmis pateiktą pasiūlymą, patvirtiname, kad dokumentų </w:t>
      </w:r>
      <w:r>
        <w:lastRenderedPageBreak/>
        <w:t>skaitmeninės kopijos ir elektroninėmis priemonėmis pateikti duomenys yra tikri.</w:t>
      </w:r>
    </w:p>
    <w:p w14:paraId="0426E81E" w14:textId="77777777" w:rsidR="00AC7E9B" w:rsidRDefault="00AC7E9B" w:rsidP="00717F2B">
      <w:pPr>
        <w:widowControl w:val="0"/>
        <w:ind w:firstLine="709"/>
        <w:jc w:val="both"/>
      </w:pPr>
    </w:p>
    <w:p w14:paraId="63A377AD" w14:textId="77777777" w:rsidR="00AC7E9B" w:rsidRDefault="00AC7E9B" w:rsidP="00717F2B">
      <w:pPr>
        <w:widowControl w:val="0"/>
        <w:ind w:firstLine="709"/>
        <w:jc w:val="both"/>
      </w:pPr>
      <w:r>
        <w:rPr>
          <w:b/>
          <w:iCs/>
        </w:rPr>
        <w:t xml:space="preserve">Perkančioji organizacija nereikalauja, kad </w:t>
      </w:r>
      <w:r>
        <w:rPr>
          <w:bCs/>
          <w:iCs/>
        </w:rPr>
        <w:t>pasiūlymas</w:t>
      </w:r>
      <w:r>
        <w:rPr>
          <w:bCs/>
        </w:rPr>
        <w:t xml:space="preserve"> (</w:t>
      </w:r>
      <w:r>
        <w:rPr>
          <w:bCs/>
          <w:iCs/>
        </w:rPr>
        <w:t>pagal šią formą)</w:t>
      </w:r>
      <w:r>
        <w:rPr>
          <w:b/>
          <w:iCs/>
        </w:rPr>
        <w:t xml:space="preserve"> </w:t>
      </w:r>
      <w:r>
        <w:rPr>
          <w:bCs/>
          <w:iCs/>
        </w:rPr>
        <w:t>būtų pasirašytas.</w:t>
      </w:r>
      <w:r>
        <w:rPr>
          <w:b/>
          <w:iCs/>
        </w:rPr>
        <w:t xml:space="preserve"> </w:t>
      </w:r>
      <w:r>
        <w:t>Tiekėjui pateikus pasirašytą pasiūlymą, jo pasirašymas nebus vertinamas.</w:t>
      </w:r>
    </w:p>
    <w:p w14:paraId="11330B35" w14:textId="77777777" w:rsidR="00AC7E9B" w:rsidRDefault="00AC7E9B" w:rsidP="00717F2B">
      <w:pPr>
        <w:jc w:val="both"/>
        <w:rPr>
          <w:b/>
          <w:color w:val="000000"/>
        </w:rPr>
      </w:pPr>
    </w:p>
    <w:p w14:paraId="6E419E2F" w14:textId="77777777" w:rsidR="00AC7E9B" w:rsidRDefault="00AC7E9B" w:rsidP="00717F2B">
      <w:pPr>
        <w:ind w:firstLine="709"/>
        <w:jc w:val="both"/>
      </w:pPr>
      <w:r>
        <w:rPr>
          <w:b/>
          <w:bCs/>
        </w:rPr>
        <w:t>Patvirtinu, kad Tiekėjui, jo pasitelkiamiems subteikėjams (jeigu pasitelkiami) nėra paskirta baudžiamojo poveikio priemonė – uždraudimas juridiniam asmeniui dalyvauti viešuosiuose pirkimuose.</w:t>
      </w: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E4347"/>
    <w:rsid w:val="0011217F"/>
    <w:rsid w:val="00130581"/>
    <w:rsid w:val="001D1CA1"/>
    <w:rsid w:val="00261ED3"/>
    <w:rsid w:val="00393690"/>
    <w:rsid w:val="007079B9"/>
    <w:rsid w:val="00717F2B"/>
    <w:rsid w:val="00997281"/>
    <w:rsid w:val="00A007D6"/>
    <w:rsid w:val="00A759AA"/>
    <w:rsid w:val="00AC7E9B"/>
    <w:rsid w:val="00C163D3"/>
    <w:rsid w:val="00C228A9"/>
    <w:rsid w:val="00C50647"/>
    <w:rsid w:val="00C50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paragraph" w:customStyle="1" w:styleId="Standard">
    <w:name w:val="Standard"/>
    <w:rsid w:val="00393690"/>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50470">
      <w:bodyDiv w:val="1"/>
      <w:marLeft w:val="0"/>
      <w:marRight w:val="0"/>
      <w:marTop w:val="0"/>
      <w:marBottom w:val="0"/>
      <w:divBdr>
        <w:top w:val="none" w:sz="0" w:space="0" w:color="auto"/>
        <w:left w:val="none" w:sz="0" w:space="0" w:color="auto"/>
        <w:bottom w:val="none" w:sz="0" w:space="0" w:color="auto"/>
        <w:right w:val="none" w:sz="0" w:space="0" w:color="auto"/>
      </w:divBdr>
    </w:div>
    <w:div w:id="592710276">
      <w:bodyDiv w:val="1"/>
      <w:marLeft w:val="0"/>
      <w:marRight w:val="0"/>
      <w:marTop w:val="0"/>
      <w:marBottom w:val="0"/>
      <w:divBdr>
        <w:top w:val="none" w:sz="0" w:space="0" w:color="auto"/>
        <w:left w:val="none" w:sz="0" w:space="0" w:color="auto"/>
        <w:bottom w:val="none" w:sz="0" w:space="0" w:color="auto"/>
        <w:right w:val="none" w:sz="0" w:space="0" w:color="auto"/>
      </w:divBdr>
    </w:div>
    <w:div w:id="143933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3084</Words>
  <Characters>1759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Gabija Viluckytė</cp:lastModifiedBy>
  <cp:revision>10</cp:revision>
  <dcterms:created xsi:type="dcterms:W3CDTF">2025-06-05T10:57:00Z</dcterms:created>
  <dcterms:modified xsi:type="dcterms:W3CDTF">2025-11-25T09:44:00Z</dcterms:modified>
</cp:coreProperties>
</file>