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30CCC" w14:textId="3F560C68" w:rsidR="0047078E" w:rsidRDefault="006844AD" w:rsidP="006844AD">
      <w:pPr>
        <w:ind w:firstLine="720"/>
        <w:rPr>
          <w:lang w:val="lt-LT"/>
        </w:rPr>
      </w:pPr>
      <w:r w:rsidRPr="006844AD">
        <w:t>Transporto priemonių telemetrinės kontrolės sistemos nuomos viešojo pirkimo komisija vykdydama mažos vertės skelbiamos apklausos būdu viešojo pirkimo „Transporto priemonių telemetrinės kontrolės sistemos nuoma“ procedūras (pirkimo Nr. CVP IS 5589850)</w:t>
      </w:r>
      <w:r>
        <w:t xml:space="preserve"> gavo tiek</w:t>
      </w:r>
      <w:r>
        <w:rPr>
          <w:lang w:val="lt-LT"/>
        </w:rPr>
        <w:t>ėjų paklausimus ir teikia atsakymus:</w:t>
      </w:r>
    </w:p>
    <w:tbl>
      <w:tblPr>
        <w:tblStyle w:val="TableGrid"/>
        <w:tblW w:w="0" w:type="auto"/>
        <w:tblLook w:val="04A0" w:firstRow="1" w:lastRow="0" w:firstColumn="1" w:lastColumn="0" w:noHBand="0" w:noVBand="1"/>
      </w:tblPr>
      <w:tblGrid>
        <w:gridCol w:w="988"/>
        <w:gridCol w:w="5245"/>
        <w:gridCol w:w="3117"/>
      </w:tblGrid>
      <w:tr w:rsidR="006844AD" w14:paraId="58D04A42" w14:textId="77777777" w:rsidTr="006844AD">
        <w:tc>
          <w:tcPr>
            <w:tcW w:w="988" w:type="dxa"/>
          </w:tcPr>
          <w:p w14:paraId="396E1ED7" w14:textId="704E9B62" w:rsidR="006844AD" w:rsidRDefault="006844AD" w:rsidP="006844AD">
            <w:pPr>
              <w:rPr>
                <w:lang w:val="lt-LT"/>
              </w:rPr>
            </w:pPr>
            <w:r>
              <w:rPr>
                <w:lang w:val="lt-LT"/>
              </w:rPr>
              <w:t xml:space="preserve">Eil.Nr. </w:t>
            </w:r>
          </w:p>
        </w:tc>
        <w:tc>
          <w:tcPr>
            <w:tcW w:w="5245" w:type="dxa"/>
          </w:tcPr>
          <w:p w14:paraId="50A1FE8A" w14:textId="5721F9BE" w:rsidR="006844AD" w:rsidRDefault="006844AD" w:rsidP="006844AD">
            <w:pPr>
              <w:rPr>
                <w:lang w:val="lt-LT"/>
              </w:rPr>
            </w:pPr>
            <w:r>
              <w:rPr>
                <w:lang w:val="lt-LT"/>
              </w:rPr>
              <w:t>Tiekėjo paklausimas/prašymas</w:t>
            </w:r>
          </w:p>
        </w:tc>
        <w:tc>
          <w:tcPr>
            <w:tcW w:w="3117" w:type="dxa"/>
          </w:tcPr>
          <w:p w14:paraId="71AEC534" w14:textId="32B11491" w:rsidR="006844AD" w:rsidRDefault="006844AD" w:rsidP="006844AD">
            <w:pPr>
              <w:rPr>
                <w:lang w:val="lt-LT"/>
              </w:rPr>
            </w:pPr>
            <w:r>
              <w:rPr>
                <w:lang w:val="lt-LT"/>
              </w:rPr>
              <w:t>Sprendimas/atsakymas</w:t>
            </w:r>
          </w:p>
        </w:tc>
      </w:tr>
      <w:tr w:rsidR="006844AD" w14:paraId="20413CAD" w14:textId="77777777" w:rsidTr="006844AD">
        <w:tc>
          <w:tcPr>
            <w:tcW w:w="988" w:type="dxa"/>
          </w:tcPr>
          <w:p w14:paraId="49BDB53F" w14:textId="3584D676" w:rsidR="006844AD" w:rsidRPr="006844AD" w:rsidRDefault="006844AD" w:rsidP="006844AD">
            <w:pPr>
              <w:rPr>
                <w:lang w:val="lt-LT"/>
              </w:rPr>
            </w:pPr>
            <w:r>
              <w:rPr>
                <w:lang w:val="lt-LT"/>
              </w:rPr>
              <w:t>1.</w:t>
            </w:r>
          </w:p>
        </w:tc>
        <w:tc>
          <w:tcPr>
            <w:tcW w:w="5245" w:type="dxa"/>
          </w:tcPr>
          <w:p w14:paraId="7D9CD5B6" w14:textId="77777777" w:rsidR="006844AD" w:rsidRPr="006844AD" w:rsidRDefault="006844AD" w:rsidP="006844AD">
            <w:pPr>
              <w:rPr>
                <w:lang w:val="lt-LT"/>
              </w:rPr>
            </w:pPr>
            <w:r w:rsidRPr="006844AD">
              <w:rPr>
                <w:lang w:val="lt-LT"/>
              </w:rPr>
              <w:t>Atsižvelgdami į Jūsų vykdomą viešąjį pirkimą dėl automobilių telemetrijos sprendimo įsigijimo ir techninėje specifikacijoje keliamą reikalavimą, kad vartotojams būtų sudaryta galimybė prisijungti prie sistemos ne tik naudojant slaptažodį, bet ir per Smart-ID bei asmens tapatybės kortelę, (Techninė specifikacija punktas “13. Prieiga kvalifikuotu el.parašu” ) norime atkreipti dėmesį į tam tikrus teisinius ir techninius saugumo aspektus, su kuriais susijusi tokio reikalavimo atsakomybė.</w:t>
            </w:r>
          </w:p>
          <w:p w14:paraId="1E4D66F9" w14:textId="77777777" w:rsidR="006844AD" w:rsidRPr="006844AD" w:rsidRDefault="006844AD" w:rsidP="006844AD">
            <w:r w:rsidRPr="006844AD">
              <w:rPr>
                <w:lang w:val="lt-LT"/>
              </w:rPr>
              <w:t>Telemetrijos sprendimai, ypač surenkantys ir apdorojantys vairuotojų identifikacinius, buvimo vietos, maršrutų bei darbo laiko duomenis, yra priskiriami aukštos rizikos informacinėms sistemoms. Prisijungimo per Smart-ID ar asmens tapatybės kortelę mechanizmai suteikia galimybę tiesiogiai identifikuoti fizinį asmenį,</w:t>
            </w:r>
            <w:r>
              <w:rPr>
                <w:lang w:val="lt-LT"/>
              </w:rPr>
              <w:t xml:space="preserve"> </w:t>
            </w:r>
          </w:p>
          <w:p w14:paraId="1A742A10" w14:textId="77777777" w:rsidR="006844AD" w:rsidRPr="006844AD" w:rsidRDefault="006844AD" w:rsidP="006844AD">
            <w:r w:rsidRPr="006844AD">
              <w:t xml:space="preserve"> todėl: </w:t>
            </w:r>
          </w:p>
          <w:p w14:paraId="757E65DA" w14:textId="77777777" w:rsidR="006844AD" w:rsidRPr="006844AD" w:rsidRDefault="006844AD" w:rsidP="006844AD">
            <w:pPr>
              <w:numPr>
                <w:ilvl w:val="0"/>
                <w:numId w:val="2"/>
              </w:numPr>
            </w:pPr>
            <w:r w:rsidRPr="006844AD">
              <w:t xml:space="preserve">Padidėja asmens duomenų nutekėjimo rizika, jei tiekėjas nėra įdiegęs tinkamų organizacinių ir techninių saugumo priemonių, numatytų Bendrojo duomenų apsaugos reglamento (BDAR) 32 straipsnyje. </w:t>
            </w:r>
          </w:p>
          <w:p w14:paraId="0D164553" w14:textId="77777777" w:rsidR="006844AD" w:rsidRPr="006844AD" w:rsidRDefault="006844AD" w:rsidP="006844AD">
            <w:pPr>
              <w:numPr>
                <w:ilvl w:val="0"/>
                <w:numId w:val="2"/>
              </w:numPr>
            </w:pPr>
            <w:r w:rsidRPr="006844AD">
              <w:t xml:space="preserve">Tokie prisijungimo būdai reikalauja aukšto paslaugos saugumo lygio, kuris turi būti pagrįstas: </w:t>
            </w:r>
          </w:p>
          <w:p w14:paraId="2A6E2EA3" w14:textId="77777777" w:rsidR="006844AD" w:rsidRPr="006844AD" w:rsidRDefault="006844AD" w:rsidP="006844AD">
            <w:pPr>
              <w:numPr>
                <w:ilvl w:val="0"/>
                <w:numId w:val="2"/>
              </w:numPr>
            </w:pPr>
            <w:r w:rsidRPr="006844AD">
              <w:t xml:space="preserve">Informacijos saugumo valdymo sertifikatais (pvz., ISO/IEC 27001), </w:t>
            </w:r>
          </w:p>
          <w:p w14:paraId="5FFFE081" w14:textId="77777777" w:rsidR="006844AD" w:rsidRPr="006844AD" w:rsidRDefault="006844AD" w:rsidP="006844AD">
            <w:pPr>
              <w:numPr>
                <w:ilvl w:val="0"/>
                <w:numId w:val="2"/>
              </w:numPr>
            </w:pPr>
            <w:r w:rsidRPr="006844AD">
              <w:t xml:space="preserve">Duomenų tvarkytojo gebėjimu užtikrinti identiteto valdymo bei šifravimo procesų kontrolę, </w:t>
            </w:r>
          </w:p>
          <w:p w14:paraId="7654A507" w14:textId="77777777" w:rsidR="006844AD" w:rsidRPr="006844AD" w:rsidRDefault="006844AD" w:rsidP="006844AD">
            <w:pPr>
              <w:numPr>
                <w:ilvl w:val="0"/>
                <w:numId w:val="2"/>
              </w:numPr>
            </w:pPr>
            <w:r w:rsidRPr="006844AD">
              <w:t xml:space="preserve">Sertifikuotais prieigos valdymo sprendimais, naudojamais valstybės lygio sistemoms. </w:t>
            </w:r>
          </w:p>
          <w:p w14:paraId="0DDF019D" w14:textId="284BFA86" w:rsidR="006844AD" w:rsidRDefault="006844AD" w:rsidP="006844AD">
            <w:pPr>
              <w:rPr>
                <w:lang w:val="lt-LT"/>
              </w:rPr>
            </w:pPr>
          </w:p>
        </w:tc>
        <w:tc>
          <w:tcPr>
            <w:tcW w:w="3117" w:type="dxa"/>
          </w:tcPr>
          <w:p w14:paraId="3F4DA1B4" w14:textId="6B22F567" w:rsidR="006844AD" w:rsidRDefault="006844AD" w:rsidP="006844AD">
            <w:pPr>
              <w:rPr>
                <w:lang w:val="lt-LT"/>
              </w:rPr>
            </w:pPr>
            <w:r>
              <w:rPr>
                <w:lang w:val="lt-LT"/>
              </w:rPr>
              <w:t>Pakeistas techninės specifikacijos 13 punktas (žiūrėti techninės specifikacijos versiją Nr. 2)</w:t>
            </w:r>
          </w:p>
        </w:tc>
      </w:tr>
      <w:tr w:rsidR="006844AD" w14:paraId="27D30F90" w14:textId="77777777" w:rsidTr="006844AD">
        <w:tc>
          <w:tcPr>
            <w:tcW w:w="988" w:type="dxa"/>
          </w:tcPr>
          <w:p w14:paraId="01C17ADD" w14:textId="242ACF26" w:rsidR="006844AD" w:rsidRDefault="006844AD" w:rsidP="006844AD">
            <w:pPr>
              <w:rPr>
                <w:lang w:val="lt-LT"/>
              </w:rPr>
            </w:pPr>
            <w:r>
              <w:rPr>
                <w:lang w:val="lt-LT"/>
              </w:rPr>
              <w:t>2.</w:t>
            </w:r>
          </w:p>
        </w:tc>
        <w:tc>
          <w:tcPr>
            <w:tcW w:w="5245" w:type="dxa"/>
          </w:tcPr>
          <w:p w14:paraId="12A13635" w14:textId="77777777" w:rsidR="006844AD" w:rsidRPr="006844AD" w:rsidRDefault="006844AD" w:rsidP="006844AD">
            <w:pPr>
              <w:rPr>
                <w:lang w:val="lt-LT"/>
              </w:rPr>
            </w:pPr>
            <w:r w:rsidRPr="006844AD">
              <w:rPr>
                <w:lang w:val="lt-LT"/>
              </w:rPr>
              <w:t>norime jums pranešti apie pastebėtus trūkumus pasiūlymo nuomos paslaugos kainos apskaičiavimo</w:t>
            </w:r>
          </w:p>
          <w:p w14:paraId="58F450F1" w14:textId="4E2874FA" w:rsidR="006844AD" w:rsidRPr="006844AD" w:rsidRDefault="006844AD" w:rsidP="006844AD">
            <w:pPr>
              <w:rPr>
                <w:lang w:val="lt-LT"/>
              </w:rPr>
            </w:pPr>
            <w:r w:rsidRPr="006844AD">
              <w:rPr>
                <w:lang w:val="lt-LT"/>
              </w:rPr>
              <w:t>lentelėje. Pagal pateiktą formulę pasiūlymo lentelėje (žiūrėti į prisegtą paveikslėlį) pirmos eilutės penkto</w:t>
            </w:r>
            <w:r>
              <w:rPr>
                <w:lang w:val="lt-LT"/>
              </w:rPr>
              <w:t xml:space="preserve"> </w:t>
            </w:r>
            <w:r w:rsidRPr="006844AD">
              <w:rPr>
                <w:lang w:val="lt-LT"/>
              </w:rPr>
              <w:t xml:space="preserve">stulpelio rezultatas gaunamas „60“ </w:t>
            </w:r>
            <w:r w:rsidRPr="006844AD">
              <w:rPr>
                <w:lang w:val="lt-LT"/>
              </w:rPr>
              <w:lastRenderedPageBreak/>
              <w:t>mėnesių kiekį (trečias stulpelis) padauginus iš vieno automobilio</w:t>
            </w:r>
            <w:r>
              <w:rPr>
                <w:lang w:val="lt-LT"/>
              </w:rPr>
              <w:t xml:space="preserve"> </w:t>
            </w:r>
            <w:r w:rsidRPr="006844AD">
              <w:rPr>
                <w:lang w:val="lt-LT"/>
              </w:rPr>
              <w:t>vieno mėnesio įkainio (ketvirtas stulpelis), bet tai yra tik vieno automobilio viso laikotarpio kaina. Kad</w:t>
            </w:r>
            <w:r>
              <w:rPr>
                <w:lang w:val="lt-LT"/>
              </w:rPr>
              <w:t xml:space="preserve"> </w:t>
            </w:r>
            <w:r w:rsidRPr="006844AD">
              <w:rPr>
                <w:lang w:val="lt-LT"/>
              </w:rPr>
              <w:t>įvertinti visą apimtį, reikia dar dauginti iš preliminaraus 63-jų automobilių kiekio, bet pasiūlymo formulėje</w:t>
            </w:r>
            <w:r>
              <w:rPr>
                <w:lang w:val="lt-LT"/>
              </w:rPr>
              <w:t xml:space="preserve"> </w:t>
            </w:r>
            <w:r w:rsidRPr="006844AD">
              <w:rPr>
                <w:lang w:val="lt-LT"/>
              </w:rPr>
              <w:t>to nėra įvardinta.</w:t>
            </w:r>
          </w:p>
          <w:p w14:paraId="2FD21AB9" w14:textId="77777777" w:rsidR="006844AD" w:rsidRPr="006844AD" w:rsidRDefault="006844AD" w:rsidP="006844AD">
            <w:pPr>
              <w:rPr>
                <w:lang w:val="lt-LT"/>
              </w:rPr>
            </w:pPr>
            <w:r w:rsidRPr="006844AD">
              <w:rPr>
                <w:lang w:val="lt-LT"/>
              </w:rPr>
              <w:t>Kokios čia gali būti labai blogos pasekmės: tiekėjas gali įrašyti labai didelę nuomos paslaugos kainą ir</w:t>
            </w:r>
          </w:p>
          <w:p w14:paraId="585EA08A" w14:textId="056002BA" w:rsidR="006844AD" w:rsidRPr="006844AD" w:rsidRDefault="006844AD" w:rsidP="006844AD">
            <w:pPr>
              <w:rPr>
                <w:lang w:val="lt-LT"/>
              </w:rPr>
            </w:pPr>
            <w:r w:rsidRPr="006844AD">
              <w:rPr>
                <w:lang w:val="lt-LT"/>
              </w:rPr>
              <w:t>padaryti mažesnes montavimo kainas ir laimėti konkursą, bet rezultate jo bendra kaina 60-ties mėnesių</w:t>
            </w:r>
            <w:r>
              <w:rPr>
                <w:lang w:val="lt-LT"/>
              </w:rPr>
              <w:t xml:space="preserve"> </w:t>
            </w:r>
            <w:r w:rsidRPr="006844AD">
              <w:rPr>
                <w:lang w:val="lt-LT"/>
              </w:rPr>
              <w:t>kontekste bus labai didelė ir viršijanti pirkimo maksimalią sumą. Kaip čia reikia elgtis? Mano galva penkto</w:t>
            </w:r>
            <w:r>
              <w:rPr>
                <w:lang w:val="lt-LT"/>
              </w:rPr>
              <w:t xml:space="preserve"> </w:t>
            </w:r>
            <w:r w:rsidRPr="006844AD">
              <w:rPr>
                <w:lang w:val="lt-LT"/>
              </w:rPr>
              <w:t>stulpelio rezultato gavimo formulėje turi atsirasti daugiklis „63“, kad rezultatas atspindėtų viso kiekio viso</w:t>
            </w:r>
            <w:r>
              <w:rPr>
                <w:lang w:val="lt-LT"/>
              </w:rPr>
              <w:t xml:space="preserve"> </w:t>
            </w:r>
            <w:r w:rsidRPr="006844AD">
              <w:rPr>
                <w:lang w:val="lt-LT"/>
              </w:rPr>
              <w:t>laikotarpio paslaugos kainą.</w:t>
            </w:r>
          </w:p>
          <w:p w14:paraId="4141AA85" w14:textId="77777777" w:rsidR="006844AD" w:rsidRPr="006844AD" w:rsidRDefault="006844AD" w:rsidP="006844AD">
            <w:pPr>
              <w:rPr>
                <w:lang w:val="lt-LT"/>
              </w:rPr>
            </w:pPr>
            <w:r w:rsidRPr="006844AD">
              <w:rPr>
                <w:lang w:val="lt-LT"/>
              </w:rPr>
              <w:t>Prašome jūsų atlikti pakeitimus kainų lentelėje, kad pasiūlymo kaina atspindėtų visą pirkimo apimties</w:t>
            </w:r>
          </w:p>
          <w:p w14:paraId="522D810D" w14:textId="77777777" w:rsidR="006844AD" w:rsidRPr="006844AD" w:rsidRDefault="006844AD" w:rsidP="006844AD">
            <w:r w:rsidRPr="006844AD">
              <w:rPr>
                <w:lang w:val="lt-LT"/>
              </w:rPr>
              <w:t>kainą.</w:t>
            </w:r>
          </w:p>
          <w:p w14:paraId="36BCC30A" w14:textId="77777777" w:rsidR="006844AD" w:rsidRPr="006844AD" w:rsidRDefault="006844AD" w:rsidP="006844AD">
            <w:r w:rsidRPr="006844AD">
              <w:t xml:space="preserve">Perkančioji organizacija prisiima riziką, jei nepareikalauja įrodymų, kad tiekėjas turi tinkamą saugumo infrastruktūrą ir atitinka minėtus standartus. Tokiu atveju galimas tiek: </w:t>
            </w:r>
          </w:p>
          <w:p w14:paraId="02931F05" w14:textId="77777777" w:rsidR="006844AD" w:rsidRPr="006844AD" w:rsidRDefault="006844AD" w:rsidP="006844AD">
            <w:r w:rsidRPr="006844AD">
              <w:t xml:space="preserve">• asmens duomenų nutekėjimas, </w:t>
            </w:r>
          </w:p>
          <w:p w14:paraId="6119A1C3" w14:textId="77777777" w:rsidR="006844AD" w:rsidRPr="006844AD" w:rsidRDefault="006844AD" w:rsidP="006844AD">
            <w:r w:rsidRPr="006844AD">
              <w:t xml:space="preserve">• neteisėtas prieigos gavimas, </w:t>
            </w:r>
          </w:p>
          <w:p w14:paraId="2F5F905B" w14:textId="77777777" w:rsidR="006844AD" w:rsidRPr="006844AD" w:rsidRDefault="006844AD" w:rsidP="006844AD">
            <w:r w:rsidRPr="006844AD">
              <w:t xml:space="preserve">• reputacinė žala ir administracinės sankcijos viešajai įstaigai. </w:t>
            </w:r>
          </w:p>
          <w:p w14:paraId="0031CDBA" w14:textId="77777777" w:rsidR="006844AD" w:rsidRPr="006844AD" w:rsidRDefault="006844AD" w:rsidP="006844AD">
            <w:r w:rsidRPr="006844AD">
              <w:t xml:space="preserve">Atsižvelgiant į išdėstytą informaciją, siūlome patikslinti pirkimo techninę specifikaciją ir aiškiai nustatyti, reikalavimus pirkime dalyvaujančiam konkrečiam tiekėjui: </w:t>
            </w:r>
          </w:p>
          <w:p w14:paraId="11AE03CF" w14:textId="77777777" w:rsidR="006844AD" w:rsidRPr="006844AD" w:rsidRDefault="006844AD" w:rsidP="006844AD">
            <w:pPr>
              <w:numPr>
                <w:ilvl w:val="0"/>
                <w:numId w:val="3"/>
              </w:numPr>
            </w:pPr>
            <w:r w:rsidRPr="006844AD">
              <w:t xml:space="preserve">Siūlant prisijungimą Smart-ID ir asmens tapatybės kortele tiekėjas būti įsidiegęs ir privalo pateikti: </w:t>
            </w:r>
          </w:p>
          <w:p w14:paraId="5BD4C842" w14:textId="77777777" w:rsidR="006844AD" w:rsidRPr="006844AD" w:rsidRDefault="006844AD" w:rsidP="006844AD">
            <w:pPr>
              <w:pStyle w:val="ListParagraph"/>
              <w:numPr>
                <w:ilvl w:val="0"/>
                <w:numId w:val="5"/>
              </w:numPr>
            </w:pPr>
            <w:r w:rsidRPr="006844AD">
              <w:t xml:space="preserve">galiojančius informacijos saugumo sertifikatus (ISO/IEC 27001 ar lygiaverčius), </w:t>
            </w:r>
          </w:p>
          <w:p w14:paraId="0D136CB2" w14:textId="77777777" w:rsidR="006844AD" w:rsidRPr="006844AD" w:rsidRDefault="006844AD" w:rsidP="006844AD">
            <w:pPr>
              <w:pStyle w:val="ListParagraph"/>
              <w:numPr>
                <w:ilvl w:val="0"/>
                <w:numId w:val="5"/>
              </w:numPr>
            </w:pPr>
            <w:r w:rsidRPr="006844AD">
              <w:t xml:space="preserve">dokumentus, patvirtinančius, kad naudojami identiteto valdymo sprendimai atitinka valstybinių elektroninių paslaugų reikalavimus, </w:t>
            </w:r>
          </w:p>
          <w:p w14:paraId="3D3D90C0" w14:textId="77777777" w:rsidR="006844AD" w:rsidRPr="006844AD" w:rsidRDefault="006844AD" w:rsidP="006844AD">
            <w:pPr>
              <w:pStyle w:val="ListParagraph"/>
              <w:numPr>
                <w:ilvl w:val="0"/>
                <w:numId w:val="5"/>
              </w:numPr>
            </w:pPr>
            <w:r w:rsidRPr="006844AD">
              <w:t xml:space="preserve">rizikos vertinimą ir duomenų saugumo priemonių aprašą. </w:t>
            </w:r>
          </w:p>
          <w:p w14:paraId="7DE6F667" w14:textId="77777777" w:rsidR="006844AD" w:rsidRPr="006844AD" w:rsidRDefault="006844AD" w:rsidP="006844AD"/>
          <w:p w14:paraId="2087D9C3" w14:textId="57F19939" w:rsidR="006844AD" w:rsidRPr="006844AD" w:rsidRDefault="006844AD" w:rsidP="006844AD">
            <w:pPr>
              <w:pStyle w:val="ListParagraph"/>
              <w:numPr>
                <w:ilvl w:val="0"/>
                <w:numId w:val="6"/>
              </w:numPr>
            </w:pPr>
            <w:r w:rsidRPr="006844AD">
              <w:lastRenderedPageBreak/>
              <w:t xml:space="preserve">Perkančioji organizacija negali nustatyti reikalavimų, kurie gali būti įvykdyti tik vieno tiekėjo, nes tai ribotų konkurenciją ir prieštarautų viešųjų pirkimų principams. Reikalavimai turi užtikrinti konkurencinį tiekėjų pasirinkimą. Perkančioji organizacija turi Įsitikinti, kad rinkoje yra daugiau nei vienas tiekėjas siūlantis pirkimo sąlygose nurodomą paslaugą ar prekes. </w:t>
            </w:r>
          </w:p>
          <w:p w14:paraId="16B9C98F" w14:textId="77777777" w:rsidR="006844AD" w:rsidRPr="006844AD" w:rsidRDefault="006844AD" w:rsidP="006844AD"/>
          <w:p w14:paraId="769324BB" w14:textId="707643DF" w:rsidR="006844AD" w:rsidRDefault="006844AD" w:rsidP="006844AD">
            <w:pPr>
              <w:rPr>
                <w:lang w:val="lt-LT"/>
              </w:rPr>
            </w:pPr>
            <w:r w:rsidRPr="006844AD">
              <w:t>Tokie reikalavimai užtikrins, kad perkančioji organizacija pasirinks sprendimą, kuris nekelia papildomų teisinių rizikų, dirbtinai nevaržo konkurencijos ir atitinka BDAR bei nacionalinių teisės aktų nuostatas.</w:t>
            </w:r>
          </w:p>
        </w:tc>
        <w:tc>
          <w:tcPr>
            <w:tcW w:w="3117" w:type="dxa"/>
          </w:tcPr>
          <w:p w14:paraId="05F51FD6" w14:textId="32A2B287" w:rsidR="006844AD" w:rsidRDefault="006844AD" w:rsidP="006844AD">
            <w:pPr>
              <w:rPr>
                <w:lang w:val="lt-LT"/>
              </w:rPr>
            </w:pPr>
            <w:r>
              <w:rPr>
                <w:lang w:val="lt-LT"/>
              </w:rPr>
              <w:lastRenderedPageBreak/>
              <w:t>Prašymas tenkintas, pakeista pasiūlymo forma (žiūrėti specialiųjų pirkimo sąlygų Versiją Nr. 2)</w:t>
            </w:r>
          </w:p>
        </w:tc>
      </w:tr>
    </w:tbl>
    <w:p w14:paraId="61616FD0" w14:textId="77777777" w:rsidR="006844AD" w:rsidRDefault="006844AD" w:rsidP="006844AD">
      <w:pPr>
        <w:ind w:firstLine="720"/>
        <w:rPr>
          <w:lang w:val="lt-LT"/>
        </w:rPr>
      </w:pPr>
    </w:p>
    <w:p w14:paraId="62D97171" w14:textId="3C6C268C" w:rsidR="006844AD" w:rsidRDefault="006844AD" w:rsidP="00981D90">
      <w:pPr>
        <w:ind w:firstLine="720"/>
        <w:jc w:val="both"/>
        <w:rPr>
          <w:lang w:val="lt-LT"/>
        </w:rPr>
      </w:pPr>
      <w:r>
        <w:rPr>
          <w:lang w:val="lt-LT"/>
        </w:rPr>
        <w:t xml:space="preserve">Atsižvelgiant į tai, kad </w:t>
      </w:r>
      <w:r w:rsidR="00981D90">
        <w:rPr>
          <w:lang w:val="lt-LT"/>
        </w:rPr>
        <w:t xml:space="preserve">pirkimo dokumentuose </w:t>
      </w:r>
      <w:r>
        <w:rPr>
          <w:lang w:val="lt-LT"/>
        </w:rPr>
        <w:t>buvo atlikti pakeitimai tiek pagal pateikt</w:t>
      </w:r>
      <w:r w:rsidR="00981D90">
        <w:rPr>
          <w:lang w:val="lt-LT"/>
        </w:rPr>
        <w:t>us prašymus</w:t>
      </w:r>
      <w:r>
        <w:rPr>
          <w:lang w:val="lt-LT"/>
        </w:rPr>
        <w:t>, tiek pačios perkančiosios organizacijos iniciatyva, prašome tiekėjų naudotis aktualiomis doku</w:t>
      </w:r>
      <w:r w:rsidR="00981D90">
        <w:rPr>
          <w:lang w:val="lt-LT"/>
        </w:rPr>
        <w:t>mentų versijomis (Versija Nr. 2)</w:t>
      </w:r>
      <w:r w:rsidR="00E011F1">
        <w:rPr>
          <w:lang w:val="lt-LT"/>
        </w:rPr>
        <w:t>.</w:t>
      </w:r>
    </w:p>
    <w:p w14:paraId="1CA8584F" w14:textId="23F8794F" w:rsidR="00E011F1" w:rsidRDefault="00E011F1" w:rsidP="00981D90">
      <w:pPr>
        <w:ind w:firstLine="720"/>
        <w:jc w:val="both"/>
        <w:rPr>
          <w:lang w:val="lt-LT"/>
        </w:rPr>
      </w:pPr>
      <w:r>
        <w:rPr>
          <w:lang w:val="lt-LT"/>
        </w:rPr>
        <w:t>Pasiūlymų pateikimo terminas pratęsiamas iki 2025-12-11 10.00 val.</w:t>
      </w:r>
    </w:p>
    <w:p w14:paraId="6B604A9D" w14:textId="320EA4E2" w:rsidR="00D600E9" w:rsidRPr="006844AD" w:rsidRDefault="00D600E9" w:rsidP="00981D90">
      <w:pPr>
        <w:ind w:firstLine="720"/>
        <w:jc w:val="both"/>
        <w:rPr>
          <w:lang w:val="lt-LT"/>
        </w:rPr>
      </w:pPr>
      <w:r>
        <w:rPr>
          <w:lang w:val="lt-LT"/>
        </w:rPr>
        <w:t>Paklausimų terminas pratęsimas iki 2025-12-09 10.00 val.</w:t>
      </w:r>
    </w:p>
    <w:sectPr w:rsidR="00D600E9" w:rsidRPr="006844A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0747A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B577F1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CFD0F76"/>
    <w:multiLevelType w:val="hybridMultilevel"/>
    <w:tmpl w:val="8F6A4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2BBBD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4F87399A"/>
    <w:multiLevelType w:val="hybridMultilevel"/>
    <w:tmpl w:val="9C38BB9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4E3A0B"/>
    <w:multiLevelType w:val="hybridMultilevel"/>
    <w:tmpl w:val="2AEAB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7935242">
    <w:abstractNumId w:val="5"/>
  </w:num>
  <w:num w:numId="2" w16cid:durableId="1030256988">
    <w:abstractNumId w:val="0"/>
  </w:num>
  <w:num w:numId="3" w16cid:durableId="1521578791">
    <w:abstractNumId w:val="3"/>
  </w:num>
  <w:num w:numId="4" w16cid:durableId="1679770933">
    <w:abstractNumId w:val="1"/>
  </w:num>
  <w:num w:numId="5" w16cid:durableId="1941525900">
    <w:abstractNumId w:val="2"/>
  </w:num>
  <w:num w:numId="6" w16cid:durableId="19473512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4AD"/>
    <w:rsid w:val="0047078E"/>
    <w:rsid w:val="006844AD"/>
    <w:rsid w:val="008727A0"/>
    <w:rsid w:val="008E7E61"/>
    <w:rsid w:val="00981D90"/>
    <w:rsid w:val="00B34243"/>
    <w:rsid w:val="00B42483"/>
    <w:rsid w:val="00B53046"/>
    <w:rsid w:val="00B72EE3"/>
    <w:rsid w:val="00BA4519"/>
    <w:rsid w:val="00CA6923"/>
    <w:rsid w:val="00D600E9"/>
    <w:rsid w:val="00E011F1"/>
    <w:rsid w:val="00F76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1E3BD"/>
  <w15:chartTrackingRefBased/>
  <w15:docId w15:val="{D52BC634-D8E0-490E-BE94-DFDB93595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44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844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844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844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844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844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44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44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44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4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844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844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844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844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844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44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44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44AD"/>
    <w:rPr>
      <w:rFonts w:eastAsiaTheme="majorEastAsia" w:cstheme="majorBidi"/>
      <w:color w:val="272727" w:themeColor="text1" w:themeTint="D8"/>
    </w:rPr>
  </w:style>
  <w:style w:type="paragraph" w:styleId="Title">
    <w:name w:val="Title"/>
    <w:basedOn w:val="Normal"/>
    <w:next w:val="Normal"/>
    <w:link w:val="TitleChar"/>
    <w:uiPriority w:val="10"/>
    <w:qFormat/>
    <w:rsid w:val="006844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44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44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44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44AD"/>
    <w:pPr>
      <w:spacing w:before="160"/>
      <w:jc w:val="center"/>
    </w:pPr>
    <w:rPr>
      <w:i/>
      <w:iCs/>
      <w:color w:val="404040" w:themeColor="text1" w:themeTint="BF"/>
    </w:rPr>
  </w:style>
  <w:style w:type="character" w:customStyle="1" w:styleId="QuoteChar">
    <w:name w:val="Quote Char"/>
    <w:basedOn w:val="DefaultParagraphFont"/>
    <w:link w:val="Quote"/>
    <w:uiPriority w:val="29"/>
    <w:rsid w:val="006844AD"/>
    <w:rPr>
      <w:i/>
      <w:iCs/>
      <w:color w:val="404040" w:themeColor="text1" w:themeTint="BF"/>
    </w:rPr>
  </w:style>
  <w:style w:type="paragraph" w:styleId="ListParagraph">
    <w:name w:val="List Paragraph"/>
    <w:basedOn w:val="Normal"/>
    <w:uiPriority w:val="34"/>
    <w:qFormat/>
    <w:rsid w:val="006844AD"/>
    <w:pPr>
      <w:ind w:left="720"/>
      <w:contextualSpacing/>
    </w:pPr>
  </w:style>
  <w:style w:type="character" w:styleId="IntenseEmphasis">
    <w:name w:val="Intense Emphasis"/>
    <w:basedOn w:val="DefaultParagraphFont"/>
    <w:uiPriority w:val="21"/>
    <w:qFormat/>
    <w:rsid w:val="006844AD"/>
    <w:rPr>
      <w:i/>
      <w:iCs/>
      <w:color w:val="2F5496" w:themeColor="accent1" w:themeShade="BF"/>
    </w:rPr>
  </w:style>
  <w:style w:type="paragraph" w:styleId="IntenseQuote">
    <w:name w:val="Intense Quote"/>
    <w:basedOn w:val="Normal"/>
    <w:next w:val="Normal"/>
    <w:link w:val="IntenseQuoteChar"/>
    <w:uiPriority w:val="30"/>
    <w:qFormat/>
    <w:rsid w:val="006844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844AD"/>
    <w:rPr>
      <w:i/>
      <w:iCs/>
      <w:color w:val="2F5496" w:themeColor="accent1" w:themeShade="BF"/>
    </w:rPr>
  </w:style>
  <w:style w:type="character" w:styleId="IntenseReference">
    <w:name w:val="Intense Reference"/>
    <w:basedOn w:val="DefaultParagraphFont"/>
    <w:uiPriority w:val="32"/>
    <w:qFormat/>
    <w:rsid w:val="006844AD"/>
    <w:rPr>
      <w:b/>
      <w:bCs/>
      <w:smallCaps/>
      <w:color w:val="2F5496" w:themeColor="accent1" w:themeShade="BF"/>
      <w:spacing w:val="5"/>
    </w:rPr>
  </w:style>
  <w:style w:type="table" w:styleId="TableGrid">
    <w:name w:val="Table Grid"/>
    <w:basedOn w:val="TableNormal"/>
    <w:uiPriority w:val="39"/>
    <w:rsid w:val="006844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716</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Jovita Dilienė</dc:creator>
  <cp:keywords/>
  <dc:description/>
  <cp:lastModifiedBy>Jovita Dilienė</cp:lastModifiedBy>
  <cp:revision>3</cp:revision>
  <dcterms:created xsi:type="dcterms:W3CDTF">2025-12-04T06:53:00Z</dcterms:created>
  <dcterms:modified xsi:type="dcterms:W3CDTF">2025-12-04T07:13:00Z</dcterms:modified>
</cp:coreProperties>
</file>