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C00000"/>
        <w:tblLook w:val="04A0" w:firstRow="1" w:lastRow="0" w:firstColumn="1" w:lastColumn="0" w:noHBand="0" w:noVBand="1"/>
      </w:tblPr>
      <w:tblGrid>
        <w:gridCol w:w="10075"/>
      </w:tblGrid>
      <w:tr w:rsidR="003149B2" w:rsidRPr="002C549E" w14:paraId="08A90ED5" w14:textId="77777777" w:rsidTr="00291743">
        <w:tc>
          <w:tcPr>
            <w:tcW w:w="10075" w:type="dxa"/>
            <w:shd w:val="clear" w:color="auto" w:fill="C00000"/>
          </w:tcPr>
          <w:p w14:paraId="78845B22" w14:textId="77777777" w:rsidR="003149B2" w:rsidRPr="002C549E" w:rsidRDefault="003149B2" w:rsidP="00221D0F">
            <w:pPr>
              <w:spacing w:after="0" w:line="240" w:lineRule="auto"/>
              <w:rPr>
                <w:rFonts w:ascii="Calibri Light" w:hAnsi="Calibri Light" w:cs="Calibri Light"/>
                <w:b/>
                <w:color w:val="FFFFFF" w:themeColor="background1"/>
                <w:sz w:val="22"/>
              </w:rPr>
            </w:pPr>
            <w:r w:rsidRPr="002C549E">
              <w:rPr>
                <w:rFonts w:ascii="Calibri Light" w:hAnsi="Calibri Light" w:cs="Calibri Light"/>
                <w:color w:val="FFFFFF" w:themeColor="background1"/>
                <w:szCs w:val="24"/>
              </w:rPr>
              <w:t>VVTAT &gt; PIRKIMO DOKUMENTAI (PD) &gt; TECHNINĖ SPECIFIKACIJA (TS)</w:t>
            </w:r>
          </w:p>
        </w:tc>
      </w:tr>
    </w:tbl>
    <w:p w14:paraId="58AAAF02" w14:textId="77777777" w:rsidR="00735D34" w:rsidRPr="002C549E" w:rsidRDefault="00735D34" w:rsidP="00735D34">
      <w:pPr>
        <w:spacing w:after="0" w:line="120" w:lineRule="auto"/>
        <w:jc w:val="center"/>
        <w:rPr>
          <w:rFonts w:ascii="Calibri Light" w:hAnsi="Calibri Light" w:cs="Calibri Light"/>
          <w:szCs w:val="24"/>
        </w:rPr>
      </w:pPr>
    </w:p>
    <w:p w14:paraId="2708D152" w14:textId="77777777" w:rsidR="003149B2" w:rsidRPr="002C549E" w:rsidRDefault="003149B2" w:rsidP="00735D34">
      <w:pPr>
        <w:spacing w:after="0" w:line="120" w:lineRule="auto"/>
        <w:jc w:val="center"/>
        <w:rPr>
          <w:rFonts w:ascii="Calibri Light" w:hAnsi="Calibri Light" w:cs="Calibri Light"/>
          <w:szCs w:val="24"/>
        </w:rPr>
      </w:pPr>
    </w:p>
    <w:tbl>
      <w:tblPr>
        <w:tblW w:w="4941" w:type="pct"/>
        <w:tblCellMar>
          <w:left w:w="10" w:type="dxa"/>
          <w:right w:w="10" w:type="dxa"/>
        </w:tblCellMar>
        <w:tblLook w:val="0000" w:firstRow="0" w:lastRow="0" w:firstColumn="0" w:lastColumn="0" w:noHBand="0" w:noVBand="0"/>
      </w:tblPr>
      <w:tblGrid>
        <w:gridCol w:w="10075"/>
      </w:tblGrid>
      <w:tr w:rsidR="00735D34" w:rsidRPr="002C549E" w14:paraId="420E6C10" w14:textId="77777777" w:rsidTr="00291743">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1852F85B" w14:textId="77777777" w:rsidR="00735D34" w:rsidRPr="002C549E"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Theme="majorHAnsi" w:hAnsiTheme="majorHAnsi" w:cstheme="majorHAnsi"/>
                      <w:b/>
                      <w:sz w:val="22"/>
                    </w:rPr>
                    <w:alias w:val="Įrašomas pirkimo pavadinimas ir Nr."/>
                    <w:tag w:val="Įrašomas pirkimo pavadinimas ir Nr."/>
                    <w:id w:val="-1311480434"/>
                    <w:placeholder>
                      <w:docPart w:val="15C7A8614ABC443BABB1C9FF0C4382F7"/>
                    </w:placeholder>
                    <w:text/>
                  </w:sdtPr>
                  <w:sdtContent>
                    <w:r w:rsidR="00291743">
                      <w:rPr>
                        <w:rFonts w:asciiTheme="majorHAnsi" w:hAnsiTheme="majorHAnsi" w:cstheme="majorHAnsi"/>
                        <w:b/>
                        <w:sz w:val="22"/>
                      </w:rPr>
                      <w:t>Automobilių veiklos nuoma</w:t>
                    </w:r>
                  </w:sdtContent>
                </w:sdt>
              </w:sdtContent>
            </w:sdt>
          </w:p>
        </w:tc>
      </w:tr>
    </w:tbl>
    <w:p w14:paraId="3E5473B6" w14:textId="77777777" w:rsidR="00321874" w:rsidRPr="00F6777F" w:rsidRDefault="00321874" w:rsidP="00735D34">
      <w:pPr>
        <w:spacing w:before="60" w:after="60" w:line="240" w:lineRule="auto"/>
        <w:jc w:val="both"/>
        <w:rPr>
          <w:rFonts w:asciiTheme="majorHAnsi" w:hAnsiTheme="majorHAnsi" w:cstheme="majorHAnsi"/>
          <w:b/>
          <w:i/>
          <w:color w:val="FF0000"/>
          <w:sz w:val="22"/>
        </w:rPr>
      </w:pPr>
    </w:p>
    <w:tbl>
      <w:tblPr>
        <w:tblStyle w:val="Lentelstinklelis"/>
        <w:tblW w:w="0" w:type="auto"/>
        <w:tblLayout w:type="fixed"/>
        <w:tblLook w:val="04A0" w:firstRow="1" w:lastRow="0" w:firstColumn="1" w:lastColumn="0" w:noHBand="0" w:noVBand="1"/>
      </w:tblPr>
      <w:tblGrid>
        <w:gridCol w:w="2138"/>
        <w:gridCol w:w="7909"/>
      </w:tblGrid>
      <w:tr w:rsidR="00F6777F" w:rsidRPr="00F6777F" w14:paraId="00E51597" w14:textId="77777777" w:rsidTr="00F6777F">
        <w:trPr>
          <w:trHeight w:hRule="exact" w:val="294"/>
        </w:trPr>
        <w:tc>
          <w:tcPr>
            <w:tcW w:w="10047" w:type="dxa"/>
            <w:gridSpan w:val="2"/>
          </w:tcPr>
          <w:p w14:paraId="48E7D50C" w14:textId="77777777" w:rsidR="00F6777F" w:rsidRPr="00F6777F" w:rsidRDefault="00F6777F" w:rsidP="00075D99">
            <w:pPr>
              <w:pStyle w:val="Other0"/>
              <w:jc w:val="center"/>
              <w:rPr>
                <w:rFonts w:asciiTheme="majorHAnsi" w:hAnsiTheme="majorHAnsi" w:cstheme="majorHAnsi"/>
                <w:lang w:val="lt-LT"/>
              </w:rPr>
            </w:pPr>
            <w:bookmarkStart w:id="0" w:name="_Hlk202881265"/>
            <w:r w:rsidRPr="00F6777F">
              <w:rPr>
                <w:rStyle w:val="Other"/>
                <w:rFonts w:asciiTheme="majorHAnsi" w:hAnsiTheme="majorHAnsi" w:cstheme="majorHAnsi"/>
                <w:b/>
                <w:bCs/>
                <w:lang w:val="lt-LT"/>
              </w:rPr>
              <w:t>Bendrieji reikalavimai</w:t>
            </w:r>
          </w:p>
        </w:tc>
      </w:tr>
      <w:tr w:rsidR="00291743" w:rsidRPr="00F6777F" w14:paraId="4373C723" w14:textId="77777777" w:rsidTr="00F6777F">
        <w:trPr>
          <w:trHeight w:hRule="exact" w:val="570"/>
        </w:trPr>
        <w:tc>
          <w:tcPr>
            <w:tcW w:w="2138" w:type="dxa"/>
            <w:vMerge w:val="restart"/>
          </w:tcPr>
          <w:p w14:paraId="6F79E85E" w14:textId="03C132A6" w:rsidR="00291743" w:rsidRPr="00F6777F" w:rsidRDefault="00291743" w:rsidP="00075D99">
            <w:pPr>
              <w:pStyle w:val="Other0"/>
              <w:rPr>
                <w:rStyle w:val="Other"/>
                <w:rFonts w:asciiTheme="majorHAnsi" w:hAnsiTheme="majorHAnsi" w:cstheme="majorHAnsi"/>
                <w:b/>
                <w:bCs/>
                <w:lang w:val="lt-LT"/>
              </w:rPr>
            </w:pPr>
            <w:r w:rsidRPr="00F6777F">
              <w:rPr>
                <w:rStyle w:val="Other"/>
                <w:rFonts w:asciiTheme="majorHAnsi" w:hAnsiTheme="majorHAnsi" w:cstheme="majorHAnsi"/>
                <w:b/>
                <w:bCs/>
                <w:lang w:val="lt-LT"/>
              </w:rPr>
              <w:t>Lengvasis automobilis</w:t>
            </w:r>
          </w:p>
          <w:p w14:paraId="32D445ED" w14:textId="77777777" w:rsidR="00291743" w:rsidRPr="00F6777F" w:rsidRDefault="00291743" w:rsidP="00075D99">
            <w:pPr>
              <w:pStyle w:val="Other0"/>
              <w:rPr>
                <w:rFonts w:asciiTheme="majorHAnsi" w:hAnsiTheme="majorHAnsi" w:cstheme="majorHAnsi"/>
                <w:lang w:val="lt-LT"/>
              </w:rPr>
            </w:pPr>
          </w:p>
        </w:tc>
        <w:tc>
          <w:tcPr>
            <w:tcW w:w="7909" w:type="dxa"/>
          </w:tcPr>
          <w:p w14:paraId="148B6A25" w14:textId="77777777" w:rsidR="00291743" w:rsidRPr="006249EF" w:rsidRDefault="00291743" w:rsidP="00075D99">
            <w:pPr>
              <w:pStyle w:val="Other0"/>
              <w:rPr>
                <w:rStyle w:val="Other"/>
                <w:rFonts w:asciiTheme="majorHAnsi" w:hAnsiTheme="majorHAnsi" w:cstheme="majorHAnsi"/>
                <w:lang w:val="lt-LT"/>
              </w:rPr>
            </w:pPr>
            <w:r w:rsidRPr="00F6777F">
              <w:rPr>
                <w:rStyle w:val="Other"/>
                <w:rFonts w:asciiTheme="majorHAnsi" w:hAnsiTheme="majorHAnsi" w:cstheme="majorHAnsi"/>
                <w:lang w:val="lt-LT"/>
              </w:rPr>
              <w:t>Paskirtis – struktūrinių padalinių darbuotojų kelionėms rinkos priežiūros tikslais, važiuojant tiek miesto, tiek užmiesčio sąlygomis.</w:t>
            </w:r>
          </w:p>
        </w:tc>
      </w:tr>
      <w:tr w:rsidR="00291743" w:rsidRPr="00F6777F" w14:paraId="2D969905" w14:textId="77777777" w:rsidTr="00F6777F">
        <w:trPr>
          <w:trHeight w:hRule="exact" w:val="299"/>
        </w:trPr>
        <w:tc>
          <w:tcPr>
            <w:tcW w:w="2138" w:type="dxa"/>
            <w:vMerge/>
          </w:tcPr>
          <w:p w14:paraId="4BAB5E4F" w14:textId="77777777" w:rsidR="00291743" w:rsidRPr="00F6777F" w:rsidRDefault="00291743" w:rsidP="00075D99">
            <w:pPr>
              <w:rPr>
                <w:rFonts w:asciiTheme="majorHAnsi" w:hAnsiTheme="majorHAnsi" w:cstheme="majorHAnsi"/>
                <w:sz w:val="22"/>
              </w:rPr>
            </w:pPr>
          </w:p>
        </w:tc>
        <w:tc>
          <w:tcPr>
            <w:tcW w:w="7909" w:type="dxa"/>
          </w:tcPr>
          <w:p w14:paraId="084DD950" w14:textId="77777777" w:rsidR="00291743" w:rsidRPr="00291743" w:rsidRDefault="00291743"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Veiklos nuomos terminas – 36 mėnesiai.</w:t>
            </w:r>
          </w:p>
        </w:tc>
      </w:tr>
      <w:tr w:rsidR="00291743" w:rsidRPr="00F6777F" w14:paraId="34B11C04" w14:textId="77777777" w:rsidTr="00F6777F">
        <w:trPr>
          <w:trHeight w:hRule="exact" w:val="1417"/>
        </w:trPr>
        <w:tc>
          <w:tcPr>
            <w:tcW w:w="2138" w:type="dxa"/>
            <w:vMerge/>
          </w:tcPr>
          <w:p w14:paraId="05792F2F" w14:textId="77777777" w:rsidR="00291743" w:rsidRPr="00F6777F" w:rsidRDefault="00291743" w:rsidP="00075D99">
            <w:pPr>
              <w:rPr>
                <w:rFonts w:asciiTheme="majorHAnsi" w:hAnsiTheme="majorHAnsi" w:cstheme="majorHAnsi"/>
                <w:sz w:val="22"/>
              </w:rPr>
            </w:pPr>
          </w:p>
        </w:tc>
        <w:tc>
          <w:tcPr>
            <w:tcW w:w="7909" w:type="dxa"/>
          </w:tcPr>
          <w:p w14:paraId="1513D3CD" w14:textId="77777777" w:rsidR="00291743" w:rsidRPr="006249EF" w:rsidRDefault="00291743" w:rsidP="00291743">
            <w:pPr>
              <w:pStyle w:val="Other0"/>
              <w:rPr>
                <w:rStyle w:val="Other"/>
                <w:rFonts w:asciiTheme="majorHAnsi" w:hAnsiTheme="majorHAnsi" w:cstheme="majorHAnsi"/>
                <w:lang w:val="lt-LT"/>
              </w:rPr>
            </w:pPr>
            <w:r w:rsidRPr="00F6777F">
              <w:rPr>
                <w:rStyle w:val="Other"/>
                <w:rFonts w:asciiTheme="majorHAnsi" w:hAnsiTheme="majorHAnsi" w:cstheme="majorHAnsi"/>
                <w:lang w:val="lt-LT"/>
              </w:rPr>
              <w:t>Automobilis naujas, neeksploatuotas, Valstybinės kelių transporto inspekcijos prie Susisiekimo ministerijos viršininko 2008 m. gruodžio 2 d. įsakymu Nr. 2B-479 „Dėl motorinių transporto priemonių ir jų priekabų kategorijų ir klasių pagal konstrukciją reikalavimų patvirtinimo“ patvirtinta kategorija – M1.</w:t>
            </w:r>
          </w:p>
        </w:tc>
      </w:tr>
      <w:tr w:rsidR="00291743" w:rsidRPr="00F6777F" w14:paraId="256A57CF" w14:textId="77777777" w:rsidTr="00F6777F">
        <w:trPr>
          <w:trHeight w:hRule="exact" w:val="575"/>
        </w:trPr>
        <w:tc>
          <w:tcPr>
            <w:tcW w:w="2138" w:type="dxa"/>
            <w:vMerge/>
          </w:tcPr>
          <w:p w14:paraId="098C964E" w14:textId="77777777" w:rsidR="00291743" w:rsidRPr="00F6777F" w:rsidRDefault="00291743" w:rsidP="00075D99">
            <w:pPr>
              <w:rPr>
                <w:rFonts w:asciiTheme="majorHAnsi" w:hAnsiTheme="majorHAnsi" w:cstheme="majorHAnsi"/>
                <w:sz w:val="22"/>
              </w:rPr>
            </w:pPr>
          </w:p>
        </w:tc>
        <w:tc>
          <w:tcPr>
            <w:tcW w:w="7909" w:type="dxa"/>
          </w:tcPr>
          <w:p w14:paraId="716EE16F" w14:textId="77777777" w:rsidR="00291743" w:rsidRPr="00291743" w:rsidRDefault="00291743" w:rsidP="00291743">
            <w:pPr>
              <w:pStyle w:val="Other0"/>
              <w:rPr>
                <w:rStyle w:val="Other"/>
                <w:rFonts w:asciiTheme="majorHAnsi" w:hAnsiTheme="majorHAnsi" w:cstheme="majorHAnsi"/>
                <w:lang w:val="lt-LT"/>
              </w:rPr>
            </w:pPr>
            <w:r w:rsidRPr="00291743">
              <w:rPr>
                <w:rStyle w:val="Other"/>
                <w:rFonts w:asciiTheme="majorHAnsi" w:hAnsiTheme="majorHAnsi" w:cstheme="majorHAnsi"/>
                <w:lang w:val="lt-LT"/>
              </w:rPr>
              <w:t>Įdiegta automobilio kontrolės sistema (GPS), kuri yra prijungiama prie automobilio borto kompiuterio.</w:t>
            </w:r>
          </w:p>
          <w:p w14:paraId="45CB5AE2" w14:textId="77777777" w:rsidR="00291743" w:rsidRPr="006249EF" w:rsidRDefault="00291743" w:rsidP="00291743">
            <w:pPr>
              <w:pStyle w:val="Other0"/>
              <w:rPr>
                <w:rStyle w:val="Other"/>
                <w:rFonts w:asciiTheme="majorHAnsi" w:hAnsiTheme="majorHAnsi" w:cstheme="majorHAnsi"/>
                <w:lang w:val="pt-BR"/>
              </w:rPr>
            </w:pPr>
          </w:p>
        </w:tc>
      </w:tr>
      <w:tr w:rsidR="00291743" w:rsidRPr="00F6777F" w14:paraId="3384C450" w14:textId="77777777" w:rsidTr="00F6777F">
        <w:trPr>
          <w:trHeight w:hRule="exact" w:val="575"/>
        </w:trPr>
        <w:tc>
          <w:tcPr>
            <w:tcW w:w="2138" w:type="dxa"/>
            <w:vMerge/>
          </w:tcPr>
          <w:p w14:paraId="7BB77384" w14:textId="77777777" w:rsidR="00291743" w:rsidRPr="00F6777F" w:rsidRDefault="00291743" w:rsidP="00075D99">
            <w:pPr>
              <w:rPr>
                <w:rFonts w:asciiTheme="majorHAnsi" w:hAnsiTheme="majorHAnsi" w:cstheme="majorHAnsi"/>
                <w:sz w:val="22"/>
              </w:rPr>
            </w:pPr>
          </w:p>
        </w:tc>
        <w:tc>
          <w:tcPr>
            <w:tcW w:w="7909" w:type="dxa"/>
          </w:tcPr>
          <w:p w14:paraId="47D78E8E" w14:textId="77777777" w:rsidR="00291743" w:rsidRPr="006249EF" w:rsidRDefault="00291743"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Veiklos nuomos laikotarpiu automobilis turi turėti galiojančią gamyklinę garantiją.</w:t>
            </w:r>
          </w:p>
        </w:tc>
      </w:tr>
      <w:tr w:rsidR="00291743" w:rsidRPr="00F6777F" w14:paraId="03B8C4D4" w14:textId="77777777" w:rsidTr="00F6777F">
        <w:trPr>
          <w:trHeight w:hRule="exact" w:val="866"/>
        </w:trPr>
        <w:tc>
          <w:tcPr>
            <w:tcW w:w="2138" w:type="dxa"/>
            <w:vMerge/>
          </w:tcPr>
          <w:p w14:paraId="076C0C07" w14:textId="77777777" w:rsidR="00291743" w:rsidRPr="00F6777F" w:rsidRDefault="00291743" w:rsidP="00075D99">
            <w:pPr>
              <w:rPr>
                <w:rFonts w:asciiTheme="majorHAnsi" w:hAnsiTheme="majorHAnsi" w:cstheme="majorHAnsi"/>
                <w:sz w:val="22"/>
              </w:rPr>
            </w:pPr>
          </w:p>
        </w:tc>
        <w:tc>
          <w:tcPr>
            <w:tcW w:w="7909" w:type="dxa"/>
          </w:tcPr>
          <w:p w14:paraId="57162FA6" w14:textId="77777777" w:rsidR="00291743" w:rsidRPr="00F6777F" w:rsidRDefault="00291743" w:rsidP="00075D99">
            <w:pPr>
              <w:pStyle w:val="Other0"/>
              <w:rPr>
                <w:rStyle w:val="Other"/>
                <w:rFonts w:asciiTheme="majorHAnsi" w:hAnsiTheme="majorHAnsi" w:cstheme="majorHAnsi"/>
                <w:lang w:val="lt-LT"/>
              </w:rPr>
            </w:pPr>
            <w:r w:rsidRPr="00F6777F">
              <w:rPr>
                <w:rStyle w:val="Other"/>
                <w:rFonts w:asciiTheme="majorHAnsi" w:hAnsiTheme="majorHAnsi" w:cstheme="majorHAnsi"/>
                <w:lang w:val="lt-LT"/>
              </w:rPr>
              <w:t xml:space="preserve">Perduodant automobilį Pirkėjui, automobilis privalo būti registruotas Lietuvos Respublikoje, techniškai tvarkingas, pilnai sukomplektuotas ir paruoštas eksploatacijai. </w:t>
            </w:r>
          </w:p>
          <w:p w14:paraId="092EDB9C" w14:textId="77777777" w:rsidR="00291743" w:rsidRPr="00F6777F" w:rsidRDefault="00291743" w:rsidP="00075D99">
            <w:pPr>
              <w:pStyle w:val="Other0"/>
              <w:rPr>
                <w:rStyle w:val="Other"/>
                <w:rFonts w:asciiTheme="majorHAnsi" w:hAnsiTheme="majorHAnsi" w:cstheme="majorHAnsi"/>
                <w:lang w:val="lt-LT"/>
              </w:rPr>
            </w:pPr>
          </w:p>
          <w:p w14:paraId="65AB9D27" w14:textId="77777777" w:rsidR="00291743" w:rsidRPr="00291743" w:rsidRDefault="00291743"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įranga</w:t>
            </w:r>
          </w:p>
        </w:tc>
      </w:tr>
      <w:tr w:rsidR="00291743" w14:paraId="25957D34" w14:textId="77777777">
        <w:tc>
          <w:tcPr>
            <w:tcW w:w="2138" w:type="dxa"/>
            <w:vMerge/>
          </w:tcPr>
          <w:p w14:paraId="62639C74" w14:textId="72008958" w:rsidR="00291743" w:rsidRDefault="00291743"/>
        </w:tc>
        <w:tc>
          <w:tcPr>
            <w:tcW w:w="7909" w:type="dxa"/>
          </w:tcPr>
          <w:p w14:paraId="22760B20" w14:textId="77777777" w:rsidR="00291743" w:rsidRPr="00291743" w:rsidRDefault="00291743" w:rsidP="00291743">
            <w:pPr>
              <w:pStyle w:val="Other0"/>
              <w:rPr>
                <w:rStyle w:val="Other"/>
                <w:rFonts w:asciiTheme="majorHAnsi" w:hAnsiTheme="majorHAnsi" w:cstheme="majorHAnsi"/>
                <w:lang w:val="lt-LT"/>
              </w:rPr>
            </w:pPr>
            <w:r w:rsidRPr="00291743">
              <w:rPr>
                <w:rStyle w:val="Other"/>
                <w:rFonts w:asciiTheme="majorHAnsi" w:hAnsiTheme="majorHAnsi" w:cstheme="majorHAnsi"/>
                <w:lang w:val="lt-LT"/>
              </w:rPr>
              <w:t>Kiekvienas siūlomas automobilis turi atitikti visus šios techninės specifikacijos minimalius reikalavimus; automobilių įrangos komplektacija gali skirtis, jeigu ji nėra blogesnė už nurodytą minimalią.</w:t>
            </w:r>
          </w:p>
        </w:tc>
      </w:tr>
      <w:tr w:rsidR="00291743" w:rsidRPr="00F6777F" w14:paraId="5C773FC0" w14:textId="77777777" w:rsidTr="00F6777F">
        <w:trPr>
          <w:trHeight w:hRule="exact" w:val="1708"/>
        </w:trPr>
        <w:tc>
          <w:tcPr>
            <w:tcW w:w="2138" w:type="dxa"/>
            <w:vMerge/>
          </w:tcPr>
          <w:p w14:paraId="72F0FEAB" w14:textId="77777777" w:rsidR="00291743" w:rsidRPr="00F6777F" w:rsidRDefault="00291743" w:rsidP="00075D99">
            <w:pPr>
              <w:rPr>
                <w:rFonts w:asciiTheme="majorHAnsi" w:hAnsiTheme="majorHAnsi" w:cstheme="majorHAnsi"/>
                <w:sz w:val="22"/>
              </w:rPr>
            </w:pPr>
          </w:p>
        </w:tc>
        <w:tc>
          <w:tcPr>
            <w:tcW w:w="7909" w:type="dxa"/>
          </w:tcPr>
          <w:p w14:paraId="2266CA9A" w14:textId="77777777" w:rsidR="00291743" w:rsidRPr="006249EF" w:rsidRDefault="00291743" w:rsidP="00291743">
            <w:pPr>
              <w:pStyle w:val="Other0"/>
              <w:rPr>
                <w:rStyle w:val="Other"/>
                <w:rFonts w:asciiTheme="majorHAnsi" w:hAnsiTheme="majorHAnsi" w:cstheme="majorHAnsi"/>
                <w:lang w:val="lt-LT"/>
              </w:rPr>
            </w:pPr>
            <w:r w:rsidRPr="00F6777F">
              <w:rPr>
                <w:rStyle w:val="Other"/>
                <w:rFonts w:asciiTheme="majorHAnsi" w:hAnsiTheme="majorHAnsi" w:cstheme="majorHAnsi"/>
                <w:lang w:val="lt-LT"/>
              </w:rPr>
              <w:t>Kartu su perduodamu automobiliu turi būti pateikti dokumentai: registracijos liudijimas, privalomos transporto priemonių techninės apžiūros rezultatų ataskaita, Įprastinės transporto priemonių valdytojų civilinės atsakomybės privalomojo draudimo sutarties liudijimas, Kasko draudimo polisas, automobilio kuro sąnaudų normas (miesto sąlygomis, užmiesčio sąlygomis, vidutinės) patvirtinantis dokumentas.</w:t>
            </w:r>
          </w:p>
        </w:tc>
      </w:tr>
      <w:tr w:rsidR="00291743" w:rsidRPr="00F6777F" w14:paraId="4A0247D5" w14:textId="77777777" w:rsidTr="00F6777F">
        <w:trPr>
          <w:trHeight w:hRule="exact" w:val="289"/>
        </w:trPr>
        <w:tc>
          <w:tcPr>
            <w:tcW w:w="2138" w:type="dxa"/>
            <w:vMerge/>
          </w:tcPr>
          <w:p w14:paraId="65D57F5D" w14:textId="77777777" w:rsidR="00291743" w:rsidRPr="00F6777F" w:rsidRDefault="00291743" w:rsidP="00075D99">
            <w:pPr>
              <w:rPr>
                <w:rFonts w:asciiTheme="majorHAnsi" w:hAnsiTheme="majorHAnsi" w:cstheme="majorHAnsi"/>
                <w:sz w:val="22"/>
              </w:rPr>
            </w:pPr>
          </w:p>
        </w:tc>
        <w:tc>
          <w:tcPr>
            <w:tcW w:w="7909" w:type="dxa"/>
          </w:tcPr>
          <w:p w14:paraId="4A841217" w14:textId="77777777" w:rsidR="00291743" w:rsidRPr="00F6777F" w:rsidRDefault="00291743" w:rsidP="00075D99">
            <w:pPr>
              <w:pStyle w:val="Other0"/>
              <w:rPr>
                <w:rStyle w:val="Other"/>
                <w:rFonts w:asciiTheme="majorHAnsi" w:hAnsiTheme="majorHAnsi" w:cstheme="majorHAnsi"/>
                <w:lang w:val="lt-LT"/>
              </w:rPr>
            </w:pPr>
            <w:r w:rsidRPr="00F6777F">
              <w:rPr>
                <w:rStyle w:val="Other"/>
                <w:rFonts w:asciiTheme="majorHAnsi" w:hAnsiTheme="majorHAnsi" w:cstheme="majorHAnsi"/>
                <w:lang w:val="lt-LT"/>
              </w:rPr>
              <w:t>Automobilių kiekis  - 2 vnt.</w:t>
            </w:r>
          </w:p>
          <w:p w14:paraId="47B6C722" w14:textId="77777777" w:rsidR="00291743" w:rsidRPr="00291743" w:rsidRDefault="00291743" w:rsidP="00075D99">
            <w:pPr>
              <w:pStyle w:val="Other0"/>
              <w:rPr>
                <w:rStyle w:val="Other"/>
                <w:rFonts w:asciiTheme="majorHAnsi" w:hAnsiTheme="majorHAnsi" w:cstheme="majorHAnsi"/>
              </w:rPr>
            </w:pPr>
          </w:p>
        </w:tc>
      </w:tr>
      <w:tr w:rsidR="00291743" w:rsidRPr="00F6777F" w14:paraId="17BE325A" w14:textId="77777777" w:rsidTr="00F6777F">
        <w:trPr>
          <w:trHeight w:hRule="exact" w:val="579"/>
        </w:trPr>
        <w:tc>
          <w:tcPr>
            <w:tcW w:w="2138" w:type="dxa"/>
            <w:vMerge/>
          </w:tcPr>
          <w:p w14:paraId="548A801B" w14:textId="77777777" w:rsidR="00291743" w:rsidRPr="00F6777F" w:rsidRDefault="00291743" w:rsidP="00075D99">
            <w:pPr>
              <w:rPr>
                <w:rFonts w:asciiTheme="majorHAnsi" w:hAnsiTheme="majorHAnsi" w:cstheme="majorHAnsi"/>
                <w:sz w:val="22"/>
              </w:rPr>
            </w:pPr>
          </w:p>
        </w:tc>
        <w:tc>
          <w:tcPr>
            <w:tcW w:w="7909" w:type="dxa"/>
          </w:tcPr>
          <w:p w14:paraId="606181D2" w14:textId="77777777" w:rsidR="00291743" w:rsidRPr="006249EF" w:rsidRDefault="00291743"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Veiklos nuomos laikotarpiu (36 mėn.) vieno automobilio numatoma rida ne daugiau kaip 50 000 km.</w:t>
            </w:r>
          </w:p>
        </w:tc>
      </w:tr>
      <w:tr w:rsidR="00F6777F" w:rsidRPr="00F6777F" w14:paraId="3765B415" w14:textId="77777777" w:rsidTr="00F6777F">
        <w:trPr>
          <w:trHeight w:hRule="exact" w:val="289"/>
        </w:trPr>
        <w:tc>
          <w:tcPr>
            <w:tcW w:w="10047" w:type="dxa"/>
            <w:gridSpan w:val="2"/>
          </w:tcPr>
          <w:p w14:paraId="769E7119" w14:textId="77777777" w:rsidR="00F6777F" w:rsidRPr="00F6777F" w:rsidRDefault="00F6777F" w:rsidP="00075D99">
            <w:pPr>
              <w:pStyle w:val="Other0"/>
              <w:jc w:val="center"/>
              <w:rPr>
                <w:rFonts w:asciiTheme="majorHAnsi" w:hAnsiTheme="majorHAnsi" w:cstheme="majorHAnsi"/>
                <w:lang w:val="lt-LT"/>
              </w:rPr>
            </w:pPr>
            <w:r w:rsidRPr="00F6777F">
              <w:rPr>
                <w:rStyle w:val="Other"/>
                <w:rFonts w:asciiTheme="majorHAnsi" w:hAnsiTheme="majorHAnsi" w:cstheme="majorHAnsi"/>
                <w:b/>
                <w:bCs/>
                <w:lang w:val="lt-LT"/>
              </w:rPr>
              <w:t>Techniniai reikalavimai</w:t>
            </w:r>
          </w:p>
        </w:tc>
      </w:tr>
      <w:tr w:rsidR="00F6777F" w:rsidRPr="00F6777F" w14:paraId="15A50F89" w14:textId="77777777" w:rsidTr="00F6777F">
        <w:trPr>
          <w:trHeight w:hRule="exact" w:val="319"/>
        </w:trPr>
        <w:tc>
          <w:tcPr>
            <w:tcW w:w="2138" w:type="dxa"/>
            <w:vMerge w:val="restart"/>
          </w:tcPr>
          <w:p w14:paraId="53BA67F6"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Kėbulas</w:t>
            </w:r>
          </w:p>
        </w:tc>
        <w:tc>
          <w:tcPr>
            <w:tcW w:w="7909" w:type="dxa"/>
          </w:tcPr>
          <w:p w14:paraId="31333C82" w14:textId="47431BFB" w:rsidR="00F6777F" w:rsidRPr="00291743" w:rsidRDefault="00291743" w:rsidP="00075D99">
            <w:pPr>
              <w:pStyle w:val="Other0"/>
              <w:rPr>
                <w:rStyle w:val="Other"/>
                <w:rFonts w:asciiTheme="majorHAnsi" w:hAnsiTheme="majorHAnsi" w:cstheme="majorHAnsi"/>
              </w:rPr>
            </w:pPr>
            <w:r w:rsidRPr="00291743">
              <w:rPr>
                <w:rStyle w:val="Other"/>
                <w:rFonts w:asciiTheme="majorHAnsi" w:hAnsiTheme="majorHAnsi" w:cstheme="majorHAnsi"/>
                <w:lang w:val="lt-LT"/>
              </w:rPr>
              <w:t>„</w:t>
            </w:r>
            <w:proofErr w:type="spellStart"/>
            <w:r w:rsidRPr="00291743">
              <w:rPr>
                <w:rStyle w:val="Other"/>
                <w:rFonts w:asciiTheme="majorHAnsi" w:hAnsiTheme="majorHAnsi" w:cstheme="majorHAnsi"/>
                <w:lang w:val="lt-LT"/>
              </w:rPr>
              <w:t>hatchback</w:t>
            </w:r>
            <w:proofErr w:type="spellEnd"/>
            <w:r w:rsidRPr="00291743">
              <w:rPr>
                <w:rStyle w:val="Other"/>
                <w:rFonts w:asciiTheme="majorHAnsi" w:hAnsiTheme="majorHAnsi" w:cstheme="majorHAnsi"/>
                <w:lang w:val="lt-LT"/>
              </w:rPr>
              <w:t>“, „</w:t>
            </w:r>
            <w:proofErr w:type="spellStart"/>
            <w:r w:rsidRPr="00291743">
              <w:rPr>
                <w:rStyle w:val="Other"/>
                <w:rFonts w:asciiTheme="majorHAnsi" w:hAnsiTheme="majorHAnsi" w:cstheme="majorHAnsi"/>
                <w:lang w:val="lt-LT"/>
              </w:rPr>
              <w:t>sedan</w:t>
            </w:r>
            <w:proofErr w:type="spellEnd"/>
            <w:r w:rsidRPr="00291743">
              <w:rPr>
                <w:rStyle w:val="Other"/>
                <w:rFonts w:asciiTheme="majorHAnsi" w:hAnsiTheme="majorHAnsi" w:cstheme="majorHAnsi"/>
                <w:lang w:val="lt-LT"/>
              </w:rPr>
              <w:t>“</w:t>
            </w:r>
            <w:r>
              <w:rPr>
                <w:rStyle w:val="Other"/>
                <w:rFonts w:asciiTheme="majorHAnsi" w:hAnsiTheme="majorHAnsi" w:cstheme="majorHAnsi"/>
                <w:lang w:val="lt-LT"/>
              </w:rPr>
              <w:t xml:space="preserve"> arba</w:t>
            </w:r>
            <w:r w:rsidRPr="00291743">
              <w:rPr>
                <w:rStyle w:val="Other"/>
                <w:rFonts w:asciiTheme="majorHAnsi" w:hAnsiTheme="majorHAnsi" w:cstheme="majorHAnsi"/>
                <w:lang w:val="lt-LT"/>
              </w:rPr>
              <w:t xml:space="preserve"> „SUV“</w:t>
            </w:r>
            <w:r>
              <w:rPr>
                <w:rStyle w:val="Other"/>
                <w:rFonts w:asciiTheme="majorHAnsi" w:hAnsiTheme="majorHAnsi" w:cstheme="majorHAnsi"/>
                <w:lang w:val="lt-LT"/>
              </w:rPr>
              <w:t xml:space="preserve"> tipo.</w:t>
            </w:r>
          </w:p>
        </w:tc>
      </w:tr>
      <w:tr w:rsidR="00F6777F" w:rsidRPr="00F6777F" w14:paraId="4D7DD98F" w14:textId="77777777" w:rsidTr="00F6777F">
        <w:trPr>
          <w:trHeight w:hRule="exact" w:val="314"/>
        </w:trPr>
        <w:tc>
          <w:tcPr>
            <w:tcW w:w="2138" w:type="dxa"/>
            <w:vMerge/>
          </w:tcPr>
          <w:p w14:paraId="7851B91B" w14:textId="77777777" w:rsidR="00F6777F" w:rsidRPr="00F6777F" w:rsidRDefault="00F6777F" w:rsidP="00075D99">
            <w:pPr>
              <w:rPr>
                <w:rFonts w:asciiTheme="majorHAnsi" w:hAnsiTheme="majorHAnsi" w:cstheme="majorHAnsi"/>
                <w:sz w:val="22"/>
              </w:rPr>
            </w:pPr>
          </w:p>
        </w:tc>
        <w:tc>
          <w:tcPr>
            <w:tcW w:w="7909" w:type="dxa"/>
          </w:tcPr>
          <w:p w14:paraId="723745CE" w14:textId="0C672D93" w:rsidR="00F93AAE" w:rsidRPr="00291743" w:rsidRDefault="00000000" w:rsidP="00291743">
            <w:pPr>
              <w:rPr>
                <w:rStyle w:val="Other"/>
                <w:rFonts w:asciiTheme="majorHAnsi" w:eastAsia="Calibri" w:hAnsiTheme="majorHAnsi" w:cstheme="majorHAnsi"/>
                <w:sz w:val="22"/>
              </w:rPr>
            </w:pPr>
            <w:r w:rsidRPr="00291743">
              <w:rPr>
                <w:rStyle w:val="Other"/>
                <w:rFonts w:asciiTheme="majorHAnsi" w:eastAsia="Calibri" w:hAnsiTheme="majorHAnsi" w:cstheme="majorHAnsi"/>
                <w:sz w:val="22"/>
              </w:rPr>
              <w:t>Bendras ilgis – ne mažesnis kaip 440 cm ir ne didesnis kaip 470 cm.</w:t>
            </w:r>
          </w:p>
        </w:tc>
      </w:tr>
      <w:tr w:rsidR="00F6777F" w:rsidRPr="00F6777F" w14:paraId="1E412902" w14:textId="77777777" w:rsidTr="00F6777F">
        <w:trPr>
          <w:trHeight w:hRule="exact" w:val="319"/>
        </w:trPr>
        <w:tc>
          <w:tcPr>
            <w:tcW w:w="2138" w:type="dxa"/>
            <w:vMerge/>
          </w:tcPr>
          <w:p w14:paraId="7010282D" w14:textId="77777777" w:rsidR="00F6777F" w:rsidRPr="00F6777F" w:rsidRDefault="00F6777F" w:rsidP="00075D99">
            <w:pPr>
              <w:rPr>
                <w:rFonts w:asciiTheme="majorHAnsi" w:hAnsiTheme="majorHAnsi" w:cstheme="majorHAnsi"/>
                <w:sz w:val="22"/>
              </w:rPr>
            </w:pPr>
          </w:p>
        </w:tc>
        <w:tc>
          <w:tcPr>
            <w:tcW w:w="7909" w:type="dxa"/>
          </w:tcPr>
          <w:p w14:paraId="36E22F66" w14:textId="77777777" w:rsidR="00F6777F" w:rsidRPr="006249EF" w:rsidRDefault="00F6777F" w:rsidP="00075D99">
            <w:pPr>
              <w:pStyle w:val="Other0"/>
              <w:rPr>
                <w:rStyle w:val="Other"/>
                <w:rFonts w:asciiTheme="majorHAnsi" w:hAnsiTheme="majorHAnsi" w:cstheme="majorHAnsi"/>
                <w:lang w:val="lt-LT"/>
              </w:rPr>
            </w:pPr>
            <w:r w:rsidRPr="006249EF">
              <w:rPr>
                <w:rStyle w:val="Other"/>
                <w:rFonts w:asciiTheme="majorHAnsi" w:eastAsia="Courier New" w:hAnsiTheme="majorHAnsi" w:cstheme="majorHAnsi"/>
                <w:lang w:val="lt-LT"/>
              </w:rPr>
              <w:t>Ne mažiau kaip 5 durys, kartu su bagažine.</w:t>
            </w:r>
          </w:p>
        </w:tc>
      </w:tr>
      <w:tr w:rsidR="00F6777F" w:rsidRPr="00F6777F" w14:paraId="50074E32" w14:textId="77777777" w:rsidTr="00F6777F">
        <w:trPr>
          <w:trHeight w:hRule="exact" w:val="319"/>
        </w:trPr>
        <w:tc>
          <w:tcPr>
            <w:tcW w:w="2138" w:type="dxa"/>
            <w:vMerge/>
          </w:tcPr>
          <w:p w14:paraId="44CEFA1B" w14:textId="77777777" w:rsidR="00F6777F" w:rsidRPr="00F6777F" w:rsidRDefault="00F6777F" w:rsidP="00075D99">
            <w:pPr>
              <w:rPr>
                <w:rFonts w:asciiTheme="majorHAnsi" w:hAnsiTheme="majorHAnsi" w:cstheme="majorHAnsi"/>
                <w:sz w:val="22"/>
              </w:rPr>
            </w:pPr>
          </w:p>
        </w:tc>
        <w:tc>
          <w:tcPr>
            <w:tcW w:w="7909" w:type="dxa"/>
          </w:tcPr>
          <w:p w14:paraId="535DC97B" w14:textId="77777777" w:rsidR="00F6777F" w:rsidRPr="00291743" w:rsidRDefault="00F6777F"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Prošvaisa (cm ) nuo 16.</w:t>
            </w:r>
          </w:p>
        </w:tc>
      </w:tr>
      <w:tr w:rsidR="00F6777F" w:rsidRPr="00F6777F" w14:paraId="6603410A" w14:textId="77777777" w:rsidTr="00F6777F">
        <w:trPr>
          <w:trHeight w:hRule="exact" w:val="575"/>
        </w:trPr>
        <w:tc>
          <w:tcPr>
            <w:tcW w:w="2138" w:type="dxa"/>
            <w:vMerge/>
          </w:tcPr>
          <w:p w14:paraId="434FBE30" w14:textId="77777777" w:rsidR="00F6777F" w:rsidRPr="00F6777F" w:rsidRDefault="00F6777F" w:rsidP="00075D99">
            <w:pPr>
              <w:rPr>
                <w:rFonts w:asciiTheme="majorHAnsi" w:hAnsiTheme="majorHAnsi" w:cstheme="majorHAnsi"/>
                <w:sz w:val="22"/>
              </w:rPr>
            </w:pPr>
          </w:p>
        </w:tc>
        <w:tc>
          <w:tcPr>
            <w:tcW w:w="7909" w:type="dxa"/>
          </w:tcPr>
          <w:p w14:paraId="65401219" w14:textId="6D4C2735" w:rsidR="00F93AAE" w:rsidRPr="00291743" w:rsidRDefault="00000000" w:rsidP="00291743">
            <w:pPr>
              <w:rPr>
                <w:rStyle w:val="Other"/>
                <w:rFonts w:asciiTheme="majorHAnsi" w:eastAsia="Calibri" w:hAnsiTheme="majorHAnsi" w:cstheme="majorHAnsi"/>
                <w:sz w:val="22"/>
              </w:rPr>
            </w:pPr>
            <w:r w:rsidRPr="00291743">
              <w:rPr>
                <w:rStyle w:val="Other"/>
                <w:rFonts w:asciiTheme="majorHAnsi" w:eastAsia="Calibri" w:hAnsiTheme="majorHAnsi" w:cstheme="majorHAnsi"/>
                <w:sz w:val="22"/>
              </w:rPr>
              <w:t>Spalva pasirinktinai iš gamintojo siūlomų variantų.</w:t>
            </w:r>
          </w:p>
        </w:tc>
      </w:tr>
      <w:tr w:rsidR="00F6777F" w:rsidRPr="00F6777F" w14:paraId="4DDF3BB9" w14:textId="77777777" w:rsidTr="00F6777F">
        <w:trPr>
          <w:trHeight w:hRule="exact" w:val="284"/>
        </w:trPr>
        <w:tc>
          <w:tcPr>
            <w:tcW w:w="2138" w:type="dxa"/>
          </w:tcPr>
          <w:p w14:paraId="25E3156B"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Transmisija</w:t>
            </w:r>
          </w:p>
        </w:tc>
        <w:tc>
          <w:tcPr>
            <w:tcW w:w="7909" w:type="dxa"/>
          </w:tcPr>
          <w:p w14:paraId="13B97C38" w14:textId="77777777" w:rsidR="00F6777F" w:rsidRPr="00291743" w:rsidRDefault="00F6777F"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Pavarų dėžė – automatinė.</w:t>
            </w:r>
          </w:p>
        </w:tc>
      </w:tr>
      <w:tr w:rsidR="00F6777F" w:rsidRPr="00F6777F" w14:paraId="29B2EF63" w14:textId="77777777" w:rsidTr="00F6777F">
        <w:trPr>
          <w:trHeight w:hRule="exact" w:val="299"/>
        </w:trPr>
        <w:tc>
          <w:tcPr>
            <w:tcW w:w="2138" w:type="dxa"/>
            <w:vMerge w:val="restart"/>
          </w:tcPr>
          <w:p w14:paraId="0802F7B6"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Vidaus įranga</w:t>
            </w:r>
          </w:p>
        </w:tc>
        <w:tc>
          <w:tcPr>
            <w:tcW w:w="7909" w:type="dxa"/>
          </w:tcPr>
          <w:p w14:paraId="74E5A9E0"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Elektra valdomi priekiniai ir galiniai langai.</w:t>
            </w:r>
          </w:p>
        </w:tc>
      </w:tr>
      <w:tr w:rsidR="00F6777F" w:rsidRPr="00F6777F" w14:paraId="54F402EA" w14:textId="77777777" w:rsidTr="00F6777F">
        <w:trPr>
          <w:trHeight w:hRule="exact" w:val="284"/>
        </w:trPr>
        <w:tc>
          <w:tcPr>
            <w:tcW w:w="2138" w:type="dxa"/>
            <w:vMerge/>
          </w:tcPr>
          <w:p w14:paraId="509669ED" w14:textId="77777777" w:rsidR="00F6777F" w:rsidRPr="00F6777F" w:rsidRDefault="00F6777F" w:rsidP="00075D99">
            <w:pPr>
              <w:rPr>
                <w:rFonts w:asciiTheme="majorHAnsi" w:hAnsiTheme="majorHAnsi" w:cstheme="majorHAnsi"/>
                <w:sz w:val="22"/>
              </w:rPr>
            </w:pPr>
          </w:p>
        </w:tc>
        <w:tc>
          <w:tcPr>
            <w:tcW w:w="7909" w:type="dxa"/>
          </w:tcPr>
          <w:p w14:paraId="356A9572"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Kondicionierius. Šildymo sistema su ventiliatoriumi.</w:t>
            </w:r>
          </w:p>
        </w:tc>
      </w:tr>
      <w:tr w:rsidR="00F6777F" w:rsidRPr="00F6777F" w14:paraId="522790C7" w14:textId="77777777" w:rsidTr="00F6777F">
        <w:trPr>
          <w:trHeight w:hRule="exact" w:val="294"/>
        </w:trPr>
        <w:tc>
          <w:tcPr>
            <w:tcW w:w="2138" w:type="dxa"/>
            <w:vMerge/>
          </w:tcPr>
          <w:p w14:paraId="3020B64E" w14:textId="77777777" w:rsidR="00F6777F" w:rsidRPr="00F6777F" w:rsidRDefault="00F6777F" w:rsidP="00075D99">
            <w:pPr>
              <w:rPr>
                <w:rFonts w:asciiTheme="majorHAnsi" w:hAnsiTheme="majorHAnsi" w:cstheme="majorHAnsi"/>
                <w:sz w:val="22"/>
              </w:rPr>
            </w:pPr>
          </w:p>
        </w:tc>
        <w:tc>
          <w:tcPr>
            <w:tcW w:w="7909" w:type="dxa"/>
          </w:tcPr>
          <w:p w14:paraId="71FEAC5E"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AM/FM bangų radijo imtuvas.</w:t>
            </w:r>
          </w:p>
        </w:tc>
      </w:tr>
      <w:tr w:rsidR="00F6777F" w:rsidRPr="00F6777F" w14:paraId="4AC1A6E1" w14:textId="77777777" w:rsidTr="00F6777F">
        <w:trPr>
          <w:trHeight w:hRule="exact" w:val="299"/>
        </w:trPr>
        <w:tc>
          <w:tcPr>
            <w:tcW w:w="2138" w:type="dxa"/>
            <w:vMerge/>
          </w:tcPr>
          <w:p w14:paraId="52E9FB3B" w14:textId="77777777" w:rsidR="00F6777F" w:rsidRPr="00F6777F" w:rsidRDefault="00F6777F" w:rsidP="00075D99">
            <w:pPr>
              <w:rPr>
                <w:rFonts w:asciiTheme="majorHAnsi" w:hAnsiTheme="majorHAnsi" w:cstheme="majorHAnsi"/>
                <w:sz w:val="22"/>
              </w:rPr>
            </w:pPr>
          </w:p>
        </w:tc>
        <w:tc>
          <w:tcPr>
            <w:tcW w:w="7909" w:type="dxa"/>
          </w:tcPr>
          <w:p w14:paraId="7557F793"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Kilimėliai vairuotojui, keleiviams ir bagažinei.</w:t>
            </w:r>
          </w:p>
        </w:tc>
      </w:tr>
      <w:tr w:rsidR="00F6777F" w:rsidRPr="00F6777F" w14:paraId="7FBA9F7E" w14:textId="77777777" w:rsidTr="00F6777F">
        <w:trPr>
          <w:trHeight w:hRule="exact" w:val="284"/>
        </w:trPr>
        <w:tc>
          <w:tcPr>
            <w:tcW w:w="2138" w:type="dxa"/>
            <w:vMerge/>
          </w:tcPr>
          <w:p w14:paraId="022BF5E9" w14:textId="77777777" w:rsidR="00F6777F" w:rsidRPr="00F6777F" w:rsidRDefault="00F6777F" w:rsidP="00075D99">
            <w:pPr>
              <w:rPr>
                <w:rFonts w:asciiTheme="majorHAnsi" w:hAnsiTheme="majorHAnsi" w:cstheme="majorHAnsi"/>
                <w:sz w:val="22"/>
              </w:rPr>
            </w:pPr>
          </w:p>
        </w:tc>
        <w:tc>
          <w:tcPr>
            <w:tcW w:w="7909" w:type="dxa"/>
          </w:tcPr>
          <w:p w14:paraId="6B859BE5"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Elektra valdomi šildomi galinio vaizdo šoniniai veidrodėliai.</w:t>
            </w:r>
          </w:p>
        </w:tc>
      </w:tr>
      <w:tr w:rsidR="00F6777F" w:rsidRPr="00F6777F" w14:paraId="28405F72" w14:textId="77777777" w:rsidTr="00F6777F">
        <w:trPr>
          <w:trHeight w:hRule="exact" w:val="294"/>
        </w:trPr>
        <w:tc>
          <w:tcPr>
            <w:tcW w:w="2138" w:type="dxa"/>
            <w:vMerge w:val="restart"/>
          </w:tcPr>
          <w:p w14:paraId="3585ACEB"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Variklis</w:t>
            </w:r>
          </w:p>
        </w:tc>
        <w:tc>
          <w:tcPr>
            <w:tcW w:w="7909" w:type="dxa"/>
          </w:tcPr>
          <w:p w14:paraId="64478EDB" w14:textId="77777777" w:rsidR="00F6777F" w:rsidRPr="00291743" w:rsidRDefault="00F6777F"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Tipas – hibridinis.</w:t>
            </w:r>
          </w:p>
        </w:tc>
      </w:tr>
      <w:tr w:rsidR="00F6777F" w:rsidRPr="00F6777F" w14:paraId="2C21D3E7" w14:textId="77777777" w:rsidTr="00F6777F">
        <w:trPr>
          <w:trHeight w:hRule="exact" w:val="289"/>
        </w:trPr>
        <w:tc>
          <w:tcPr>
            <w:tcW w:w="2138" w:type="dxa"/>
            <w:vMerge/>
          </w:tcPr>
          <w:p w14:paraId="489A63DE" w14:textId="77777777" w:rsidR="00F6777F" w:rsidRPr="00F6777F" w:rsidRDefault="00F6777F" w:rsidP="00075D99">
            <w:pPr>
              <w:rPr>
                <w:rFonts w:asciiTheme="majorHAnsi" w:hAnsiTheme="majorHAnsi" w:cstheme="majorHAnsi"/>
                <w:sz w:val="22"/>
              </w:rPr>
            </w:pPr>
          </w:p>
        </w:tc>
        <w:tc>
          <w:tcPr>
            <w:tcW w:w="7909" w:type="dxa"/>
          </w:tcPr>
          <w:p w14:paraId="65F6121D"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Išmetami teršalai – privalo atitikti ne žemiau kaip EURO 6 reikalavimus</w:t>
            </w:r>
          </w:p>
        </w:tc>
      </w:tr>
      <w:tr w:rsidR="00F6777F" w:rsidRPr="00F6777F" w14:paraId="5CBB4924" w14:textId="77777777" w:rsidTr="00F6777F">
        <w:trPr>
          <w:trHeight w:hRule="exact" w:val="579"/>
        </w:trPr>
        <w:tc>
          <w:tcPr>
            <w:tcW w:w="2138" w:type="dxa"/>
            <w:vMerge/>
          </w:tcPr>
          <w:p w14:paraId="28CB17F1" w14:textId="77777777" w:rsidR="00F6777F" w:rsidRPr="00F6777F" w:rsidRDefault="00F6777F" w:rsidP="00075D99">
            <w:pPr>
              <w:rPr>
                <w:rFonts w:asciiTheme="majorHAnsi" w:hAnsiTheme="majorHAnsi" w:cstheme="majorHAnsi"/>
                <w:sz w:val="22"/>
              </w:rPr>
            </w:pPr>
          </w:p>
        </w:tc>
        <w:tc>
          <w:tcPr>
            <w:tcW w:w="7909" w:type="dxa"/>
          </w:tcPr>
          <w:p w14:paraId="126235EC" w14:textId="77777777" w:rsidR="00F6777F" w:rsidRPr="006249EF" w:rsidRDefault="00F6777F" w:rsidP="00075D99">
            <w:pPr>
              <w:pStyle w:val="Other0"/>
              <w:rPr>
                <w:rStyle w:val="Other"/>
                <w:rFonts w:asciiTheme="majorHAnsi" w:hAnsiTheme="majorHAnsi" w:cstheme="majorHAnsi"/>
                <w:lang w:val="pt-BR"/>
              </w:rPr>
            </w:pPr>
            <w:r w:rsidRPr="00F6777F">
              <w:rPr>
                <w:rStyle w:val="Other"/>
                <w:rFonts w:asciiTheme="majorHAnsi" w:hAnsiTheme="majorHAnsi" w:cstheme="majorHAnsi"/>
                <w:lang w:val="lt-LT"/>
              </w:rPr>
              <w:t xml:space="preserve">Kuro sąnaudos mišriu režimu pagal WLTP ne daugiau nei 7 </w:t>
            </w:r>
            <w:proofErr w:type="spellStart"/>
            <w:r w:rsidRPr="00F6777F">
              <w:rPr>
                <w:rStyle w:val="Other"/>
                <w:rFonts w:asciiTheme="majorHAnsi" w:hAnsiTheme="majorHAnsi" w:cstheme="majorHAnsi"/>
                <w:lang w:val="lt-LT"/>
              </w:rPr>
              <w:t>ltr</w:t>
            </w:r>
            <w:proofErr w:type="spellEnd"/>
            <w:r w:rsidRPr="00F6777F">
              <w:rPr>
                <w:rStyle w:val="Other"/>
                <w:rFonts w:asciiTheme="majorHAnsi" w:hAnsiTheme="majorHAnsi" w:cstheme="majorHAnsi"/>
                <w:lang w:val="lt-LT"/>
              </w:rPr>
              <w:t>./100 km.</w:t>
            </w:r>
          </w:p>
        </w:tc>
      </w:tr>
      <w:tr w:rsidR="00F6777F" w:rsidRPr="00F6777F" w14:paraId="39801E1F" w14:textId="77777777" w:rsidTr="00F6777F">
        <w:trPr>
          <w:trHeight w:hRule="exact" w:val="579"/>
        </w:trPr>
        <w:tc>
          <w:tcPr>
            <w:tcW w:w="2138" w:type="dxa"/>
          </w:tcPr>
          <w:p w14:paraId="17F1E2F1"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lastRenderedPageBreak/>
              <w:t>Vairo mechanizmas</w:t>
            </w:r>
          </w:p>
        </w:tc>
        <w:tc>
          <w:tcPr>
            <w:tcW w:w="7909" w:type="dxa"/>
          </w:tcPr>
          <w:p w14:paraId="359BEA81" w14:textId="77777777" w:rsidR="00F6777F" w:rsidRPr="00291743" w:rsidRDefault="00F6777F" w:rsidP="00075D99">
            <w:pPr>
              <w:pStyle w:val="Other0"/>
              <w:rPr>
                <w:rStyle w:val="Other"/>
                <w:rFonts w:asciiTheme="majorHAnsi" w:hAnsiTheme="majorHAnsi" w:cstheme="majorHAnsi"/>
              </w:rPr>
            </w:pPr>
            <w:r w:rsidRPr="00F6777F">
              <w:rPr>
                <w:rStyle w:val="Other"/>
                <w:rFonts w:asciiTheme="majorHAnsi" w:hAnsiTheme="majorHAnsi" w:cstheme="majorHAnsi"/>
                <w:lang w:val="lt-LT"/>
              </w:rPr>
              <w:t>Su stiprintuvu.</w:t>
            </w:r>
          </w:p>
        </w:tc>
      </w:tr>
    </w:tbl>
    <w:p w14:paraId="03105B24" w14:textId="77777777" w:rsidR="002C549E" w:rsidRPr="00F6777F" w:rsidRDefault="002C549E" w:rsidP="002C549E">
      <w:pPr>
        <w:spacing w:line="1" w:lineRule="exact"/>
        <w:rPr>
          <w:rFonts w:asciiTheme="majorHAnsi" w:hAnsiTheme="majorHAnsi" w:cstheme="majorHAnsi"/>
          <w:sz w:val="22"/>
        </w:rPr>
      </w:pPr>
      <w:r w:rsidRPr="00F6777F">
        <w:rPr>
          <w:rFonts w:asciiTheme="majorHAnsi" w:hAnsiTheme="majorHAnsi" w:cstheme="majorHAnsi"/>
          <w:sz w:val="22"/>
        </w:rPr>
        <w:br w:type="page"/>
      </w:r>
    </w:p>
    <w:tbl>
      <w:tblPr>
        <w:tblStyle w:val="Lentelstinklelis"/>
        <w:tblW w:w="9940" w:type="dxa"/>
        <w:tblLayout w:type="fixed"/>
        <w:tblLook w:val="04A0" w:firstRow="1" w:lastRow="0" w:firstColumn="1" w:lastColumn="0" w:noHBand="0" w:noVBand="1"/>
      </w:tblPr>
      <w:tblGrid>
        <w:gridCol w:w="2115"/>
        <w:gridCol w:w="7825"/>
      </w:tblGrid>
      <w:tr w:rsidR="00F6777F" w:rsidRPr="00F6777F" w14:paraId="0A43F126" w14:textId="77777777" w:rsidTr="00F6777F">
        <w:trPr>
          <w:trHeight w:hRule="exact" w:val="571"/>
        </w:trPr>
        <w:tc>
          <w:tcPr>
            <w:tcW w:w="2115" w:type="dxa"/>
            <w:vMerge w:val="restart"/>
          </w:tcPr>
          <w:p w14:paraId="25851952"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lastRenderedPageBreak/>
              <w:t>Saugumas</w:t>
            </w:r>
          </w:p>
        </w:tc>
        <w:tc>
          <w:tcPr>
            <w:tcW w:w="7825" w:type="dxa"/>
          </w:tcPr>
          <w:p w14:paraId="7E291CD4"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Centrinis užraktas su nuotolinio valdymo pulteliu (visoms durims) ir imobilizatorius.</w:t>
            </w:r>
          </w:p>
        </w:tc>
      </w:tr>
      <w:tr w:rsidR="00F6777F" w:rsidRPr="00F6777F" w14:paraId="685D356C" w14:textId="77777777" w:rsidTr="00F6777F">
        <w:trPr>
          <w:trHeight w:hRule="exact" w:val="292"/>
        </w:trPr>
        <w:tc>
          <w:tcPr>
            <w:tcW w:w="2115" w:type="dxa"/>
            <w:vMerge/>
          </w:tcPr>
          <w:p w14:paraId="6B86E34B" w14:textId="77777777" w:rsidR="00F6777F" w:rsidRPr="00F6777F" w:rsidRDefault="00F6777F" w:rsidP="00075D99">
            <w:pPr>
              <w:rPr>
                <w:rFonts w:asciiTheme="majorHAnsi" w:hAnsiTheme="majorHAnsi" w:cstheme="majorHAnsi"/>
                <w:sz w:val="22"/>
              </w:rPr>
            </w:pPr>
          </w:p>
        </w:tc>
        <w:tc>
          <w:tcPr>
            <w:tcW w:w="7825" w:type="dxa"/>
          </w:tcPr>
          <w:p w14:paraId="30CA9FB2"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Stabdžių antiblokavimo sistema ABS arba lygiavertė.</w:t>
            </w:r>
          </w:p>
        </w:tc>
      </w:tr>
      <w:tr w:rsidR="00F6777F" w:rsidRPr="00F6777F" w14:paraId="6EDB7CC7" w14:textId="77777777" w:rsidTr="00F6777F">
        <w:trPr>
          <w:trHeight w:hRule="exact" w:val="340"/>
        </w:trPr>
        <w:tc>
          <w:tcPr>
            <w:tcW w:w="2115" w:type="dxa"/>
            <w:vMerge/>
          </w:tcPr>
          <w:p w14:paraId="5AD74E31" w14:textId="77777777" w:rsidR="00F6777F" w:rsidRPr="00F6777F" w:rsidRDefault="00F6777F" w:rsidP="00075D99">
            <w:pPr>
              <w:rPr>
                <w:rFonts w:asciiTheme="majorHAnsi" w:hAnsiTheme="majorHAnsi" w:cstheme="majorHAnsi"/>
                <w:sz w:val="22"/>
              </w:rPr>
            </w:pPr>
          </w:p>
        </w:tc>
        <w:tc>
          <w:tcPr>
            <w:tcW w:w="7825" w:type="dxa"/>
          </w:tcPr>
          <w:p w14:paraId="10DFA577"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Priekinės oro pagalvės vairuotojui ir keleiviui.</w:t>
            </w:r>
          </w:p>
        </w:tc>
      </w:tr>
      <w:tr w:rsidR="00F6777F" w:rsidRPr="00F6777F" w14:paraId="4AF6BC65" w14:textId="77777777" w:rsidTr="00F6777F">
        <w:trPr>
          <w:trHeight w:hRule="exact" w:val="566"/>
        </w:trPr>
        <w:tc>
          <w:tcPr>
            <w:tcW w:w="2115" w:type="dxa"/>
          </w:tcPr>
          <w:p w14:paraId="754EC11F"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Apsauga</w:t>
            </w:r>
          </w:p>
        </w:tc>
        <w:tc>
          <w:tcPr>
            <w:tcW w:w="7825" w:type="dxa"/>
          </w:tcPr>
          <w:p w14:paraId="6953B294"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Draudimo kompanijų reikalavimus atitinkanti signalizacija ir/ar kitos priemonės.</w:t>
            </w:r>
          </w:p>
        </w:tc>
      </w:tr>
      <w:tr w:rsidR="00F6777F" w:rsidRPr="00F6777F" w14:paraId="096DE8E8" w14:textId="77777777" w:rsidTr="00F6777F">
        <w:trPr>
          <w:trHeight w:hRule="exact" w:val="277"/>
        </w:trPr>
        <w:tc>
          <w:tcPr>
            <w:tcW w:w="2115" w:type="dxa"/>
            <w:vMerge w:val="restart"/>
          </w:tcPr>
          <w:p w14:paraId="76A6465B"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Priedai</w:t>
            </w:r>
          </w:p>
        </w:tc>
        <w:tc>
          <w:tcPr>
            <w:tcW w:w="7825" w:type="dxa"/>
          </w:tcPr>
          <w:p w14:paraId="63E5FED4"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Padangos remonto komplektas ir/arba atsarginis ratas.</w:t>
            </w:r>
          </w:p>
        </w:tc>
      </w:tr>
      <w:tr w:rsidR="00F6777F" w:rsidRPr="00F6777F" w14:paraId="76B7B6D3" w14:textId="77777777" w:rsidTr="00F6777F">
        <w:trPr>
          <w:trHeight w:hRule="exact" w:val="1114"/>
        </w:trPr>
        <w:tc>
          <w:tcPr>
            <w:tcW w:w="2115" w:type="dxa"/>
            <w:vMerge/>
          </w:tcPr>
          <w:p w14:paraId="588CB03F" w14:textId="77777777" w:rsidR="00F6777F" w:rsidRPr="00F6777F" w:rsidRDefault="00F6777F" w:rsidP="00075D99">
            <w:pPr>
              <w:rPr>
                <w:rFonts w:asciiTheme="majorHAnsi" w:hAnsiTheme="majorHAnsi" w:cstheme="majorHAnsi"/>
                <w:sz w:val="22"/>
              </w:rPr>
            </w:pPr>
          </w:p>
        </w:tc>
        <w:tc>
          <w:tcPr>
            <w:tcW w:w="7825" w:type="dxa"/>
          </w:tcPr>
          <w:p w14:paraId="285241EC" w14:textId="77777777" w:rsidR="00F6777F" w:rsidRPr="00F6777F" w:rsidRDefault="00F6777F" w:rsidP="00075D99">
            <w:pPr>
              <w:pStyle w:val="Other0"/>
              <w:jc w:val="both"/>
              <w:rPr>
                <w:rFonts w:asciiTheme="majorHAnsi" w:hAnsiTheme="majorHAnsi" w:cstheme="majorHAnsi"/>
                <w:lang w:val="lt-LT"/>
              </w:rPr>
            </w:pPr>
            <w:r w:rsidRPr="00F6777F">
              <w:rPr>
                <w:rStyle w:val="Other"/>
                <w:rFonts w:asciiTheme="majorHAnsi" w:hAnsiTheme="majorHAnsi" w:cstheme="majorHAnsi"/>
                <w:lang w:val="lt-LT"/>
              </w:rPr>
              <w:t xml:space="preserve">Keltuvas (domkratas). </w:t>
            </w:r>
            <w:r w:rsidRPr="00F6777F">
              <w:rPr>
                <w:rStyle w:val="Other"/>
                <w:rFonts w:asciiTheme="majorHAnsi" w:hAnsiTheme="majorHAnsi" w:cstheme="majorHAnsi"/>
                <w:i/>
                <w:iCs/>
                <w:lang w:val="lt-LT"/>
              </w:rPr>
              <w:t>Jeigu automobilis komplektuojamas su atsarginiu ratu, tuomet keltuvas (domkratas) privalomas. Jeigu automobilis komplektuojamas su padangos remonto komplektu (be atsarginio rato), tuomet keltuvas (domkratas) nėra privalomas.</w:t>
            </w:r>
          </w:p>
        </w:tc>
      </w:tr>
      <w:tr w:rsidR="00F6777F" w:rsidRPr="00F6777F" w14:paraId="41AAB9D8" w14:textId="77777777" w:rsidTr="00F6777F">
        <w:trPr>
          <w:trHeight w:hRule="exact" w:val="292"/>
        </w:trPr>
        <w:tc>
          <w:tcPr>
            <w:tcW w:w="2115" w:type="dxa"/>
            <w:vMerge/>
          </w:tcPr>
          <w:p w14:paraId="00EDB06C" w14:textId="77777777" w:rsidR="00F6777F" w:rsidRPr="00F6777F" w:rsidRDefault="00F6777F" w:rsidP="00075D99">
            <w:pPr>
              <w:rPr>
                <w:rFonts w:asciiTheme="majorHAnsi" w:hAnsiTheme="majorHAnsi" w:cstheme="majorHAnsi"/>
                <w:sz w:val="22"/>
              </w:rPr>
            </w:pPr>
          </w:p>
        </w:tc>
        <w:tc>
          <w:tcPr>
            <w:tcW w:w="7825" w:type="dxa"/>
          </w:tcPr>
          <w:p w14:paraId="3995C4C6"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Avarinis ženklas</w:t>
            </w:r>
          </w:p>
        </w:tc>
      </w:tr>
      <w:tr w:rsidR="00F6777F" w:rsidRPr="00F6777F" w14:paraId="44655DEC" w14:textId="77777777" w:rsidTr="00F6777F">
        <w:trPr>
          <w:trHeight w:hRule="exact" w:val="292"/>
        </w:trPr>
        <w:tc>
          <w:tcPr>
            <w:tcW w:w="2115" w:type="dxa"/>
            <w:vMerge/>
          </w:tcPr>
          <w:p w14:paraId="4DA87793" w14:textId="77777777" w:rsidR="00F6777F" w:rsidRPr="00F6777F" w:rsidRDefault="00F6777F" w:rsidP="00075D99">
            <w:pPr>
              <w:rPr>
                <w:rFonts w:asciiTheme="majorHAnsi" w:hAnsiTheme="majorHAnsi" w:cstheme="majorHAnsi"/>
                <w:sz w:val="22"/>
              </w:rPr>
            </w:pPr>
          </w:p>
        </w:tc>
        <w:tc>
          <w:tcPr>
            <w:tcW w:w="7825" w:type="dxa"/>
          </w:tcPr>
          <w:p w14:paraId="53000FA7"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Gesintuvas</w:t>
            </w:r>
          </w:p>
        </w:tc>
      </w:tr>
      <w:tr w:rsidR="00F6777F" w:rsidRPr="00F6777F" w14:paraId="0BFAF954" w14:textId="77777777" w:rsidTr="00F6777F">
        <w:trPr>
          <w:trHeight w:hRule="exact" w:val="297"/>
        </w:trPr>
        <w:tc>
          <w:tcPr>
            <w:tcW w:w="2115" w:type="dxa"/>
            <w:vMerge/>
          </w:tcPr>
          <w:p w14:paraId="7FD101EB" w14:textId="77777777" w:rsidR="00F6777F" w:rsidRPr="00F6777F" w:rsidRDefault="00F6777F" w:rsidP="00075D99">
            <w:pPr>
              <w:rPr>
                <w:rFonts w:asciiTheme="majorHAnsi" w:hAnsiTheme="majorHAnsi" w:cstheme="majorHAnsi"/>
                <w:sz w:val="22"/>
              </w:rPr>
            </w:pPr>
          </w:p>
        </w:tc>
        <w:tc>
          <w:tcPr>
            <w:tcW w:w="7825" w:type="dxa"/>
          </w:tcPr>
          <w:p w14:paraId="104396C0"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Vaistinėlė</w:t>
            </w:r>
          </w:p>
        </w:tc>
      </w:tr>
      <w:tr w:rsidR="00F6777F" w:rsidRPr="00F6777F" w14:paraId="7C602568" w14:textId="77777777" w:rsidTr="00F6777F">
        <w:trPr>
          <w:trHeight w:hRule="exact" w:val="277"/>
        </w:trPr>
        <w:tc>
          <w:tcPr>
            <w:tcW w:w="2115" w:type="dxa"/>
            <w:vMerge/>
          </w:tcPr>
          <w:p w14:paraId="363BBA1F" w14:textId="77777777" w:rsidR="00F6777F" w:rsidRPr="00F6777F" w:rsidRDefault="00F6777F" w:rsidP="00075D99">
            <w:pPr>
              <w:rPr>
                <w:rFonts w:asciiTheme="majorHAnsi" w:hAnsiTheme="majorHAnsi" w:cstheme="majorHAnsi"/>
                <w:sz w:val="22"/>
              </w:rPr>
            </w:pPr>
          </w:p>
        </w:tc>
        <w:tc>
          <w:tcPr>
            <w:tcW w:w="7825" w:type="dxa"/>
          </w:tcPr>
          <w:p w14:paraId="2C60105A"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Liemenė</w:t>
            </w:r>
          </w:p>
        </w:tc>
      </w:tr>
      <w:tr w:rsidR="00F6777F" w:rsidRPr="00F6777F" w14:paraId="70DCBF27" w14:textId="77777777" w:rsidTr="00F6777F">
        <w:trPr>
          <w:trHeight w:hRule="exact" w:val="301"/>
        </w:trPr>
        <w:tc>
          <w:tcPr>
            <w:tcW w:w="9940" w:type="dxa"/>
            <w:gridSpan w:val="2"/>
          </w:tcPr>
          <w:p w14:paraId="0F880962" w14:textId="77777777" w:rsidR="00F6777F" w:rsidRPr="00F6777F" w:rsidRDefault="00F6777F" w:rsidP="00075D99">
            <w:pPr>
              <w:pStyle w:val="Other0"/>
              <w:jc w:val="center"/>
              <w:rPr>
                <w:rFonts w:asciiTheme="majorHAnsi" w:hAnsiTheme="majorHAnsi" w:cstheme="majorHAnsi"/>
                <w:lang w:val="lt-LT"/>
              </w:rPr>
            </w:pPr>
            <w:r w:rsidRPr="00F6777F">
              <w:rPr>
                <w:rStyle w:val="Other"/>
                <w:rFonts w:asciiTheme="majorHAnsi" w:hAnsiTheme="majorHAnsi" w:cstheme="majorHAnsi"/>
                <w:b/>
                <w:bCs/>
                <w:lang w:val="lt-LT"/>
              </w:rPr>
              <w:t>Kiti reikalavimai veiklos nuomos laikotarpiu</w:t>
            </w:r>
          </w:p>
        </w:tc>
      </w:tr>
      <w:tr w:rsidR="00F6777F" w:rsidRPr="00F6777F" w14:paraId="584B5F1C" w14:textId="77777777" w:rsidTr="00F6777F">
        <w:trPr>
          <w:trHeight w:hRule="exact" w:val="1662"/>
        </w:trPr>
        <w:tc>
          <w:tcPr>
            <w:tcW w:w="2115" w:type="dxa"/>
          </w:tcPr>
          <w:p w14:paraId="5F9E311A"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Padangos</w:t>
            </w:r>
          </w:p>
        </w:tc>
        <w:tc>
          <w:tcPr>
            <w:tcW w:w="7825" w:type="dxa"/>
          </w:tcPr>
          <w:p w14:paraId="52CEAF0D"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Veiklos nuomos Pardavėjas pateikia 2 sezonų (vasarinių ir žieminių) padangų komplektus.</w:t>
            </w:r>
          </w:p>
          <w:p w14:paraId="5E1E622F"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Automobiliai atiduodami eksploatacijai su tam sezonui pritaikytomis sumontuotomis padangomis.</w:t>
            </w:r>
          </w:p>
          <w:p w14:paraId="4EA98475"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Pardavėjas organizuoja sezoninių padangų permontavimą, balansavimą ir saugojimą.</w:t>
            </w:r>
          </w:p>
        </w:tc>
      </w:tr>
      <w:tr w:rsidR="00F6777F" w:rsidRPr="00F6777F" w14:paraId="3783530B" w14:textId="77777777" w:rsidTr="00F6777F">
        <w:trPr>
          <w:trHeight w:hRule="exact" w:val="566"/>
        </w:trPr>
        <w:tc>
          <w:tcPr>
            <w:tcW w:w="2115" w:type="dxa"/>
          </w:tcPr>
          <w:p w14:paraId="5E8C9082"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Techniniai aptarnavimai</w:t>
            </w:r>
          </w:p>
        </w:tc>
        <w:tc>
          <w:tcPr>
            <w:tcW w:w="7825" w:type="dxa"/>
          </w:tcPr>
          <w:p w14:paraId="5190B52D"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Veiklos nuomos Pardavėjas savo lėšomis organizuoja ir vykdo automobilių techninius aptarnavimus.</w:t>
            </w:r>
          </w:p>
        </w:tc>
      </w:tr>
      <w:tr w:rsidR="00F6777F" w:rsidRPr="00F6777F" w14:paraId="3D89C8E9" w14:textId="77777777" w:rsidTr="00F6777F">
        <w:trPr>
          <w:trHeight w:hRule="exact" w:val="835"/>
        </w:trPr>
        <w:tc>
          <w:tcPr>
            <w:tcW w:w="2115" w:type="dxa"/>
          </w:tcPr>
          <w:p w14:paraId="4415A2B7"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Privalomos techninės apžiūros</w:t>
            </w:r>
          </w:p>
        </w:tc>
        <w:tc>
          <w:tcPr>
            <w:tcW w:w="7825" w:type="dxa"/>
          </w:tcPr>
          <w:p w14:paraId="0D101888"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lang w:val="lt-LT"/>
              </w:rPr>
              <w:t>Veiklos nuomos Pardavėjas savo lėšomis organizuoja ir vykdo automobilių paruošimą techninėms apžiūroms ir pristatymą į techninių apžiūrų centrus.</w:t>
            </w:r>
          </w:p>
        </w:tc>
      </w:tr>
      <w:tr w:rsidR="00F6777F" w:rsidRPr="00F6777F" w14:paraId="79683144" w14:textId="77777777" w:rsidTr="00F6777F">
        <w:trPr>
          <w:trHeight w:hRule="exact" w:val="1388"/>
        </w:trPr>
        <w:tc>
          <w:tcPr>
            <w:tcW w:w="2115" w:type="dxa"/>
          </w:tcPr>
          <w:p w14:paraId="69ED72A0"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Draudimas</w:t>
            </w:r>
          </w:p>
        </w:tc>
        <w:tc>
          <w:tcPr>
            <w:tcW w:w="7825" w:type="dxa"/>
          </w:tcPr>
          <w:p w14:paraId="5553581D" w14:textId="77777777" w:rsidR="00F6777F" w:rsidRPr="006249EF" w:rsidRDefault="00F6777F" w:rsidP="00075D99">
            <w:pPr>
              <w:pStyle w:val="Other0"/>
              <w:jc w:val="both"/>
              <w:rPr>
                <w:rStyle w:val="Other"/>
                <w:rFonts w:asciiTheme="majorHAnsi" w:hAnsiTheme="majorHAnsi" w:cstheme="majorHAnsi"/>
              </w:rPr>
            </w:pPr>
            <w:r w:rsidRPr="00F6777F">
              <w:rPr>
                <w:rStyle w:val="Other"/>
                <w:rFonts w:asciiTheme="majorHAnsi" w:hAnsiTheme="majorHAnsi" w:cstheme="majorHAnsi"/>
                <w:lang w:val="lt-LT"/>
              </w:rPr>
              <w:t>Veiklos nuomos Pardavėjas savo lėšomis draudžia automobilius privalomos civilinės atsakomybės ir KASKO (įskaitant Kasko draudimą su pagalba kelyje) draudimais visą sutarties laikotarpį bei, įvykus draudiminiam įvykiui, administruoja įvykį bei moka frančizes ir/ar kitas išskaitas, jeigu jos numatytos automobilio draudimo sutartyse.</w:t>
            </w:r>
          </w:p>
        </w:tc>
      </w:tr>
      <w:tr w:rsidR="00F6777F" w:rsidRPr="00F6777F" w14:paraId="32E3A1DF" w14:textId="77777777" w:rsidTr="00F6777F">
        <w:trPr>
          <w:trHeight w:hRule="exact" w:val="850"/>
        </w:trPr>
        <w:tc>
          <w:tcPr>
            <w:tcW w:w="2115" w:type="dxa"/>
          </w:tcPr>
          <w:p w14:paraId="2D36EAA6" w14:textId="77777777" w:rsidR="00F6777F" w:rsidRPr="00F6777F" w:rsidRDefault="00F6777F" w:rsidP="00075D99">
            <w:pPr>
              <w:pStyle w:val="Other0"/>
              <w:rPr>
                <w:rFonts w:asciiTheme="majorHAnsi" w:hAnsiTheme="majorHAnsi" w:cstheme="majorHAnsi"/>
                <w:lang w:val="lt-LT"/>
              </w:rPr>
            </w:pPr>
            <w:r w:rsidRPr="00F6777F">
              <w:rPr>
                <w:rStyle w:val="Other"/>
                <w:rFonts w:asciiTheme="majorHAnsi" w:hAnsiTheme="majorHAnsi" w:cstheme="majorHAnsi"/>
                <w:b/>
                <w:bCs/>
                <w:lang w:val="lt-LT"/>
              </w:rPr>
              <w:t>Pristatymo vieta</w:t>
            </w:r>
          </w:p>
        </w:tc>
        <w:tc>
          <w:tcPr>
            <w:tcW w:w="7825" w:type="dxa"/>
          </w:tcPr>
          <w:p w14:paraId="2ED4C057" w14:textId="2E12FD54" w:rsidR="00F93AAE" w:rsidRPr="006249EF" w:rsidRDefault="00000000" w:rsidP="006249EF">
            <w:pPr>
              <w:pStyle w:val="Other0"/>
              <w:jc w:val="both"/>
              <w:rPr>
                <w:rStyle w:val="Other"/>
                <w:rFonts w:asciiTheme="majorHAnsi" w:hAnsiTheme="majorHAnsi" w:cstheme="majorHAnsi"/>
                <w:lang w:val="lt-LT"/>
              </w:rPr>
            </w:pPr>
            <w:r w:rsidRPr="006249EF">
              <w:rPr>
                <w:rStyle w:val="Other"/>
                <w:rFonts w:asciiTheme="majorHAnsi" w:hAnsiTheme="majorHAnsi" w:cstheme="majorHAnsi"/>
                <w:lang w:val="lt-LT"/>
              </w:rPr>
              <w:t>Automobiliai pristatomi per ne daugiau kaip 60 kalendorinių dienų nuo sutarties įsigaliojimo dienos adresais: A. Goštauto g. 12, Vilnius ir Juozapavičiaus g. 57, Kaunas.</w:t>
            </w:r>
          </w:p>
        </w:tc>
      </w:tr>
      <w:bookmarkEnd w:id="0"/>
    </w:tbl>
    <w:p w14:paraId="61C5C0CD" w14:textId="77777777" w:rsidR="00683C0C" w:rsidRPr="002C549E" w:rsidRDefault="00683C0C"/>
    <w:sectPr w:rsidR="00683C0C" w:rsidRPr="002C549E"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667F742E"/>
    <w:multiLevelType w:val="hybridMultilevel"/>
    <w:tmpl w:val="7E9ED0B2"/>
    <w:lvl w:ilvl="0" w:tplc="F5E285E0">
      <w:start w:val="1"/>
      <w:numFmt w:val="upperLetter"/>
      <w:lvlText w:val="%1."/>
      <w:lvlJc w:val="left"/>
      <w:pPr>
        <w:ind w:left="3780" w:hanging="36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num w:numId="1" w16cid:durableId="664743979">
    <w:abstractNumId w:val="0"/>
  </w:num>
  <w:num w:numId="2" w16cid:durableId="104236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D77EF"/>
    <w:rsid w:val="000E1C43"/>
    <w:rsid w:val="001D3FDB"/>
    <w:rsid w:val="001D7FEB"/>
    <w:rsid w:val="001E7A02"/>
    <w:rsid w:val="00291743"/>
    <w:rsid w:val="0029411E"/>
    <w:rsid w:val="002C549E"/>
    <w:rsid w:val="003149B2"/>
    <w:rsid w:val="00321874"/>
    <w:rsid w:val="00326B6E"/>
    <w:rsid w:val="00360E32"/>
    <w:rsid w:val="003C3231"/>
    <w:rsid w:val="0044289A"/>
    <w:rsid w:val="004440E7"/>
    <w:rsid w:val="00452D65"/>
    <w:rsid w:val="004E31A7"/>
    <w:rsid w:val="0057797F"/>
    <w:rsid w:val="005B0C48"/>
    <w:rsid w:val="005D5225"/>
    <w:rsid w:val="006249EF"/>
    <w:rsid w:val="00683C0C"/>
    <w:rsid w:val="00735D34"/>
    <w:rsid w:val="00825FAC"/>
    <w:rsid w:val="00860295"/>
    <w:rsid w:val="008D3B2D"/>
    <w:rsid w:val="00941982"/>
    <w:rsid w:val="00995FF6"/>
    <w:rsid w:val="009F69B1"/>
    <w:rsid w:val="00CC6A94"/>
    <w:rsid w:val="00CF5C94"/>
    <w:rsid w:val="00D12884"/>
    <w:rsid w:val="00D40DF5"/>
    <w:rsid w:val="00DC38BE"/>
    <w:rsid w:val="00E53C87"/>
    <w:rsid w:val="00E62B8B"/>
    <w:rsid w:val="00E66666"/>
    <w:rsid w:val="00E7788A"/>
    <w:rsid w:val="00F60576"/>
    <w:rsid w:val="00F6777F"/>
    <w:rsid w:val="00F9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6074"/>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table" w:styleId="Lentelstinklelis">
    <w:name w:val="Table Grid"/>
    <w:basedOn w:val="prastojilentel"/>
    <w:uiPriority w:val="39"/>
    <w:rsid w:val="003149B2"/>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2C549E"/>
    <w:rPr>
      <w:rFonts w:ascii="Times New Roman" w:eastAsia="Times New Roman" w:hAnsi="Times New Roman" w:cs="Times New Roman"/>
    </w:rPr>
  </w:style>
  <w:style w:type="paragraph" w:customStyle="1" w:styleId="Other0">
    <w:name w:val="Other"/>
    <w:basedOn w:val="prastasis"/>
    <w:link w:val="Other"/>
    <w:rsid w:val="002C549E"/>
    <w:pPr>
      <w:widowControl w:val="0"/>
      <w:suppressAutoHyphens w:val="0"/>
      <w:autoSpaceDN/>
      <w:spacing w:after="0" w:line="240" w:lineRule="auto"/>
      <w:textAlignment w:val="auto"/>
    </w:pPr>
    <w:rPr>
      <w:rFonts w:eastAsia="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B41E4"/>
    <w:rsid w:val="001D7FEB"/>
    <w:rsid w:val="0020343C"/>
    <w:rsid w:val="00434E8B"/>
    <w:rsid w:val="0044289A"/>
    <w:rsid w:val="0048009C"/>
    <w:rsid w:val="0057797F"/>
    <w:rsid w:val="005C1951"/>
    <w:rsid w:val="006223D7"/>
    <w:rsid w:val="00743892"/>
    <w:rsid w:val="00764A39"/>
    <w:rsid w:val="008B5B7E"/>
    <w:rsid w:val="008D3B2D"/>
    <w:rsid w:val="009C6CA6"/>
    <w:rsid w:val="00AC789D"/>
    <w:rsid w:val="00BD1B19"/>
    <w:rsid w:val="00C00F56"/>
    <w:rsid w:val="00C5199B"/>
    <w:rsid w:val="00CC6A94"/>
    <w:rsid w:val="00CF5C94"/>
    <w:rsid w:val="00D6307E"/>
    <w:rsid w:val="00D7642B"/>
    <w:rsid w:val="00DE4D7B"/>
    <w:rsid w:val="00E25E51"/>
    <w:rsid w:val="00E62B8B"/>
    <w:rsid w:val="00EA743B"/>
    <w:rsid w:val="00F017E5"/>
    <w:rsid w:val="00F3759B"/>
    <w:rsid w:val="00F60576"/>
    <w:rsid w:val="00FF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F3759B"/>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645</Words>
  <Characters>3679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Karolis Klusevičius</cp:lastModifiedBy>
  <cp:revision>2</cp:revision>
  <dcterms:created xsi:type="dcterms:W3CDTF">2023-01-10T08:54:00Z</dcterms:created>
  <dcterms:modified xsi:type="dcterms:W3CDTF">2025-12-04T08:56:00Z</dcterms:modified>
</cp:coreProperties>
</file>