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3FCAA99" w:rsidR="005003DF" w:rsidRPr="00311056" w:rsidRDefault="00CD0571" w:rsidP="00AF463A">
      <w:pPr>
        <w:ind w:left="5083" w:firstLine="1721"/>
        <w:rPr>
          <w:sz w:val="22"/>
          <w:szCs w:val="22"/>
        </w:rPr>
      </w:pPr>
      <w:bookmarkStart w:id="0" w:name="_Hlk172036071"/>
      <w:r>
        <w:rPr>
          <w:sz w:val="22"/>
          <w:szCs w:val="22"/>
        </w:rPr>
        <w:t>Adriana Šerlat</w:t>
      </w:r>
    </w:p>
    <w:bookmarkEnd w:id="0"/>
    <w:p w14:paraId="63D5910E" w14:textId="1288AF5A" w:rsidR="00502439" w:rsidRPr="00722229" w:rsidRDefault="00502439" w:rsidP="00AF463A">
      <w:pPr>
        <w:ind w:left="5083" w:firstLine="1721"/>
        <w:rPr>
          <w:sz w:val="22"/>
          <w:szCs w:val="22"/>
        </w:rPr>
      </w:pPr>
      <w:r w:rsidRPr="009B6B40">
        <w:rPr>
          <w:sz w:val="22"/>
          <w:szCs w:val="22"/>
        </w:rPr>
        <w:t>202</w:t>
      </w:r>
      <w:r w:rsidR="00361FAC" w:rsidRPr="009B6B40">
        <w:rPr>
          <w:sz w:val="22"/>
          <w:szCs w:val="22"/>
        </w:rPr>
        <w:t>5</w:t>
      </w:r>
      <w:r w:rsidRPr="009B6B40">
        <w:rPr>
          <w:sz w:val="22"/>
          <w:szCs w:val="22"/>
        </w:rPr>
        <w:t xml:space="preserve"> m</w:t>
      </w:r>
      <w:r w:rsidRPr="009B6B40">
        <w:rPr>
          <w:color w:val="000000" w:themeColor="text1"/>
          <w:sz w:val="22"/>
          <w:szCs w:val="22"/>
        </w:rPr>
        <w:t xml:space="preserve">. </w:t>
      </w:r>
      <w:r w:rsidR="004C02C3">
        <w:rPr>
          <w:color w:val="000000" w:themeColor="text1"/>
          <w:sz w:val="22"/>
          <w:szCs w:val="22"/>
        </w:rPr>
        <w:t>gruodžio</w:t>
      </w:r>
      <w:r w:rsidR="0096536B" w:rsidRPr="009B6B40">
        <w:rPr>
          <w:color w:val="000000" w:themeColor="text1"/>
          <w:sz w:val="22"/>
          <w:szCs w:val="22"/>
        </w:rPr>
        <w:t xml:space="preserve"> </w:t>
      </w:r>
      <w:r w:rsidR="004C02C3">
        <w:rPr>
          <w:color w:val="000000" w:themeColor="text1"/>
          <w:sz w:val="22"/>
          <w:szCs w:val="22"/>
        </w:rPr>
        <w:t>0</w:t>
      </w:r>
      <w:r w:rsidR="00ED5EC3">
        <w:rPr>
          <w:color w:val="000000" w:themeColor="text1"/>
          <w:sz w:val="22"/>
          <w:szCs w:val="22"/>
        </w:rPr>
        <w:t>4</w:t>
      </w:r>
      <w:r w:rsidR="00CD0571" w:rsidRPr="009B6B40">
        <w:rPr>
          <w:color w:val="000000" w:themeColor="text1"/>
          <w:sz w:val="22"/>
          <w:szCs w:val="22"/>
        </w:rPr>
        <w:t xml:space="preserve"> </w:t>
      </w:r>
      <w:r w:rsidRPr="009B6B40">
        <w:rPr>
          <w:color w:val="000000" w:themeColor="text1"/>
          <w:sz w:val="22"/>
          <w:szCs w:val="22"/>
        </w:rPr>
        <w:t>d</w:t>
      </w:r>
      <w:r w:rsidRPr="009B6B40">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18AA1DC9" w14:textId="24BB12EF" w:rsidR="009E00E5" w:rsidRDefault="00CD0571" w:rsidP="00CB5C6F">
      <w:pPr>
        <w:pStyle w:val="prastasiniatinklio"/>
        <w:spacing w:before="0" w:beforeAutospacing="0" w:after="0" w:afterAutospacing="0"/>
        <w:ind w:left="2204" w:firstLine="1624"/>
        <w:rPr>
          <w:b/>
          <w:bCs/>
        </w:rPr>
      </w:pPr>
      <w:bookmarkStart w:id="1" w:name="_Hlk208995351"/>
      <w:r w:rsidRPr="00CD0571">
        <w:rPr>
          <w:b/>
          <w:bCs/>
        </w:rPr>
        <w:t xml:space="preserve">Laboratorinės spintos </w:t>
      </w:r>
      <w:bookmarkEnd w:id="1"/>
      <w:r w:rsidR="00E92712" w:rsidRPr="00E92712">
        <w:rPr>
          <w:b/>
          <w:bCs/>
        </w:rPr>
        <w:t>(Tūkstantmečio mokyklos)</w:t>
      </w:r>
    </w:p>
    <w:p w14:paraId="52B24E5A" w14:textId="77777777" w:rsidR="00CD0571" w:rsidRPr="00722229" w:rsidRDefault="00CD0571"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72F5BC54"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8D0494">
        <w:rPr>
          <w:kern w:val="2"/>
          <w:shd w:val="clear" w:color="auto" w:fill="FFFFFF"/>
        </w:rPr>
        <w:t>4.1</w:t>
      </w:r>
      <w:r w:rsidR="00C6584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r w:rsidR="005D0E03">
        <w:rPr>
          <w:color w:val="000000"/>
        </w:rPr>
        <w:t xml:space="preserve"> ir </w:t>
      </w:r>
      <w:bookmarkStart w:id="2" w:name="_Hlk183590114"/>
      <w:r w:rsidR="005D0E03" w:rsidRPr="00C031AB">
        <w:rPr>
          <w:sz w:val="22"/>
          <w:szCs w:val="22"/>
        </w:rPr>
        <w:t>Techninėje specifikacijoje</w:t>
      </w:r>
      <w:bookmarkEnd w:id="2"/>
      <w:r w:rsidR="00D0523E" w:rsidRPr="008D0494">
        <w:rPr>
          <w:color w:val="000000"/>
        </w:rPr>
        <w:t>.</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3" w:name="_Hlk161745516"/>
      <w:r w:rsidR="00FD6241" w:rsidRPr="00CD0571">
        <w:rPr>
          <w:rFonts w:eastAsia="Times New Roman"/>
          <w:szCs w:val="20"/>
          <w:lang w:eastAsia="en-US"/>
        </w:rPr>
        <w:t xml:space="preserve">Pirkimas neatliekamas naudojantis centralizuotų pirkimų katalogu, nes </w:t>
      </w:r>
      <w:bookmarkEnd w:id="3"/>
      <w:r w:rsidR="00CD0571" w:rsidRPr="00CD0571">
        <w:rPr>
          <w:rFonts w:eastAsia="Times New Roman"/>
          <w:szCs w:val="20"/>
          <w:lang w:eastAsia="en-US"/>
        </w:rPr>
        <w:t>CPO kataloge prekėms nėra taikomi reikalavimai dėl standartų.</w:t>
      </w:r>
    </w:p>
    <w:p w14:paraId="121B3B88" w14:textId="03374E1E"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351DCC" w:rsidRPr="00351DCC">
        <w:rPr>
          <w:rFonts w:eastAsia="Times New Roman"/>
        </w:rPr>
        <w:t>Adriana Šerlat</w:t>
      </w:r>
      <w:r w:rsidRPr="001A1F6E">
        <w:rPr>
          <w:rFonts w:eastAsia="Times New Roman"/>
        </w:rPr>
        <w:t xml:space="preserve">, Rinktinės g. 50, Vilnius, tel. </w:t>
      </w:r>
      <w:r w:rsidR="00351DCC" w:rsidRPr="00351DCC">
        <w:rPr>
          <w:rFonts w:eastAsia="Times New Roman"/>
        </w:rPr>
        <w:t>+370 5 210 9694</w:t>
      </w:r>
      <w:r w:rsidRPr="001A1F6E">
        <w:rPr>
          <w:rFonts w:eastAsia="Times New Roman"/>
        </w:rPr>
        <w:t xml:space="preserve">, el. p. </w:t>
      </w:r>
      <w:hyperlink r:id="rId9" w:history="1">
        <w:r w:rsidR="00351DCC" w:rsidRPr="00BF64E6">
          <w:rPr>
            <w:rStyle w:val="Hipersaitas"/>
          </w:rPr>
          <w:t>Adriana.Serlat@vrsa.lt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65E8C98F"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CD0571" w:rsidRPr="00CD0571">
        <w:rPr>
          <w:b/>
          <w:bCs/>
        </w:rPr>
        <w:t>Laboratorin</w:t>
      </w:r>
      <w:r w:rsidR="00CD0571">
        <w:rPr>
          <w:b/>
          <w:bCs/>
        </w:rPr>
        <w:t>e</w:t>
      </w:r>
      <w:r w:rsidR="00CD0571" w:rsidRPr="00CD0571">
        <w:rPr>
          <w:b/>
          <w:bCs/>
        </w:rPr>
        <w:t>s spint</w:t>
      </w:r>
      <w:r w:rsidR="00CD0571">
        <w:rPr>
          <w:b/>
          <w:bCs/>
        </w:rPr>
        <w:t>as</w:t>
      </w:r>
      <w:r w:rsidR="00E92712">
        <w:rPr>
          <w:b/>
          <w:bCs/>
        </w:rPr>
        <w:t xml:space="preserve"> </w:t>
      </w:r>
      <w:r w:rsidR="00E92712" w:rsidRPr="00E92712">
        <w:rPr>
          <w:b/>
          <w:bCs/>
        </w:rPr>
        <w:t>(Tūkstantmečio mokyklos)</w:t>
      </w:r>
      <w:r w:rsidR="00A71790">
        <w:rPr>
          <w:b/>
          <w:bCs/>
        </w:rPr>
        <w:t>.</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4"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4"/>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086E1008" w:rsidR="00432E69" w:rsidRPr="00722229" w:rsidRDefault="00467217" w:rsidP="00570342">
      <w:pPr>
        <w:jc w:val="center"/>
      </w:pPr>
      <w:r>
        <w:rPr>
          <w:b/>
          <w:bCs/>
        </w:rPr>
        <w:t xml:space="preserve">Dėl </w:t>
      </w:r>
      <w:r w:rsidR="00A71790" w:rsidRPr="00A71790">
        <w:rPr>
          <w:b/>
          <w:bCs/>
        </w:rPr>
        <w:t>Laboratorinės spintos</w:t>
      </w:r>
      <w:r w:rsidR="00E92712">
        <w:rPr>
          <w:b/>
          <w:bCs/>
        </w:rPr>
        <w:t xml:space="preserve"> </w:t>
      </w:r>
      <w:r w:rsidR="00E92712" w:rsidRPr="00E92712">
        <w:rPr>
          <w:b/>
          <w:bCs/>
        </w:rPr>
        <w:t>(Tūkstantmečio mokyklos)</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17E76F30" w14:textId="6015FA99" w:rsidR="0066319D" w:rsidRPr="004C02C3" w:rsidRDefault="008B7062" w:rsidP="004C02C3">
      <w:pPr>
        <w:ind w:firstLine="709"/>
        <w:jc w:val="both"/>
        <w:rPr>
          <w:bCs/>
        </w:rPr>
      </w:pPr>
      <w:r w:rsidRPr="00722229">
        <w:rPr>
          <w:szCs w:val="24"/>
        </w:rPr>
        <w:t xml:space="preserve">Mes siūlome </w:t>
      </w:r>
      <w:r w:rsidR="00F2011E" w:rsidRPr="00F2011E">
        <w:rPr>
          <w:b/>
          <w:bCs/>
          <w:szCs w:val="24"/>
        </w:rPr>
        <w:t xml:space="preserve">Laboratorinės spintos </w:t>
      </w:r>
      <w:r w:rsidR="00E92712" w:rsidRPr="00E92712">
        <w:rPr>
          <w:b/>
          <w:bCs/>
          <w:szCs w:val="24"/>
        </w:rPr>
        <w:t>(Tūkstantmečio mokyklos)</w:t>
      </w:r>
      <w:r w:rsidR="00E92712">
        <w:rPr>
          <w:b/>
          <w:bCs/>
          <w:szCs w:val="24"/>
        </w:rPr>
        <w:t xml:space="preserve"> </w:t>
      </w:r>
      <w:r w:rsidRPr="00722229">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322"/>
        <w:gridCol w:w="850"/>
        <w:gridCol w:w="993"/>
        <w:gridCol w:w="1134"/>
        <w:gridCol w:w="1275"/>
      </w:tblGrid>
      <w:tr w:rsidR="008B7062" w:rsidRPr="0029198B" w14:paraId="098D3A14" w14:textId="77777777" w:rsidTr="00E30C7E">
        <w:tc>
          <w:tcPr>
            <w:tcW w:w="627" w:type="dxa"/>
            <w:vAlign w:val="center"/>
          </w:tcPr>
          <w:p w14:paraId="17EAF095" w14:textId="77777777" w:rsidR="008B7062" w:rsidRPr="00D810F8" w:rsidRDefault="008B7062" w:rsidP="00BA18C2">
            <w:pPr>
              <w:jc w:val="center"/>
              <w:rPr>
                <w:b/>
                <w:szCs w:val="24"/>
              </w:rPr>
            </w:pPr>
            <w:r w:rsidRPr="00D810F8">
              <w:rPr>
                <w:b/>
                <w:szCs w:val="24"/>
              </w:rPr>
              <w:t>Eil. Nr.</w:t>
            </w:r>
          </w:p>
        </w:tc>
        <w:tc>
          <w:tcPr>
            <w:tcW w:w="5322" w:type="dxa"/>
            <w:vAlign w:val="center"/>
          </w:tcPr>
          <w:p w14:paraId="2B1C54C1" w14:textId="77777777" w:rsidR="008B7062" w:rsidRPr="00D810F8" w:rsidRDefault="008B7062" w:rsidP="00BA18C2">
            <w:pPr>
              <w:jc w:val="center"/>
              <w:rPr>
                <w:szCs w:val="24"/>
              </w:rPr>
            </w:pPr>
            <w:r w:rsidRPr="00D810F8">
              <w:rPr>
                <w:b/>
                <w:bCs/>
                <w:szCs w:val="24"/>
              </w:rPr>
              <w:t>Prekių pavadinimas</w:t>
            </w:r>
          </w:p>
        </w:tc>
        <w:tc>
          <w:tcPr>
            <w:tcW w:w="850" w:type="dxa"/>
            <w:vAlign w:val="center"/>
          </w:tcPr>
          <w:p w14:paraId="78EC34AB" w14:textId="77777777" w:rsidR="008B7062" w:rsidRPr="00D810F8" w:rsidRDefault="008B7062" w:rsidP="00BA18C2">
            <w:pPr>
              <w:pStyle w:val="Default"/>
              <w:jc w:val="center"/>
              <w:rPr>
                <w:b/>
                <w:lang w:val="lt-LT"/>
              </w:rPr>
            </w:pPr>
            <w:r w:rsidRPr="00D810F8">
              <w:rPr>
                <w:b/>
                <w:lang w:val="lt-LT"/>
              </w:rPr>
              <w:t>Mato</w:t>
            </w:r>
          </w:p>
          <w:p w14:paraId="18AD8C0B" w14:textId="77777777" w:rsidR="008B7062" w:rsidRPr="00D810F8" w:rsidRDefault="008B7062" w:rsidP="00BA18C2">
            <w:pPr>
              <w:jc w:val="center"/>
              <w:rPr>
                <w:szCs w:val="24"/>
              </w:rPr>
            </w:pPr>
            <w:r w:rsidRPr="00D810F8">
              <w:rPr>
                <w:b/>
                <w:szCs w:val="24"/>
              </w:rPr>
              <w:t>vnt.</w:t>
            </w:r>
          </w:p>
        </w:tc>
        <w:tc>
          <w:tcPr>
            <w:tcW w:w="993" w:type="dxa"/>
            <w:vAlign w:val="center"/>
          </w:tcPr>
          <w:p w14:paraId="54E248A7" w14:textId="77777777" w:rsidR="008B7062" w:rsidRPr="00D810F8" w:rsidRDefault="008B7062" w:rsidP="00BA18C2">
            <w:pPr>
              <w:jc w:val="center"/>
              <w:rPr>
                <w:b/>
                <w:szCs w:val="24"/>
              </w:rPr>
            </w:pPr>
            <w:r w:rsidRPr="00D810F8">
              <w:rPr>
                <w:b/>
                <w:bCs/>
                <w:szCs w:val="24"/>
              </w:rPr>
              <w:t>Kiekis, vnt.</w:t>
            </w:r>
          </w:p>
        </w:tc>
        <w:tc>
          <w:tcPr>
            <w:tcW w:w="1134" w:type="dxa"/>
            <w:vAlign w:val="center"/>
          </w:tcPr>
          <w:p w14:paraId="080A1386" w14:textId="4FF4B7FB" w:rsidR="008B7062" w:rsidRPr="00D810F8" w:rsidRDefault="008B7062" w:rsidP="00BA18C2">
            <w:pPr>
              <w:pStyle w:val="Default"/>
              <w:jc w:val="center"/>
              <w:rPr>
                <w:b/>
                <w:lang w:val="lt-LT"/>
              </w:rPr>
            </w:pPr>
            <w:r w:rsidRPr="00D810F8">
              <w:rPr>
                <w:b/>
                <w:lang w:val="lt-LT"/>
              </w:rPr>
              <w:t xml:space="preserve">Vieneto </w:t>
            </w:r>
            <w:r w:rsidR="00E23F6C">
              <w:rPr>
                <w:b/>
                <w:lang w:val="lt-LT"/>
              </w:rPr>
              <w:t>įkainis</w:t>
            </w:r>
            <w:r w:rsidRPr="00D810F8">
              <w:rPr>
                <w:b/>
                <w:lang w:val="lt-LT"/>
              </w:rPr>
              <w:t>,</w:t>
            </w:r>
          </w:p>
          <w:p w14:paraId="059BC1E4" w14:textId="77777777" w:rsidR="008B7062" w:rsidRPr="00D810F8" w:rsidRDefault="008B7062" w:rsidP="00BA18C2">
            <w:pPr>
              <w:jc w:val="center"/>
              <w:rPr>
                <w:b/>
                <w:szCs w:val="24"/>
              </w:rPr>
            </w:pPr>
            <w:r w:rsidRPr="00D810F8">
              <w:rPr>
                <w:b/>
                <w:szCs w:val="24"/>
              </w:rPr>
              <w:t>Eur (be PVM)</w:t>
            </w:r>
          </w:p>
        </w:tc>
        <w:tc>
          <w:tcPr>
            <w:tcW w:w="1275" w:type="dxa"/>
            <w:vAlign w:val="center"/>
          </w:tcPr>
          <w:p w14:paraId="436A02DF" w14:textId="77777777" w:rsidR="008B7062" w:rsidRPr="00D810F8" w:rsidRDefault="008B7062" w:rsidP="00BA18C2">
            <w:pPr>
              <w:jc w:val="center"/>
              <w:rPr>
                <w:b/>
                <w:szCs w:val="24"/>
              </w:rPr>
            </w:pPr>
            <w:r w:rsidRPr="00D810F8">
              <w:rPr>
                <w:b/>
                <w:szCs w:val="24"/>
              </w:rPr>
              <w:t>Bendra kaina, EUR (be PVM)</w:t>
            </w:r>
          </w:p>
          <w:p w14:paraId="54FD03F2" w14:textId="77777777" w:rsidR="008B7062" w:rsidRPr="00D810F8" w:rsidRDefault="008B7062" w:rsidP="00BA18C2">
            <w:pPr>
              <w:jc w:val="center"/>
              <w:rPr>
                <w:b/>
                <w:szCs w:val="24"/>
              </w:rPr>
            </w:pPr>
            <w:r w:rsidRPr="00D810F8">
              <w:rPr>
                <w:b/>
                <w:szCs w:val="24"/>
              </w:rPr>
              <w:t>(4)x(5)</w:t>
            </w:r>
          </w:p>
        </w:tc>
      </w:tr>
      <w:tr w:rsidR="008B7062" w:rsidRPr="0029198B" w14:paraId="50A605C7" w14:textId="77777777" w:rsidTr="00E30C7E">
        <w:tc>
          <w:tcPr>
            <w:tcW w:w="627" w:type="dxa"/>
          </w:tcPr>
          <w:p w14:paraId="09F9B89B" w14:textId="77777777" w:rsidR="008B7062" w:rsidRPr="00D810F8" w:rsidRDefault="008B7062" w:rsidP="00BA18C2">
            <w:pPr>
              <w:jc w:val="center"/>
              <w:rPr>
                <w:bCs/>
                <w:i/>
                <w:iCs/>
                <w:szCs w:val="24"/>
              </w:rPr>
            </w:pPr>
            <w:r w:rsidRPr="00D810F8">
              <w:rPr>
                <w:bCs/>
                <w:i/>
                <w:iCs/>
                <w:szCs w:val="24"/>
              </w:rPr>
              <w:t>1</w:t>
            </w:r>
          </w:p>
        </w:tc>
        <w:tc>
          <w:tcPr>
            <w:tcW w:w="5322" w:type="dxa"/>
          </w:tcPr>
          <w:p w14:paraId="4C2BD3A5" w14:textId="77777777" w:rsidR="008B7062" w:rsidRPr="00D810F8" w:rsidRDefault="008B7062" w:rsidP="00BA18C2">
            <w:pPr>
              <w:jc w:val="center"/>
              <w:rPr>
                <w:bCs/>
                <w:i/>
                <w:iCs/>
                <w:szCs w:val="24"/>
              </w:rPr>
            </w:pPr>
            <w:r w:rsidRPr="00D810F8">
              <w:rPr>
                <w:bCs/>
                <w:i/>
                <w:iCs/>
                <w:szCs w:val="24"/>
              </w:rPr>
              <w:t>2</w:t>
            </w:r>
          </w:p>
        </w:tc>
        <w:tc>
          <w:tcPr>
            <w:tcW w:w="850" w:type="dxa"/>
          </w:tcPr>
          <w:p w14:paraId="486349C4" w14:textId="77777777" w:rsidR="008B7062" w:rsidRPr="00D810F8" w:rsidRDefault="008B7062" w:rsidP="00BA18C2">
            <w:pPr>
              <w:pStyle w:val="Default"/>
              <w:jc w:val="center"/>
              <w:rPr>
                <w:bCs/>
                <w:i/>
                <w:iCs/>
                <w:lang w:val="lt-LT"/>
              </w:rPr>
            </w:pPr>
            <w:r w:rsidRPr="00D810F8">
              <w:rPr>
                <w:bCs/>
                <w:i/>
                <w:iCs/>
                <w:lang w:val="lt-LT"/>
              </w:rPr>
              <w:t>3</w:t>
            </w:r>
          </w:p>
        </w:tc>
        <w:tc>
          <w:tcPr>
            <w:tcW w:w="993" w:type="dxa"/>
          </w:tcPr>
          <w:p w14:paraId="2411C277" w14:textId="77777777" w:rsidR="008B7062" w:rsidRPr="00D810F8" w:rsidRDefault="008B7062" w:rsidP="00BA18C2">
            <w:pPr>
              <w:jc w:val="center"/>
              <w:rPr>
                <w:bCs/>
                <w:i/>
                <w:iCs/>
                <w:szCs w:val="24"/>
              </w:rPr>
            </w:pPr>
            <w:r w:rsidRPr="00D810F8">
              <w:rPr>
                <w:bCs/>
                <w:i/>
                <w:iCs/>
                <w:szCs w:val="24"/>
              </w:rPr>
              <w:t>4</w:t>
            </w:r>
          </w:p>
        </w:tc>
        <w:tc>
          <w:tcPr>
            <w:tcW w:w="1134" w:type="dxa"/>
          </w:tcPr>
          <w:p w14:paraId="585E1609" w14:textId="77777777" w:rsidR="008B7062" w:rsidRPr="00D810F8" w:rsidRDefault="008B7062" w:rsidP="00BA18C2">
            <w:pPr>
              <w:pStyle w:val="Default"/>
              <w:jc w:val="center"/>
              <w:rPr>
                <w:bCs/>
                <w:i/>
                <w:iCs/>
                <w:lang w:val="lt-LT"/>
              </w:rPr>
            </w:pPr>
            <w:r w:rsidRPr="00D810F8">
              <w:rPr>
                <w:bCs/>
                <w:i/>
                <w:iCs/>
                <w:lang w:val="lt-LT"/>
              </w:rPr>
              <w:t>5</w:t>
            </w:r>
          </w:p>
        </w:tc>
        <w:tc>
          <w:tcPr>
            <w:tcW w:w="1275" w:type="dxa"/>
          </w:tcPr>
          <w:p w14:paraId="2C804A10" w14:textId="77777777" w:rsidR="008B7062" w:rsidRPr="00D810F8" w:rsidRDefault="008B7062" w:rsidP="00BA18C2">
            <w:pPr>
              <w:jc w:val="center"/>
              <w:rPr>
                <w:bCs/>
                <w:i/>
                <w:iCs/>
                <w:szCs w:val="24"/>
              </w:rPr>
            </w:pPr>
            <w:r w:rsidRPr="00D810F8">
              <w:rPr>
                <w:bCs/>
                <w:i/>
                <w:iCs/>
                <w:szCs w:val="24"/>
              </w:rPr>
              <w:t>6</w:t>
            </w:r>
          </w:p>
        </w:tc>
      </w:tr>
      <w:tr w:rsidR="00A71790" w:rsidRPr="0029198B" w14:paraId="591EE7F0" w14:textId="77777777" w:rsidTr="00E30C7E">
        <w:tc>
          <w:tcPr>
            <w:tcW w:w="627" w:type="dxa"/>
            <w:vAlign w:val="center"/>
          </w:tcPr>
          <w:p w14:paraId="39E422FB" w14:textId="60196DA2" w:rsidR="00A71790" w:rsidRPr="00D810F8" w:rsidRDefault="00A71790" w:rsidP="006112C3">
            <w:pPr>
              <w:jc w:val="center"/>
              <w:rPr>
                <w:szCs w:val="24"/>
              </w:rPr>
            </w:pPr>
            <w:r>
              <w:rPr>
                <w:szCs w:val="24"/>
              </w:rPr>
              <w:t>1.</w:t>
            </w:r>
          </w:p>
        </w:tc>
        <w:tc>
          <w:tcPr>
            <w:tcW w:w="5322" w:type="dxa"/>
            <w:vAlign w:val="center"/>
          </w:tcPr>
          <w:p w14:paraId="001ECB2F" w14:textId="08409C8D" w:rsidR="00A71790" w:rsidRPr="00A71790" w:rsidRDefault="00A71790" w:rsidP="006112C3">
            <w:pPr>
              <w:rPr>
                <w:szCs w:val="24"/>
              </w:rPr>
            </w:pPr>
            <w:r w:rsidRPr="00A71790">
              <w:rPr>
                <w:szCs w:val="24"/>
              </w:rPr>
              <w:t>Demonstracinė traukos spinta</w:t>
            </w:r>
          </w:p>
        </w:tc>
        <w:tc>
          <w:tcPr>
            <w:tcW w:w="850" w:type="dxa"/>
            <w:vAlign w:val="center"/>
          </w:tcPr>
          <w:p w14:paraId="38656EF1" w14:textId="657236B2" w:rsidR="00A71790" w:rsidRDefault="00A71790" w:rsidP="006112C3">
            <w:pPr>
              <w:jc w:val="center"/>
              <w:rPr>
                <w:szCs w:val="24"/>
              </w:rPr>
            </w:pPr>
            <w:r>
              <w:rPr>
                <w:szCs w:val="24"/>
              </w:rPr>
              <w:t>vnt.</w:t>
            </w:r>
          </w:p>
        </w:tc>
        <w:tc>
          <w:tcPr>
            <w:tcW w:w="993" w:type="dxa"/>
            <w:vAlign w:val="center"/>
          </w:tcPr>
          <w:p w14:paraId="265DD51E" w14:textId="41181255" w:rsidR="00A71790" w:rsidRDefault="0066319D" w:rsidP="006112C3">
            <w:pPr>
              <w:jc w:val="center"/>
              <w:rPr>
                <w:szCs w:val="24"/>
              </w:rPr>
            </w:pPr>
            <w:r>
              <w:rPr>
                <w:szCs w:val="24"/>
              </w:rPr>
              <w:t>2</w:t>
            </w:r>
          </w:p>
        </w:tc>
        <w:tc>
          <w:tcPr>
            <w:tcW w:w="1134" w:type="dxa"/>
            <w:vAlign w:val="center"/>
          </w:tcPr>
          <w:p w14:paraId="78C59F49" w14:textId="77777777" w:rsidR="00A71790" w:rsidRPr="00D810F8" w:rsidRDefault="00A71790" w:rsidP="006112C3">
            <w:pPr>
              <w:jc w:val="center"/>
              <w:rPr>
                <w:szCs w:val="24"/>
              </w:rPr>
            </w:pPr>
          </w:p>
        </w:tc>
        <w:tc>
          <w:tcPr>
            <w:tcW w:w="1275" w:type="dxa"/>
          </w:tcPr>
          <w:p w14:paraId="507CA6FC" w14:textId="77777777" w:rsidR="00A71790" w:rsidRPr="00D810F8" w:rsidRDefault="00A71790" w:rsidP="006112C3">
            <w:pPr>
              <w:jc w:val="both"/>
              <w:rPr>
                <w:szCs w:val="24"/>
              </w:rPr>
            </w:pPr>
          </w:p>
        </w:tc>
      </w:tr>
      <w:tr w:rsidR="0066319D" w:rsidRPr="0029198B" w14:paraId="15283734" w14:textId="77777777" w:rsidTr="00E30C7E">
        <w:tc>
          <w:tcPr>
            <w:tcW w:w="627" w:type="dxa"/>
            <w:vAlign w:val="center"/>
          </w:tcPr>
          <w:p w14:paraId="5BB5B889" w14:textId="0C4BEEE7" w:rsidR="0066319D" w:rsidRDefault="0066319D" w:rsidP="006112C3">
            <w:pPr>
              <w:jc w:val="center"/>
              <w:rPr>
                <w:szCs w:val="24"/>
              </w:rPr>
            </w:pPr>
            <w:r>
              <w:rPr>
                <w:szCs w:val="24"/>
              </w:rPr>
              <w:t>2.</w:t>
            </w:r>
          </w:p>
        </w:tc>
        <w:tc>
          <w:tcPr>
            <w:tcW w:w="5322" w:type="dxa"/>
            <w:vAlign w:val="center"/>
          </w:tcPr>
          <w:p w14:paraId="65754299" w14:textId="4935DF59" w:rsidR="0066319D" w:rsidRPr="00A71790" w:rsidRDefault="0066319D" w:rsidP="006112C3">
            <w:pPr>
              <w:rPr>
                <w:szCs w:val="24"/>
              </w:rPr>
            </w:pPr>
            <w:r w:rsidRPr="0066319D">
              <w:rPr>
                <w:szCs w:val="24"/>
              </w:rPr>
              <w:t>Laboratorinė traukos spinta</w:t>
            </w:r>
          </w:p>
        </w:tc>
        <w:tc>
          <w:tcPr>
            <w:tcW w:w="850" w:type="dxa"/>
            <w:vAlign w:val="center"/>
          </w:tcPr>
          <w:p w14:paraId="5E88D7D3" w14:textId="7E8F6C04" w:rsidR="0066319D" w:rsidRDefault="0066319D" w:rsidP="006112C3">
            <w:pPr>
              <w:jc w:val="center"/>
              <w:rPr>
                <w:szCs w:val="24"/>
              </w:rPr>
            </w:pPr>
            <w:r>
              <w:rPr>
                <w:szCs w:val="24"/>
              </w:rPr>
              <w:t>vnt.</w:t>
            </w:r>
          </w:p>
        </w:tc>
        <w:tc>
          <w:tcPr>
            <w:tcW w:w="993" w:type="dxa"/>
            <w:vAlign w:val="center"/>
          </w:tcPr>
          <w:p w14:paraId="42CC973D" w14:textId="5F2FC2B2" w:rsidR="0066319D" w:rsidRDefault="0066319D" w:rsidP="006112C3">
            <w:pPr>
              <w:jc w:val="center"/>
              <w:rPr>
                <w:szCs w:val="24"/>
              </w:rPr>
            </w:pPr>
            <w:r>
              <w:rPr>
                <w:szCs w:val="24"/>
              </w:rPr>
              <w:t>1</w:t>
            </w:r>
          </w:p>
        </w:tc>
        <w:tc>
          <w:tcPr>
            <w:tcW w:w="1134" w:type="dxa"/>
            <w:vAlign w:val="center"/>
          </w:tcPr>
          <w:p w14:paraId="3DD2D3FB" w14:textId="77777777" w:rsidR="0066319D" w:rsidRPr="00D810F8" w:rsidRDefault="0066319D" w:rsidP="006112C3">
            <w:pPr>
              <w:jc w:val="center"/>
              <w:rPr>
                <w:szCs w:val="24"/>
              </w:rPr>
            </w:pPr>
          </w:p>
        </w:tc>
        <w:tc>
          <w:tcPr>
            <w:tcW w:w="1275" w:type="dxa"/>
          </w:tcPr>
          <w:p w14:paraId="5C1B0F56" w14:textId="77777777" w:rsidR="0066319D" w:rsidRPr="00D810F8" w:rsidRDefault="0066319D" w:rsidP="006112C3">
            <w:pPr>
              <w:jc w:val="both"/>
              <w:rPr>
                <w:szCs w:val="24"/>
              </w:rPr>
            </w:pPr>
          </w:p>
        </w:tc>
      </w:tr>
      <w:tr w:rsidR="006112C3" w:rsidRPr="0029198B" w14:paraId="7CE0A1BB" w14:textId="77777777" w:rsidTr="00B979B8">
        <w:tc>
          <w:tcPr>
            <w:tcW w:w="10201" w:type="dxa"/>
            <w:gridSpan w:val="6"/>
            <w:vAlign w:val="center"/>
          </w:tcPr>
          <w:p w14:paraId="5B4839DC" w14:textId="5D9E44C6" w:rsidR="006112C3" w:rsidRPr="00D810F8" w:rsidRDefault="006112C3" w:rsidP="006112C3">
            <w:pPr>
              <w:jc w:val="both"/>
              <w:rPr>
                <w:szCs w:val="24"/>
              </w:rPr>
            </w:pPr>
            <w:r w:rsidRPr="00D810F8">
              <w:rPr>
                <w:b/>
                <w:szCs w:val="24"/>
              </w:rPr>
              <w:t>Bendra sutarties kaina be PVM, EUR:</w:t>
            </w:r>
          </w:p>
        </w:tc>
      </w:tr>
      <w:tr w:rsidR="006112C3" w:rsidRPr="0029198B" w14:paraId="131E3BC5" w14:textId="77777777" w:rsidTr="00B979B8">
        <w:tc>
          <w:tcPr>
            <w:tcW w:w="10201" w:type="dxa"/>
            <w:gridSpan w:val="6"/>
            <w:vAlign w:val="center"/>
          </w:tcPr>
          <w:p w14:paraId="50A989F4" w14:textId="42E54D79" w:rsidR="006112C3" w:rsidRPr="00D810F8" w:rsidRDefault="006112C3" w:rsidP="006112C3">
            <w:pPr>
              <w:jc w:val="both"/>
              <w:rPr>
                <w:szCs w:val="24"/>
              </w:rPr>
            </w:pPr>
            <w:r w:rsidRPr="00D810F8">
              <w:rPr>
                <w:b/>
                <w:szCs w:val="24"/>
              </w:rPr>
              <w:t>PVM vertė (21 %), EUR:</w:t>
            </w:r>
          </w:p>
        </w:tc>
      </w:tr>
      <w:tr w:rsidR="006112C3" w:rsidRPr="0029198B" w14:paraId="1A767985" w14:textId="77777777" w:rsidTr="00B979B8">
        <w:tc>
          <w:tcPr>
            <w:tcW w:w="10201" w:type="dxa"/>
            <w:gridSpan w:val="6"/>
            <w:vAlign w:val="center"/>
          </w:tcPr>
          <w:p w14:paraId="09E7BE26" w14:textId="77777777" w:rsidR="006112C3" w:rsidRPr="00D810F8" w:rsidRDefault="006112C3" w:rsidP="006112C3">
            <w:pPr>
              <w:jc w:val="both"/>
              <w:rPr>
                <w:szCs w:val="24"/>
              </w:rPr>
            </w:pPr>
            <w:r w:rsidRPr="00D810F8">
              <w:rPr>
                <w:b/>
                <w:szCs w:val="24"/>
              </w:rPr>
              <w:t>Bendra sutarties kaina su PVM, EUR (skaičiais ir žodžiais):</w:t>
            </w:r>
          </w:p>
        </w:tc>
      </w:tr>
    </w:tbl>
    <w:p w14:paraId="12B51180" w14:textId="77777777" w:rsidR="00E30C7E" w:rsidRDefault="00E30C7E" w:rsidP="008B7062">
      <w:pPr>
        <w:jc w:val="both"/>
        <w:rPr>
          <w:sz w:val="20"/>
        </w:rPr>
      </w:pPr>
    </w:p>
    <w:p w14:paraId="6427D213" w14:textId="744B958C" w:rsidR="008B7062" w:rsidRPr="00722229" w:rsidRDefault="008B7062" w:rsidP="008B7062">
      <w:pPr>
        <w:jc w:val="both"/>
        <w:rPr>
          <w:sz w:val="20"/>
        </w:rPr>
      </w:pPr>
      <w:r w:rsidRPr="00722229">
        <w:rPr>
          <w:sz w:val="20"/>
        </w:rPr>
        <w:lastRenderedPageBreak/>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3186BA26" w14:textId="6FED7D8A" w:rsidR="001C4847" w:rsidRDefault="00467217" w:rsidP="00AB51CD">
      <w:pPr>
        <w:rPr>
          <w:iCs/>
          <w:szCs w:val="24"/>
        </w:rPr>
      </w:pPr>
      <w:r w:rsidRPr="003776CF">
        <w:rPr>
          <w:iCs/>
          <w:szCs w:val="24"/>
        </w:rPr>
        <w:t>Siūlomų prekių charakteristikos yra tokios</w:t>
      </w:r>
      <w:r w:rsidR="00F27769" w:rsidRPr="003776CF">
        <w:rPr>
          <w:iCs/>
          <w:szCs w:val="24"/>
        </w:rPr>
        <w:t>:</w:t>
      </w:r>
    </w:p>
    <w:tbl>
      <w:tblPr>
        <w:tblStyle w:val="Lentelstinklelis"/>
        <w:tblW w:w="10201" w:type="dxa"/>
        <w:tblLook w:val="04A0" w:firstRow="1" w:lastRow="0" w:firstColumn="1" w:lastColumn="0" w:noHBand="0" w:noVBand="1"/>
      </w:tblPr>
      <w:tblGrid>
        <w:gridCol w:w="540"/>
        <w:gridCol w:w="5125"/>
        <w:gridCol w:w="1843"/>
        <w:gridCol w:w="2693"/>
      </w:tblGrid>
      <w:tr w:rsidR="00FD102D" w:rsidRPr="00AD7578" w14:paraId="5AB01C5E" w14:textId="77777777" w:rsidTr="00164D5B">
        <w:tc>
          <w:tcPr>
            <w:tcW w:w="540" w:type="dxa"/>
          </w:tcPr>
          <w:p w14:paraId="6E0B04D4" w14:textId="77777777" w:rsidR="00FD102D" w:rsidRPr="00AD7578" w:rsidRDefault="00FD102D" w:rsidP="000F38B1">
            <w:pPr>
              <w:jc w:val="center"/>
              <w:rPr>
                <w:i/>
                <w:iCs/>
                <w:sz w:val="20"/>
              </w:rPr>
            </w:pPr>
            <w:r w:rsidRPr="00AD7578">
              <w:rPr>
                <w:rFonts w:eastAsia="Calibri"/>
                <w:b/>
                <w:bCs/>
                <w:i/>
                <w:iCs/>
                <w:sz w:val="20"/>
                <w:lang w:eastAsia="zh-CN"/>
              </w:rPr>
              <w:t>Eil. Nr.</w:t>
            </w:r>
          </w:p>
        </w:tc>
        <w:tc>
          <w:tcPr>
            <w:tcW w:w="5125" w:type="dxa"/>
          </w:tcPr>
          <w:p w14:paraId="313B52F9" w14:textId="77777777" w:rsidR="00FD102D" w:rsidRDefault="00FD102D" w:rsidP="000F38B1">
            <w:pPr>
              <w:jc w:val="center"/>
              <w:rPr>
                <w:b/>
                <w:i/>
                <w:iCs/>
                <w:sz w:val="22"/>
                <w:szCs w:val="22"/>
              </w:rPr>
            </w:pPr>
          </w:p>
          <w:p w14:paraId="0DCACEE2" w14:textId="77777777" w:rsidR="00FD102D" w:rsidRDefault="00FD102D" w:rsidP="000F38B1">
            <w:pPr>
              <w:jc w:val="center"/>
              <w:rPr>
                <w:b/>
                <w:i/>
                <w:iCs/>
                <w:sz w:val="22"/>
                <w:szCs w:val="22"/>
              </w:rPr>
            </w:pPr>
          </w:p>
          <w:p w14:paraId="247B0F39" w14:textId="77777777" w:rsidR="00FD102D" w:rsidRDefault="00FD102D" w:rsidP="000F38B1">
            <w:pPr>
              <w:jc w:val="center"/>
              <w:rPr>
                <w:b/>
                <w:i/>
                <w:iCs/>
                <w:sz w:val="22"/>
                <w:szCs w:val="22"/>
              </w:rPr>
            </w:pPr>
          </w:p>
          <w:p w14:paraId="4E3A49FD" w14:textId="77777777" w:rsidR="00FD102D" w:rsidRDefault="00FD102D" w:rsidP="000F38B1">
            <w:pPr>
              <w:jc w:val="center"/>
              <w:rPr>
                <w:b/>
                <w:i/>
                <w:iCs/>
                <w:sz w:val="22"/>
                <w:szCs w:val="22"/>
              </w:rPr>
            </w:pPr>
          </w:p>
          <w:p w14:paraId="37C533E6" w14:textId="2003D620" w:rsidR="00FD102D" w:rsidRPr="00AD7578" w:rsidRDefault="00FD102D" w:rsidP="000F38B1">
            <w:pPr>
              <w:jc w:val="center"/>
              <w:rPr>
                <w:i/>
                <w:iCs/>
                <w:sz w:val="20"/>
              </w:rPr>
            </w:pPr>
            <w:r w:rsidRPr="00FD102D">
              <w:rPr>
                <w:b/>
                <w:i/>
                <w:iCs/>
                <w:sz w:val="22"/>
                <w:szCs w:val="22"/>
              </w:rPr>
              <w:t>Pavadinimas ir reikalaujamos techninės charakteristikos</w:t>
            </w:r>
          </w:p>
        </w:tc>
        <w:tc>
          <w:tcPr>
            <w:tcW w:w="1843" w:type="dxa"/>
            <w:vAlign w:val="center"/>
          </w:tcPr>
          <w:p w14:paraId="173B4F2B" w14:textId="77777777" w:rsidR="00FD102D" w:rsidRPr="00BB7A21" w:rsidRDefault="00FD102D" w:rsidP="00FD102D">
            <w:pPr>
              <w:jc w:val="center"/>
              <w:rPr>
                <w:rFonts w:asciiTheme="majorBidi" w:hAnsiTheme="majorBidi" w:cstheme="majorBidi"/>
                <w:b/>
                <w:sz w:val="22"/>
                <w:szCs w:val="22"/>
              </w:rPr>
            </w:pPr>
            <w:r w:rsidRPr="00BB7A21">
              <w:rPr>
                <w:rFonts w:asciiTheme="majorBidi" w:hAnsiTheme="majorBidi" w:cstheme="majorBidi"/>
                <w:b/>
                <w:noProof/>
                <w:sz w:val="22"/>
                <w:szCs w:val="22"/>
              </w:rPr>
              <w:t>Siūlomos prekės charakteristikos</w:t>
            </w:r>
          </w:p>
          <w:p w14:paraId="6E2D739A" w14:textId="5958E7C1" w:rsidR="00FD102D" w:rsidRPr="00AD7578" w:rsidRDefault="00FD102D" w:rsidP="00FD102D">
            <w:pPr>
              <w:jc w:val="center"/>
              <w:rPr>
                <w:i/>
                <w:iCs/>
                <w:sz w:val="20"/>
              </w:rPr>
            </w:pPr>
            <w:r w:rsidRPr="00BB7A21">
              <w:rPr>
                <w:rFonts w:asciiTheme="majorBidi" w:eastAsia="Arial Unicode MS" w:hAnsiTheme="majorBidi" w:cstheme="majorBidi"/>
                <w:i/>
                <w:iCs/>
                <w:sz w:val="22"/>
                <w:szCs w:val="22"/>
                <w:bdr w:val="nil"/>
              </w:rPr>
              <w:t>Nurodomi konkretūs siūlomi parametrai (rašyti „Atitinka“ arba „Taip“ neleidžiama)</w:t>
            </w:r>
          </w:p>
        </w:tc>
        <w:tc>
          <w:tcPr>
            <w:tcW w:w="2693" w:type="dxa"/>
          </w:tcPr>
          <w:p w14:paraId="47D0698C" w14:textId="1A23E3CF" w:rsidR="00FD102D" w:rsidRDefault="00164D5B" w:rsidP="000F38B1">
            <w:pPr>
              <w:jc w:val="center"/>
              <w:rPr>
                <w:i/>
                <w:iCs/>
                <w:sz w:val="20"/>
              </w:rPr>
            </w:pPr>
            <w:r w:rsidRPr="00865305">
              <w:rPr>
                <w:rFonts w:asciiTheme="majorBidi" w:hAnsiTheme="majorBidi" w:cstheme="majorBidi"/>
                <w:b/>
                <w:bCs/>
                <w:sz w:val="20"/>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865305">
              <w:rPr>
                <w:rFonts w:asciiTheme="majorBidi" w:hAnsiTheme="majorBidi" w:cstheme="majorBidi"/>
                <w:sz w:val="20"/>
              </w:rPr>
              <w:t>(</w:t>
            </w:r>
            <w:r w:rsidRPr="00865305">
              <w:rPr>
                <w:rFonts w:asciiTheme="majorBidi" w:hAnsiTheme="majorBidi" w:cstheme="majorBidi"/>
                <w:i/>
                <w:iCs/>
                <w:sz w:val="20"/>
              </w:rPr>
              <w:t>nuorodos į interneto puslapius kaip atitikties įrodymas nepriimamos</w:t>
            </w:r>
            <w:r w:rsidRPr="00865305">
              <w:rPr>
                <w:rFonts w:asciiTheme="majorBidi" w:hAnsiTheme="majorBidi" w:cstheme="majorBidi"/>
                <w:sz w:val="20"/>
              </w:rPr>
              <w:t>)</w:t>
            </w:r>
          </w:p>
          <w:p w14:paraId="5CAD5F5C" w14:textId="4D8D8289" w:rsidR="00FD102D" w:rsidRPr="00AD7578" w:rsidRDefault="00FD102D" w:rsidP="000F38B1">
            <w:pPr>
              <w:jc w:val="center"/>
              <w:rPr>
                <w:i/>
                <w:iCs/>
                <w:sz w:val="20"/>
              </w:rPr>
            </w:pPr>
          </w:p>
        </w:tc>
      </w:tr>
      <w:tr w:rsidR="00FD102D" w:rsidRPr="00AD7578" w14:paraId="7CCA1DAF" w14:textId="77777777" w:rsidTr="00164D5B">
        <w:tc>
          <w:tcPr>
            <w:tcW w:w="540" w:type="dxa"/>
          </w:tcPr>
          <w:p w14:paraId="313D292D" w14:textId="77777777" w:rsidR="00FD102D" w:rsidRPr="00AD7578" w:rsidRDefault="00FD102D" w:rsidP="00FD102D">
            <w:pPr>
              <w:jc w:val="center"/>
              <w:rPr>
                <w:sz w:val="20"/>
              </w:rPr>
            </w:pPr>
            <w:r w:rsidRPr="00AD7578">
              <w:rPr>
                <w:sz w:val="20"/>
              </w:rPr>
              <w:lastRenderedPageBreak/>
              <w:t>1.</w:t>
            </w:r>
          </w:p>
        </w:tc>
        <w:tc>
          <w:tcPr>
            <w:tcW w:w="5125" w:type="dxa"/>
          </w:tcPr>
          <w:p w14:paraId="1B6F3FA9" w14:textId="77777777" w:rsidR="00FD102D" w:rsidRPr="00432A25"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color w:val="000000" w:themeColor="text1"/>
                <w:lang w:val="lt-LT"/>
              </w:rPr>
            </w:pPr>
            <w:r w:rsidRPr="00432A25">
              <w:rPr>
                <w:rFonts w:cs="Times New Roman"/>
                <w:b/>
                <w:bCs/>
                <w:noProof/>
                <w:color w:val="000000" w:themeColor="text1"/>
                <w:lang w:val="lt-LT"/>
              </w:rPr>
              <w:t>Demonstracinė traukos spinta</w:t>
            </w:r>
          </w:p>
          <w:p w14:paraId="15607D84" w14:textId="77777777" w:rsidR="00432A25" w:rsidRPr="00432A25" w:rsidRDefault="00432A25" w:rsidP="00432A25">
            <w:pPr>
              <w:numPr>
                <w:ilvl w:val="0"/>
                <w:numId w:val="26"/>
              </w:numPr>
              <w:ind w:left="259" w:hanging="270"/>
              <w:jc w:val="both"/>
              <w:rPr>
                <w:rFonts w:eastAsia="Calibri"/>
                <w:color w:val="000000"/>
                <w:sz w:val="20"/>
                <w:lang w:eastAsia="en-US"/>
              </w:rPr>
            </w:pPr>
            <w:r w:rsidRPr="00432A25">
              <w:rPr>
                <w:rFonts w:eastAsia="MS ??"/>
                <w:color w:val="000000"/>
                <w:sz w:val="20"/>
                <w:lang w:eastAsia="en-US"/>
              </w:rPr>
              <w:t>Traukos spinta sertifikuota pagal EN 14175-2:2003, EN 14175-3:2019 arba lygiaverčio standarto reikalavimus. Pateikiamas nepriklausomos sertifikavimo įstaigos išduotas sertifikatas.</w:t>
            </w:r>
          </w:p>
          <w:p w14:paraId="31BBEDCC" w14:textId="77777777" w:rsidR="00432A25" w:rsidRPr="00432A25" w:rsidRDefault="00432A25" w:rsidP="00432A25">
            <w:pPr>
              <w:numPr>
                <w:ilvl w:val="0"/>
                <w:numId w:val="26"/>
              </w:numPr>
              <w:ind w:left="259" w:hanging="270"/>
              <w:jc w:val="both"/>
              <w:rPr>
                <w:rFonts w:eastAsia="Calibri"/>
                <w:color w:val="000000"/>
                <w:sz w:val="20"/>
                <w:lang w:eastAsia="en-US"/>
              </w:rPr>
            </w:pPr>
            <w:r w:rsidRPr="00432A25">
              <w:rPr>
                <w:rFonts w:eastAsia="Calibri"/>
                <w:color w:val="000000"/>
                <w:sz w:val="20"/>
                <w:lang w:eastAsia="en-US"/>
              </w:rPr>
              <w:t>Matmenys (P x G x A): plotis nuo 900 iki 1200 mm, gylis nuo 700 iki 1000 mm, aukštis nuo 1800 iki 2300 mm.</w:t>
            </w:r>
          </w:p>
          <w:p w14:paraId="119E7178"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Darbinis aukštis – 900 mm </w:t>
            </w:r>
            <w:r w:rsidRPr="00432A25">
              <w:rPr>
                <w:rFonts w:eastAsia="MS Mincho"/>
                <w:color w:val="000000"/>
                <w:sz w:val="20"/>
                <w:lang w:eastAsia="en-US"/>
              </w:rPr>
              <w:t xml:space="preserve">(±50 mm). </w:t>
            </w:r>
          </w:p>
          <w:p w14:paraId="0673D194" w14:textId="77777777" w:rsidR="00432A25" w:rsidRPr="00432A25" w:rsidRDefault="00432A25" w:rsidP="00432A25">
            <w:pPr>
              <w:numPr>
                <w:ilvl w:val="0"/>
                <w:numId w:val="26"/>
              </w:numPr>
              <w:suppressAutoHyphens/>
              <w:ind w:left="259" w:hanging="270"/>
              <w:jc w:val="both"/>
              <w:rPr>
                <w:rFonts w:eastAsia="Arial Unicode MS"/>
                <w:color w:val="000000"/>
                <w:sz w:val="20"/>
                <w:bdr w:val="nil"/>
              </w:rPr>
            </w:pPr>
            <w:r w:rsidRPr="00432A25">
              <w:rPr>
                <w:rFonts w:eastAsia="MS ??"/>
                <w:color w:val="000000"/>
                <w:sz w:val="20"/>
                <w:bdr w:val="nil"/>
              </w:rPr>
              <w:t xml:space="preserve">Stalviršis - </w:t>
            </w:r>
            <w:r w:rsidRPr="00432A25">
              <w:rPr>
                <w:rFonts w:eastAsia="Arial Unicode MS"/>
                <w:color w:val="000000"/>
                <w:sz w:val="20"/>
                <w:bdr w:val="nil"/>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243BCB19" w14:textId="77777777" w:rsidR="00432A25" w:rsidRPr="00432A25" w:rsidRDefault="00432A25" w:rsidP="00432A25">
            <w:pPr>
              <w:numPr>
                <w:ilvl w:val="0"/>
                <w:numId w:val="26"/>
              </w:numPr>
              <w:suppressAutoHyphens/>
              <w:ind w:left="259" w:hanging="270"/>
              <w:jc w:val="both"/>
              <w:rPr>
                <w:rFonts w:eastAsia="Arial Unicode MS"/>
                <w:color w:val="000000"/>
                <w:sz w:val="20"/>
                <w:bdr w:val="nil"/>
              </w:rPr>
            </w:pPr>
            <w:r w:rsidRPr="00432A25">
              <w:rPr>
                <w:rFonts w:eastAsia="Arial Unicode MS"/>
                <w:color w:val="000000"/>
                <w:sz w:val="20"/>
                <w:bdr w:val="nil"/>
              </w:rPr>
              <w:t xml:space="preserve">Stalviršis su briaunomis arba pakeltomis kraštinėmis. </w:t>
            </w:r>
          </w:p>
          <w:p w14:paraId="24EB37A1"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Traukos spintos viršutinė dalis, esanti virš darbastalio turi būti įstiklinta iš visų pusių grūdintu saugos stiklu ir užtikrinti pilną vidaus matomumą iš visų pusių.  </w:t>
            </w:r>
          </w:p>
          <w:p w14:paraId="6EC1E225"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Traukos spintos pakeliamas langas įstiklintas grūdintu saugos stiklu ir sudarytas iš 2 vertikaliai judančių lango dalių bei 2 horizontaliai varstomų langų. </w:t>
            </w:r>
          </w:p>
          <w:p w14:paraId="1F0D8A4C"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Pakeliamo lango rankena bei rėmas, priekinė darbinio lygio geometrija ir šoninių panelių profiliai turi aerodinaminę formą, padedančią išvengti įtraukiamo oro sūkurių. </w:t>
            </w:r>
          </w:p>
          <w:p w14:paraId="657F4BF7"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Instaliacijų valdymo čiaupai sumontuoti į traukos spintos išorėje.</w:t>
            </w:r>
          </w:p>
          <w:p w14:paraId="0697D999" w14:textId="72F22A01"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1 šalto vandens kranas ir polipropileno arba lygiavertės medžiagos kriauklytė su sifonu, sumontuoti traukos spintos darbastalyje. Įvadai sukomplektuoti su tiekimo ir nuotekų linijomis bei reikalingais sujungimo elementais.</w:t>
            </w:r>
          </w:p>
          <w:p w14:paraId="0A837C21"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Ištraukiamo oro kanalo pajungimo angos diametras – ne mažiau kaip 100 mm.</w:t>
            </w:r>
          </w:p>
          <w:p w14:paraId="713DC4A5"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iCs/>
                <w:color w:val="000000"/>
                <w:sz w:val="20"/>
                <w:lang w:eastAsia="en-US"/>
              </w:rPr>
              <w:t>Traukos spintoje įrengtas neakinantis LED apšvietimas su išoriniu jungikliu.</w:t>
            </w:r>
          </w:p>
          <w:p w14:paraId="69ADD2CB"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Mincho"/>
                <w:color w:val="000000"/>
                <w:sz w:val="20"/>
                <w:lang w:eastAsia="en-US"/>
              </w:rPr>
              <w:t>Traukos spinta turi būti sukomplektuota su funkcijų displėjumi ir pastovaus oro srauto kontrolės bei aliarmo sistema, tiekiančia vizualinį ir akustinį signalą, kai ištraukiamo oro srautas nepasiekia nustatyto minimalaus lygio.</w:t>
            </w:r>
          </w:p>
          <w:p w14:paraId="4C7CA277"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Po traukos spintos darbastaliu sumontuotas traukos spintos stacionarus pagrindas su spintele</w:t>
            </w:r>
          </w:p>
          <w:p w14:paraId="64719E92"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Mincho"/>
                <w:color w:val="000000"/>
                <w:sz w:val="20"/>
                <w:lang w:eastAsia="en-US"/>
              </w:rPr>
              <w:t xml:space="preserve">Traukos spinta turi užtikrinti saugų darbą su ne </w:t>
            </w:r>
            <w:r w:rsidRPr="00432A25">
              <w:rPr>
                <w:rFonts w:eastAsia="MS Mincho"/>
                <w:sz w:val="20"/>
                <w:lang w:eastAsia="en-US"/>
              </w:rPr>
              <w:t>didesniu kaip</w:t>
            </w:r>
            <w:r w:rsidRPr="00432A25">
              <w:rPr>
                <w:rFonts w:eastAsia="MS Mincho"/>
                <w:color w:val="000000"/>
                <w:sz w:val="20"/>
                <w:lang w:eastAsia="en-US"/>
              </w:rPr>
              <w:t xml:space="preserve"> 4</w:t>
            </w:r>
            <w:r w:rsidRPr="00432A25">
              <w:rPr>
                <w:rFonts w:eastAsia="MS Mincho"/>
                <w:i/>
                <w:iCs/>
                <w:color w:val="000000"/>
                <w:sz w:val="20"/>
                <w:lang w:eastAsia="en-US"/>
              </w:rPr>
              <w:t>8</w:t>
            </w:r>
            <w:r w:rsidRPr="00432A25">
              <w:rPr>
                <w:rFonts w:eastAsia="MS Mincho"/>
                <w:color w:val="000000"/>
                <w:sz w:val="20"/>
                <w:lang w:eastAsia="en-US"/>
              </w:rPr>
              <w:t>0 m3/val. ištraukiamo oro srautu.</w:t>
            </w:r>
            <w:r w:rsidRPr="00432A25">
              <w:rPr>
                <w:rFonts w:eastAsia="MS Mincho"/>
                <w:b/>
                <w:color w:val="000000"/>
                <w:sz w:val="20"/>
                <w:lang w:eastAsia="en-US"/>
              </w:rPr>
              <w:t xml:space="preserve"> </w:t>
            </w:r>
          </w:p>
          <w:p w14:paraId="126173D3" w14:textId="75DD4417" w:rsidR="00FD102D"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Gaminiui suteikiama ne trumpesnė kaip 60 mėn. gamintojo garantija.</w:t>
            </w:r>
          </w:p>
        </w:tc>
        <w:tc>
          <w:tcPr>
            <w:tcW w:w="1843" w:type="dxa"/>
            <w:vAlign w:val="center"/>
          </w:tcPr>
          <w:p w14:paraId="393C83B5" w14:textId="77777777" w:rsidR="00FD102D" w:rsidRPr="00BB7A21" w:rsidRDefault="00FD102D" w:rsidP="00FD102D">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t>Nurodykite gamintojo ir modelio pavadinimą</w:t>
            </w:r>
          </w:p>
          <w:p w14:paraId="3FA51C47" w14:textId="61957BFD" w:rsidR="00FD102D" w:rsidRPr="00AD7578" w:rsidRDefault="00FD102D" w:rsidP="00FD102D">
            <w:pPr>
              <w:jc w:val="center"/>
              <w:rPr>
                <w:sz w:val="20"/>
              </w:rPr>
            </w:pPr>
            <w:r w:rsidRPr="00BB7A21">
              <w:rPr>
                <w:rFonts w:asciiTheme="majorBidi" w:eastAsia="Arial Unicode MS" w:hAnsiTheme="majorBidi" w:cstheme="majorBidi"/>
                <w:i/>
                <w:iCs/>
                <w:sz w:val="22"/>
                <w:szCs w:val="22"/>
                <w:bdr w:val="nil"/>
              </w:rPr>
              <w:t>(rašyti „Atitinka“ arba „Taip“ neleidžiama)</w:t>
            </w:r>
          </w:p>
        </w:tc>
        <w:tc>
          <w:tcPr>
            <w:tcW w:w="2693" w:type="dxa"/>
          </w:tcPr>
          <w:p w14:paraId="3C3A933B" w14:textId="77777777" w:rsidR="00FD102D" w:rsidRPr="00AD7578" w:rsidRDefault="00FD102D" w:rsidP="00FD102D">
            <w:pPr>
              <w:spacing w:line="252" w:lineRule="auto"/>
              <w:jc w:val="center"/>
              <w:rPr>
                <w:rFonts w:eastAsia="Calibri"/>
                <w:sz w:val="20"/>
                <w14:ligatures w14:val="standardContextual"/>
              </w:rPr>
            </w:pPr>
          </w:p>
          <w:p w14:paraId="2E2F0431" w14:textId="77777777" w:rsidR="00FD102D" w:rsidRPr="00AD7578" w:rsidRDefault="00FD102D" w:rsidP="00FD102D">
            <w:pPr>
              <w:spacing w:line="252" w:lineRule="auto"/>
              <w:jc w:val="center"/>
              <w:rPr>
                <w:rFonts w:eastAsia="Calibri"/>
                <w:sz w:val="20"/>
                <w14:ligatures w14:val="standardContextual"/>
              </w:rPr>
            </w:pPr>
          </w:p>
          <w:p w14:paraId="5CC0A9C2" w14:textId="77777777" w:rsidR="00FD102D" w:rsidRPr="00AD7578" w:rsidRDefault="00FD102D" w:rsidP="00FD102D">
            <w:pPr>
              <w:spacing w:line="252" w:lineRule="auto"/>
              <w:jc w:val="center"/>
              <w:rPr>
                <w:rFonts w:eastAsia="Calibri"/>
                <w:sz w:val="20"/>
                <w14:ligatures w14:val="standardContextual"/>
              </w:rPr>
            </w:pPr>
          </w:p>
          <w:p w14:paraId="663D6F23" w14:textId="77777777" w:rsidR="00FD102D" w:rsidRPr="00AD7578" w:rsidRDefault="00FD102D" w:rsidP="00FD102D">
            <w:pPr>
              <w:jc w:val="center"/>
              <w:rPr>
                <w:rFonts w:eastAsia="Calibri"/>
                <w:sz w:val="20"/>
                <w14:ligatures w14:val="standardContextual"/>
              </w:rPr>
            </w:pPr>
          </w:p>
          <w:p w14:paraId="5DDD6EA0" w14:textId="7F29EB84" w:rsidR="00FD102D" w:rsidRPr="00AD7578" w:rsidRDefault="00FD102D" w:rsidP="00FD102D">
            <w:pPr>
              <w:jc w:val="center"/>
              <w:rPr>
                <w:sz w:val="20"/>
              </w:rPr>
            </w:pPr>
          </w:p>
        </w:tc>
      </w:tr>
      <w:tr w:rsidR="00F12923" w:rsidRPr="00AD7578" w14:paraId="5F4A5042" w14:textId="77777777" w:rsidTr="00164D5B">
        <w:tc>
          <w:tcPr>
            <w:tcW w:w="540" w:type="dxa"/>
          </w:tcPr>
          <w:p w14:paraId="295E2F7E" w14:textId="042CC24C" w:rsidR="00F12923" w:rsidRPr="00F12923" w:rsidRDefault="00C80FBE" w:rsidP="00C80FBE">
            <w:pPr>
              <w:rPr>
                <w:sz w:val="20"/>
              </w:rPr>
            </w:pPr>
            <w:r>
              <w:rPr>
                <w:sz w:val="20"/>
              </w:rPr>
              <w:t>2.</w:t>
            </w:r>
          </w:p>
        </w:tc>
        <w:tc>
          <w:tcPr>
            <w:tcW w:w="5125" w:type="dxa"/>
          </w:tcPr>
          <w:p w14:paraId="5484E2DE" w14:textId="77777777" w:rsidR="00F12923" w:rsidRPr="00432A25" w:rsidRDefault="00F12923" w:rsidP="00F129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000000" w:themeColor="text1"/>
                <w:lang w:val="lt-LT"/>
              </w:rPr>
            </w:pPr>
            <w:r w:rsidRPr="00432A25">
              <w:rPr>
                <w:rFonts w:cs="Times New Roman"/>
                <w:b/>
                <w:bCs/>
                <w:color w:val="000000" w:themeColor="text1"/>
                <w:lang w:val="lt-LT"/>
              </w:rPr>
              <w:t>Laboratorinė traukos spinta</w:t>
            </w:r>
          </w:p>
          <w:p w14:paraId="07276A5E" w14:textId="77777777" w:rsidR="00432A25" w:rsidRPr="00432A25" w:rsidRDefault="00432A25" w:rsidP="00432A25">
            <w:pPr>
              <w:numPr>
                <w:ilvl w:val="0"/>
                <w:numId w:val="26"/>
              </w:numPr>
              <w:ind w:left="259" w:hanging="270"/>
              <w:jc w:val="both"/>
              <w:rPr>
                <w:rFonts w:eastAsia="Calibri"/>
                <w:color w:val="000000"/>
                <w:sz w:val="20"/>
                <w:lang w:eastAsia="en-US"/>
              </w:rPr>
            </w:pPr>
            <w:r w:rsidRPr="00432A25">
              <w:rPr>
                <w:rFonts w:eastAsia="MS ??"/>
                <w:color w:val="000000"/>
                <w:sz w:val="20"/>
                <w:lang w:eastAsia="en-US"/>
              </w:rPr>
              <w:t>Traukos spinta sertifikuota pagal EN 14175-2:2003, EN 14175-3:2019 arba lygiaverčio standarto reikalavimus. Pateikiamas nepriklausomos sertifikavimo įstaigos išduotas sertifikatas.</w:t>
            </w:r>
          </w:p>
          <w:p w14:paraId="0E283A2B" w14:textId="77777777" w:rsidR="00432A25" w:rsidRPr="00432A25" w:rsidRDefault="00432A25" w:rsidP="00432A25">
            <w:pPr>
              <w:numPr>
                <w:ilvl w:val="0"/>
                <w:numId w:val="26"/>
              </w:numPr>
              <w:ind w:left="259" w:hanging="270"/>
              <w:jc w:val="both"/>
              <w:rPr>
                <w:rFonts w:eastAsia="Calibri"/>
                <w:color w:val="000000"/>
                <w:sz w:val="20"/>
                <w:lang w:eastAsia="en-US"/>
              </w:rPr>
            </w:pPr>
            <w:r w:rsidRPr="00432A25">
              <w:rPr>
                <w:rFonts w:eastAsia="Calibri"/>
                <w:color w:val="000000"/>
                <w:sz w:val="20"/>
                <w:lang w:eastAsia="en-US"/>
              </w:rPr>
              <w:t>Matmenys (P x G x A): plotis nuo 900 iki 1200 mm, gylis nuo 700 iki 1000 mm, aukštis nuo 1800 iki 2500 mm.</w:t>
            </w:r>
          </w:p>
          <w:p w14:paraId="384C48EE"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Darbinis aukštis – 900 mm </w:t>
            </w:r>
            <w:r w:rsidRPr="00432A25">
              <w:rPr>
                <w:rFonts w:eastAsia="MS Mincho"/>
                <w:color w:val="000000"/>
                <w:sz w:val="20"/>
                <w:lang w:eastAsia="en-US"/>
              </w:rPr>
              <w:t xml:space="preserve">(±50 mm). </w:t>
            </w:r>
          </w:p>
          <w:p w14:paraId="6196ACF9" w14:textId="77777777" w:rsidR="00432A25" w:rsidRPr="00432A25" w:rsidRDefault="00432A25" w:rsidP="00432A25">
            <w:pPr>
              <w:numPr>
                <w:ilvl w:val="0"/>
                <w:numId w:val="26"/>
              </w:numPr>
              <w:suppressAutoHyphens/>
              <w:ind w:left="259" w:hanging="270"/>
              <w:jc w:val="both"/>
              <w:rPr>
                <w:rFonts w:eastAsia="Arial Unicode MS"/>
                <w:color w:val="000000"/>
                <w:sz w:val="20"/>
                <w:bdr w:val="nil"/>
              </w:rPr>
            </w:pPr>
            <w:r w:rsidRPr="00432A25">
              <w:rPr>
                <w:rFonts w:eastAsia="MS ??"/>
                <w:color w:val="000000"/>
                <w:sz w:val="20"/>
                <w:bdr w:val="nil"/>
              </w:rPr>
              <w:t xml:space="preserve">Stalviršis - </w:t>
            </w:r>
            <w:r w:rsidRPr="00432A25">
              <w:rPr>
                <w:rFonts w:eastAsia="Arial Unicode MS"/>
                <w:color w:val="000000"/>
                <w:sz w:val="20"/>
                <w:bdr w:val="nil"/>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6C76B67A" w14:textId="77777777" w:rsidR="00432A25" w:rsidRPr="00432A25" w:rsidRDefault="00432A25" w:rsidP="00432A25">
            <w:pPr>
              <w:numPr>
                <w:ilvl w:val="0"/>
                <w:numId w:val="26"/>
              </w:numPr>
              <w:suppressAutoHyphens/>
              <w:ind w:left="259" w:hanging="270"/>
              <w:jc w:val="both"/>
              <w:rPr>
                <w:rFonts w:eastAsia="Arial Unicode MS"/>
                <w:color w:val="000000"/>
                <w:sz w:val="20"/>
                <w:bdr w:val="nil"/>
              </w:rPr>
            </w:pPr>
            <w:r w:rsidRPr="00432A25">
              <w:rPr>
                <w:rFonts w:eastAsia="Arial Unicode MS"/>
                <w:color w:val="000000"/>
                <w:sz w:val="20"/>
                <w:bdr w:val="nil"/>
              </w:rPr>
              <w:t xml:space="preserve">Stalviršis su briaunomis arba pakeltomis kraštinėmis. </w:t>
            </w:r>
          </w:p>
          <w:p w14:paraId="21436759" w14:textId="77777777" w:rsidR="00432A25" w:rsidRPr="00432A25" w:rsidRDefault="00432A25" w:rsidP="00432A25">
            <w:pPr>
              <w:numPr>
                <w:ilvl w:val="0"/>
                <w:numId w:val="26"/>
              </w:numPr>
              <w:suppressAutoHyphens/>
              <w:ind w:left="259" w:hanging="270"/>
              <w:jc w:val="both"/>
              <w:rPr>
                <w:rFonts w:eastAsia="Arial Unicode MS"/>
                <w:color w:val="000000"/>
                <w:sz w:val="20"/>
                <w:bdr w:val="nil"/>
              </w:rPr>
            </w:pPr>
            <w:r w:rsidRPr="00432A25">
              <w:rPr>
                <w:rFonts w:eastAsia="MS ??"/>
                <w:color w:val="000000"/>
                <w:sz w:val="20"/>
                <w:bdr w:val="nil"/>
              </w:rPr>
              <w:t xml:space="preserve">Traukos spintos pakeliamas langas įstiklintas grūdintu saugos stiklu ir sudarytas iš ne mažiau nei 2 horizontaliai slankiojančių lango dalių. </w:t>
            </w:r>
          </w:p>
          <w:p w14:paraId="31E09314"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lastRenderedPageBreak/>
              <w:t xml:space="preserve">Pakeliamo lango rankena bei rėmas, priekinė darbinio lygio geometrija ir šoninių panelių profiliai turi aerodinaminę formą, padedančią išvengti įtraukiamo oro sūkurių. </w:t>
            </w:r>
          </w:p>
          <w:p w14:paraId="0F7746A0"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Instaliacijų valdymo čiaupai sumontuoti į traukos spintos išorėje.</w:t>
            </w:r>
          </w:p>
          <w:p w14:paraId="6DDD323A"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1 šalto vandens kranas ir polipropileno arba lygiavertės medžiagos kriauklytė su sifonu. Įvadai sukomplektuoti su tiekimo ir nuotekų linijomis bei reikalingais sujungimo elementais.</w:t>
            </w:r>
          </w:p>
          <w:p w14:paraId="59DCCD8F"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Ne mažiau 2 elektros lizdai, 230V – 16 A.</w:t>
            </w:r>
          </w:p>
          <w:p w14:paraId="06C6D5C6"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Ištraukiamo oro kanalo pajungimo angos diametras – ne mažiau kaip 100 mm.</w:t>
            </w:r>
          </w:p>
          <w:p w14:paraId="1503B2D9"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iCs/>
                <w:color w:val="000000"/>
                <w:sz w:val="20"/>
                <w:lang w:eastAsia="en-US"/>
              </w:rPr>
              <w:t>Traukos spintoje įrengtas neakinantis LED apšvietimas su išoriniu jungikliu.</w:t>
            </w:r>
          </w:p>
          <w:p w14:paraId="49F0DEDC"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Mincho"/>
                <w:color w:val="000000"/>
                <w:sz w:val="20"/>
                <w:lang w:eastAsia="en-US"/>
              </w:rPr>
              <w:t>Traukos spinta turi būti sukomplektuota su funkcijų displėjumi ir pastovaus oro srauto kontrolės bei aliarmo sistema, tiekiančia vizualinį ir akustinį signalą, kai ištraukiamo oro srautas nepasiekia nustatyto minimalaus lygio.</w:t>
            </w:r>
          </w:p>
          <w:p w14:paraId="38A28852"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 xml:space="preserve">Po traukos spintos darbastaliu sumontuota 1 stacionari spintelė, su 2 varstomomis durelėmis ir 1 reguliuojamo aukščio lentyna. </w:t>
            </w:r>
          </w:p>
          <w:p w14:paraId="4E5488EE"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Mincho"/>
                <w:color w:val="000000"/>
                <w:sz w:val="20"/>
                <w:lang w:eastAsia="en-US"/>
              </w:rPr>
              <w:t xml:space="preserve">Traukos spinta turi užtikrinti saugų darbą su ne </w:t>
            </w:r>
            <w:r w:rsidRPr="00432A25">
              <w:rPr>
                <w:rFonts w:eastAsia="MS Mincho"/>
                <w:sz w:val="20"/>
                <w:lang w:eastAsia="en-US"/>
              </w:rPr>
              <w:t>didesniu kaip</w:t>
            </w:r>
            <w:r w:rsidRPr="00432A25">
              <w:rPr>
                <w:rFonts w:eastAsia="MS Mincho"/>
                <w:color w:val="000000"/>
                <w:sz w:val="20"/>
                <w:lang w:eastAsia="en-US"/>
              </w:rPr>
              <w:t xml:space="preserve"> 4</w:t>
            </w:r>
            <w:r w:rsidRPr="00432A25">
              <w:rPr>
                <w:rFonts w:eastAsia="MS Mincho"/>
                <w:i/>
                <w:iCs/>
                <w:color w:val="000000"/>
                <w:sz w:val="20"/>
                <w:lang w:eastAsia="en-US"/>
              </w:rPr>
              <w:t>8</w:t>
            </w:r>
            <w:r w:rsidRPr="00432A25">
              <w:rPr>
                <w:rFonts w:eastAsia="MS Mincho"/>
                <w:color w:val="000000"/>
                <w:sz w:val="20"/>
                <w:lang w:eastAsia="en-US"/>
              </w:rPr>
              <w:t>0 m3/val. ištraukiamo oro srautu.</w:t>
            </w:r>
            <w:r w:rsidRPr="00432A25">
              <w:rPr>
                <w:rFonts w:eastAsia="MS Mincho"/>
                <w:b/>
                <w:color w:val="000000"/>
                <w:sz w:val="20"/>
                <w:lang w:eastAsia="en-US"/>
              </w:rPr>
              <w:t xml:space="preserve"> </w:t>
            </w:r>
          </w:p>
          <w:p w14:paraId="1D50BE35" w14:textId="1C15F5D2" w:rsidR="00F12923"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432A25">
              <w:rPr>
                <w:rFonts w:eastAsia="MS ??"/>
                <w:color w:val="000000"/>
                <w:sz w:val="20"/>
                <w:lang w:eastAsia="en-US"/>
              </w:rPr>
              <w:t>Gaminiui suteikiama ne trumpesnė kaip 60 mėn. gamintojo garantija.</w:t>
            </w:r>
          </w:p>
        </w:tc>
        <w:tc>
          <w:tcPr>
            <w:tcW w:w="1843" w:type="dxa"/>
            <w:vAlign w:val="center"/>
          </w:tcPr>
          <w:p w14:paraId="473AED52" w14:textId="77777777"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lastRenderedPageBreak/>
              <w:t>Nurodykite gamintojo ir modelio pavadinimą</w:t>
            </w:r>
          </w:p>
          <w:p w14:paraId="3D9DAB08" w14:textId="3AAF2AF2"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i/>
                <w:iCs/>
                <w:sz w:val="22"/>
                <w:szCs w:val="22"/>
                <w:bdr w:val="nil"/>
              </w:rPr>
              <w:t>(rašyti „Atitinka“ arba „Taip“ neleidžiama)</w:t>
            </w:r>
          </w:p>
        </w:tc>
        <w:tc>
          <w:tcPr>
            <w:tcW w:w="2693" w:type="dxa"/>
          </w:tcPr>
          <w:p w14:paraId="64B71916" w14:textId="77777777" w:rsidR="00F12923" w:rsidRPr="00AD7578" w:rsidRDefault="00F12923" w:rsidP="00FD102D">
            <w:pPr>
              <w:spacing w:line="252" w:lineRule="auto"/>
              <w:jc w:val="center"/>
              <w:rPr>
                <w:rFonts w:eastAsia="Calibri"/>
                <w:sz w:val="20"/>
                <w14:ligatures w14:val="standardContextual"/>
              </w:rPr>
            </w:pPr>
          </w:p>
        </w:tc>
      </w:tr>
    </w:tbl>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lastRenderedPageBreak/>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51770545" w14:textId="5E121B4E" w:rsidR="003776CF" w:rsidRPr="000965EE" w:rsidRDefault="004C02C3" w:rsidP="001C4847">
      <w:pPr>
        <w:spacing w:after="160" w:line="259" w:lineRule="auto"/>
        <w:rPr>
          <w:szCs w:val="24"/>
        </w:rPr>
      </w:pPr>
      <w:r>
        <w:rPr>
          <w:szCs w:val="24"/>
        </w:rPr>
        <w:br w:type="page"/>
      </w:r>
    </w:p>
    <w:p w14:paraId="3148610D" w14:textId="77777777" w:rsidR="003776CF" w:rsidRDefault="003776CF" w:rsidP="001C4847">
      <w:pPr>
        <w:spacing w:after="160" w:line="259" w:lineRule="auto"/>
        <w:rPr>
          <w:szCs w:val="24"/>
        </w:rPr>
      </w:pPr>
    </w:p>
    <w:p w14:paraId="675738F8" w14:textId="3132FE98" w:rsidR="00C41077" w:rsidRPr="00722229" w:rsidRDefault="00C41077" w:rsidP="00165AF1">
      <w:pPr>
        <w:spacing w:after="160" w:line="259" w:lineRule="auto"/>
        <w:ind w:firstLine="284"/>
        <w:jc w:val="right"/>
      </w:pPr>
      <w:r w:rsidRPr="00722229">
        <w:rPr>
          <w:szCs w:val="24"/>
        </w:rPr>
        <w:t>2 Sąlygų priedas</w:t>
      </w:r>
    </w:p>
    <w:p w14:paraId="36A59C47" w14:textId="77777777" w:rsidR="00DA330B" w:rsidRPr="0029198B" w:rsidRDefault="00DA330B" w:rsidP="00DA330B">
      <w:pPr>
        <w:jc w:val="center"/>
        <w:rPr>
          <w:b/>
          <w:bCs/>
          <w:szCs w:val="24"/>
        </w:rPr>
      </w:pPr>
      <w:r w:rsidRPr="0029198B">
        <w:rPr>
          <w:b/>
          <w:bCs/>
          <w:szCs w:val="24"/>
        </w:rPr>
        <w:t>TECHNINĖ SPECIFIKACIJA</w:t>
      </w:r>
    </w:p>
    <w:p w14:paraId="0A691F12" w14:textId="77777777" w:rsidR="00DA330B" w:rsidRDefault="00DA330B" w:rsidP="00DA330B">
      <w:pPr>
        <w:rPr>
          <w:szCs w:val="24"/>
        </w:rPr>
      </w:pPr>
    </w:p>
    <w:p w14:paraId="06BFF3A1" w14:textId="77777777" w:rsidR="009B4933" w:rsidRDefault="009B4933" w:rsidP="009B4933">
      <w:pPr>
        <w:rPr>
          <w:b/>
          <w:color w:val="000000" w:themeColor="text1"/>
        </w:rPr>
      </w:pPr>
      <w:r w:rsidRPr="00F00388">
        <w:rPr>
          <w:b/>
          <w:color w:val="000000" w:themeColor="text1"/>
        </w:rPr>
        <w:t>BENDRIEJI REIKALAVIMAI:</w:t>
      </w:r>
    </w:p>
    <w:p w14:paraId="34CA1262" w14:textId="77777777" w:rsidR="00432A25" w:rsidRPr="00432A25" w:rsidRDefault="00432A25" w:rsidP="00432A25">
      <w:pPr>
        <w:numPr>
          <w:ilvl w:val="0"/>
          <w:numId w:val="30"/>
        </w:numPr>
        <w:pBdr>
          <w:top w:val="nil"/>
          <w:left w:val="nil"/>
          <w:bottom w:val="nil"/>
          <w:right w:val="nil"/>
          <w:between w:val="nil"/>
          <w:bar w:val="nil"/>
        </w:pBdr>
        <w:tabs>
          <w:tab w:val="left" w:pos="284"/>
        </w:tabs>
        <w:suppressAutoHyphens/>
        <w:spacing w:after="40"/>
        <w:ind w:left="360"/>
        <w:jc w:val="both"/>
        <w:rPr>
          <w:rFonts w:eastAsia="Arial Unicode MS"/>
          <w:color w:val="000000"/>
          <w:szCs w:val="24"/>
          <w:bdr w:val="nil"/>
          <w:lang w:eastAsia="lt-LT"/>
        </w:rPr>
      </w:pPr>
      <w:r w:rsidRPr="00432A25">
        <w:rPr>
          <w:rFonts w:eastAsia="Arial Unicode MS"/>
          <w:color w:val="000000"/>
          <w:szCs w:val="24"/>
          <w:bdr w:val="nil"/>
          <w:lang w:eastAsia="lt-LT"/>
        </w:rPr>
        <w:t>Baldų pristatymo ir sumontavimo paslauga turi būti įtraukta į pasiūlymo kainą.</w:t>
      </w:r>
    </w:p>
    <w:p w14:paraId="472FF7CB" w14:textId="77777777" w:rsidR="00432A25" w:rsidRPr="00432A25" w:rsidRDefault="00432A25" w:rsidP="00432A25">
      <w:pPr>
        <w:numPr>
          <w:ilvl w:val="0"/>
          <w:numId w:val="30"/>
        </w:numPr>
        <w:pBdr>
          <w:top w:val="nil"/>
          <w:left w:val="nil"/>
          <w:bottom w:val="nil"/>
          <w:right w:val="nil"/>
          <w:between w:val="nil"/>
          <w:bar w:val="nil"/>
        </w:pBdr>
        <w:tabs>
          <w:tab w:val="left" w:pos="284"/>
        </w:tabs>
        <w:suppressAutoHyphens/>
        <w:spacing w:after="40"/>
        <w:ind w:left="0" w:firstLine="0"/>
        <w:jc w:val="both"/>
        <w:rPr>
          <w:rFonts w:eastAsia="Arial Unicode MS"/>
          <w:color w:val="000000"/>
          <w:szCs w:val="24"/>
          <w:bdr w:val="nil"/>
          <w:lang w:eastAsia="lt-LT"/>
        </w:rPr>
      </w:pPr>
      <w:r w:rsidRPr="00432A25">
        <w:rPr>
          <w:rFonts w:eastAsia="Arial Unicode MS"/>
          <w:color w:val="000000"/>
          <w:szCs w:val="24"/>
          <w:bdr w:val="nil"/>
          <w:lang w:eastAsia="lt-LT"/>
        </w:rPr>
        <w:t>Visi baldai turi būti nauji. Gamykliškai restauruoti ar atnaujinti „renew“/</w:t>
      </w:r>
      <w:r w:rsidRPr="00432A25">
        <w:rPr>
          <w:rFonts w:ascii="Cambria" w:eastAsia="MS Mincho" w:hAnsi="Cambria"/>
          <w:color w:val="000000"/>
          <w:szCs w:val="24"/>
        </w:rPr>
        <w:t xml:space="preserve"> </w:t>
      </w:r>
      <w:r w:rsidRPr="00432A25">
        <w:rPr>
          <w:rFonts w:eastAsia="Arial Unicode MS"/>
          <w:color w:val="000000"/>
          <w:szCs w:val="24"/>
          <w:bdr w:val="nil"/>
          <w:lang w:eastAsia="lt-LT"/>
        </w:rPr>
        <w:t xml:space="preserve">„refurbished“ / </w:t>
      </w:r>
      <w:bookmarkStart w:id="5" w:name="_Hlk215211086"/>
      <w:r w:rsidRPr="00432A25">
        <w:rPr>
          <w:rFonts w:eastAsia="Arial Unicode MS"/>
          <w:color w:val="000000"/>
          <w:szCs w:val="24"/>
          <w:bdr w:val="nil"/>
          <w:lang w:eastAsia="lt-LT"/>
        </w:rPr>
        <w:t>„</w:t>
      </w:r>
      <w:bookmarkEnd w:id="5"/>
      <w:r w:rsidRPr="00432A25">
        <w:rPr>
          <w:rFonts w:eastAsia="Arial Unicode MS"/>
          <w:color w:val="000000"/>
          <w:szCs w:val="24"/>
          <w:bdr w:val="nil"/>
          <w:lang w:eastAsia="lt-LT"/>
        </w:rPr>
        <w:t>remarked“ baldai neleistini.</w:t>
      </w:r>
    </w:p>
    <w:p w14:paraId="1641F772" w14:textId="77777777" w:rsidR="00432A25" w:rsidRPr="00432A25" w:rsidRDefault="00432A25" w:rsidP="00432A25">
      <w:pPr>
        <w:numPr>
          <w:ilvl w:val="0"/>
          <w:numId w:val="30"/>
        </w:numPr>
        <w:pBdr>
          <w:top w:val="nil"/>
          <w:left w:val="nil"/>
          <w:bottom w:val="nil"/>
          <w:right w:val="nil"/>
          <w:between w:val="nil"/>
          <w:bar w:val="nil"/>
        </w:pBdr>
        <w:tabs>
          <w:tab w:val="left" w:pos="284"/>
        </w:tabs>
        <w:suppressAutoHyphens/>
        <w:spacing w:after="40"/>
        <w:ind w:left="0" w:firstLine="0"/>
        <w:jc w:val="both"/>
        <w:rPr>
          <w:rFonts w:eastAsia="Arial Unicode MS"/>
          <w:color w:val="000000"/>
          <w:szCs w:val="24"/>
          <w:bdr w:val="nil"/>
          <w:lang w:eastAsia="lt-LT"/>
        </w:rPr>
      </w:pPr>
      <w:r w:rsidRPr="00432A25">
        <w:rPr>
          <w:color w:val="000000"/>
          <w:szCs w:val="24"/>
          <w:bdr w:val="nil"/>
          <w:lang w:eastAsia="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3EE04998" w14:textId="77777777" w:rsidR="00414FD2" w:rsidRPr="00414FD2" w:rsidRDefault="00414FD2" w:rsidP="00414FD2">
      <w:pPr>
        <w:pStyle w:val="Body2"/>
        <w:tabs>
          <w:tab w:val="left" w:pos="709"/>
        </w:tabs>
        <w:ind w:left="426"/>
        <w:rPr>
          <w:rFonts w:cs="Times New Roman"/>
          <w:color w:val="000000" w:themeColor="text1"/>
          <w:sz w:val="24"/>
          <w:szCs w:val="24"/>
          <w:lang w:val="lt-LT"/>
        </w:rPr>
      </w:pPr>
    </w:p>
    <w:tbl>
      <w:tblPr>
        <w:tblStyle w:val="Lentelstinklelis"/>
        <w:tblW w:w="5074" w:type="pct"/>
        <w:tblLayout w:type="fixed"/>
        <w:tblLook w:val="04A0" w:firstRow="1" w:lastRow="0" w:firstColumn="1" w:lastColumn="0" w:noHBand="0" w:noVBand="1"/>
      </w:tblPr>
      <w:tblGrid>
        <w:gridCol w:w="613"/>
        <w:gridCol w:w="2541"/>
        <w:gridCol w:w="950"/>
        <w:gridCol w:w="5956"/>
      </w:tblGrid>
      <w:tr w:rsidR="00165AF1" w:rsidRPr="009762F1" w14:paraId="3A208F4C" w14:textId="77777777" w:rsidTr="00432A25">
        <w:tc>
          <w:tcPr>
            <w:tcW w:w="305" w:type="pct"/>
            <w:tcBorders>
              <w:bottom w:val="single" w:sz="4" w:space="0" w:color="auto"/>
            </w:tcBorders>
          </w:tcPr>
          <w:p w14:paraId="56848920"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adjustRightInd w:val="0"/>
              <w:ind w:right="-113"/>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Poz. Nr.</w:t>
            </w:r>
          </w:p>
        </w:tc>
        <w:tc>
          <w:tcPr>
            <w:tcW w:w="1263" w:type="pct"/>
            <w:tcBorders>
              <w:bottom w:val="single" w:sz="4" w:space="0" w:color="auto"/>
            </w:tcBorders>
          </w:tcPr>
          <w:p w14:paraId="358D84D7"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Pavadinimas ir vizualizacija (orientacinio pobūdžio)</w:t>
            </w:r>
          </w:p>
        </w:tc>
        <w:tc>
          <w:tcPr>
            <w:tcW w:w="472" w:type="pct"/>
            <w:tcBorders>
              <w:bottom w:val="single" w:sz="4" w:space="0" w:color="auto"/>
            </w:tcBorders>
          </w:tcPr>
          <w:p w14:paraId="112DFB6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Kiekis, vnt.</w:t>
            </w:r>
          </w:p>
        </w:tc>
        <w:tc>
          <w:tcPr>
            <w:tcW w:w="2959" w:type="pct"/>
            <w:tcBorders>
              <w:bottom w:val="single" w:sz="4" w:space="0" w:color="auto"/>
            </w:tcBorders>
          </w:tcPr>
          <w:p w14:paraId="2C1198D3"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Techninės charakteristikos</w:t>
            </w:r>
          </w:p>
        </w:tc>
      </w:tr>
      <w:tr w:rsidR="00165AF1" w:rsidRPr="009762F1" w14:paraId="16E87BDE" w14:textId="77777777" w:rsidTr="00432A25">
        <w:trPr>
          <w:trHeight w:val="264"/>
        </w:trPr>
        <w:tc>
          <w:tcPr>
            <w:tcW w:w="305" w:type="pct"/>
          </w:tcPr>
          <w:p w14:paraId="0E263CB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t>1.</w:t>
            </w:r>
          </w:p>
        </w:tc>
        <w:tc>
          <w:tcPr>
            <w:tcW w:w="1263" w:type="pct"/>
          </w:tcPr>
          <w:p w14:paraId="6BF4E8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Demonstracinė traukos spinta</w:t>
            </w:r>
          </w:p>
          <w:p w14:paraId="2D7E54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6272672C"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noProof/>
                <w:color w:val="000000" w:themeColor="text1"/>
                <w:lang w:val="lt-LT"/>
              </w:rPr>
              <w:drawing>
                <wp:inline distT="0" distB="0" distL="0" distR="0" wp14:anchorId="13534BC8" wp14:editId="7D8F049B">
                  <wp:extent cx="1477108" cy="1828800"/>
                  <wp:effectExtent l="0" t="0" r="0" b="0"/>
                  <wp:docPr id="73289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91240"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490025" cy="1844792"/>
                          </a:xfrm>
                          <a:prstGeom prst="rect">
                            <a:avLst/>
                          </a:prstGeom>
                        </pic:spPr>
                      </pic:pic>
                    </a:graphicData>
                  </a:graphic>
                </wp:inline>
              </w:drawing>
            </w:r>
          </w:p>
        </w:tc>
        <w:tc>
          <w:tcPr>
            <w:tcW w:w="472" w:type="pct"/>
          </w:tcPr>
          <w:p w14:paraId="59ECF9F8"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rPr>
            </w:pPr>
            <w:r w:rsidRPr="009762F1">
              <w:rPr>
                <w:rFonts w:cs="Times New Roman"/>
                <w:color w:val="000000" w:themeColor="text1"/>
                <w:sz w:val="22"/>
                <w:szCs w:val="22"/>
              </w:rPr>
              <w:t>2</w:t>
            </w:r>
          </w:p>
        </w:tc>
        <w:tc>
          <w:tcPr>
            <w:tcW w:w="2959" w:type="pct"/>
          </w:tcPr>
          <w:p w14:paraId="5C2911E4" w14:textId="77777777" w:rsidR="00432A25" w:rsidRPr="00432A25" w:rsidRDefault="00165AF1" w:rsidP="00432A25">
            <w:pPr>
              <w:pStyle w:val="Betarp"/>
              <w:numPr>
                <w:ilvl w:val="0"/>
                <w:numId w:val="26"/>
              </w:numPr>
              <w:ind w:left="259" w:hanging="270"/>
              <w:jc w:val="both"/>
              <w:rPr>
                <w:sz w:val="22"/>
                <w:szCs w:val="22"/>
                <w:lang w:val="lt-LT" w:eastAsia="en-US"/>
              </w:rPr>
            </w:pPr>
            <w:r w:rsidRPr="00432A25">
              <w:rPr>
                <w:rFonts w:eastAsia="MS ??"/>
                <w:color w:val="000000" w:themeColor="text1"/>
                <w:sz w:val="22"/>
                <w:szCs w:val="22"/>
                <w:lang w:val="pt-BR"/>
              </w:rPr>
              <w:t xml:space="preserve"> </w:t>
            </w:r>
            <w:r w:rsidR="00432A25" w:rsidRPr="00432A25">
              <w:rPr>
                <w:rFonts w:eastAsia="MS ??"/>
                <w:sz w:val="22"/>
                <w:szCs w:val="22"/>
                <w:lang w:val="lt-LT" w:eastAsia="en-US"/>
              </w:rPr>
              <w:t>Traukos spinta sertifikuota pagal EN 14175-2:2003, EN 14175-3:2019 arba lygiaverčio standarto reikalavimus. Pateikiamas nepriklausomos sertifikavimo įstaigos išduotas sertifikatas.</w:t>
            </w:r>
          </w:p>
          <w:p w14:paraId="2EA0357D" w14:textId="77777777" w:rsidR="00432A25" w:rsidRPr="00432A25" w:rsidRDefault="00432A25" w:rsidP="00432A25">
            <w:pPr>
              <w:numPr>
                <w:ilvl w:val="0"/>
                <w:numId w:val="26"/>
              </w:numPr>
              <w:ind w:left="259" w:hanging="270"/>
              <w:jc w:val="both"/>
              <w:rPr>
                <w:rFonts w:eastAsia="Calibri"/>
                <w:color w:val="000000"/>
                <w:sz w:val="22"/>
                <w:szCs w:val="22"/>
                <w:lang w:eastAsia="en-US"/>
              </w:rPr>
            </w:pPr>
            <w:r w:rsidRPr="00432A25">
              <w:rPr>
                <w:rFonts w:eastAsia="Calibri"/>
                <w:color w:val="000000"/>
                <w:sz w:val="22"/>
                <w:szCs w:val="22"/>
                <w:lang w:eastAsia="en-US"/>
              </w:rPr>
              <w:t>Matmenys (P x G x A): plotis nuo 900 iki 1200 mm, gylis nuo 700 iki 1000 mm, aukštis nuo 1800 iki 2300 mm.</w:t>
            </w:r>
          </w:p>
          <w:p w14:paraId="5330D832"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Darbinis aukštis – 900 mm </w:t>
            </w:r>
            <w:r w:rsidRPr="00432A25">
              <w:rPr>
                <w:rFonts w:eastAsia="MS Mincho"/>
                <w:color w:val="000000"/>
                <w:sz w:val="22"/>
                <w:szCs w:val="22"/>
                <w:lang w:eastAsia="en-US"/>
              </w:rPr>
              <w:t xml:space="preserve">(±50 mm). </w:t>
            </w:r>
          </w:p>
          <w:p w14:paraId="13E2E390" w14:textId="77777777" w:rsidR="00432A25" w:rsidRPr="00432A25" w:rsidRDefault="00432A25" w:rsidP="00432A25">
            <w:pPr>
              <w:numPr>
                <w:ilvl w:val="0"/>
                <w:numId w:val="26"/>
              </w:numPr>
              <w:suppressAutoHyphens/>
              <w:ind w:left="259" w:hanging="270"/>
              <w:jc w:val="both"/>
              <w:rPr>
                <w:rFonts w:eastAsia="Arial Unicode MS"/>
                <w:color w:val="000000"/>
                <w:sz w:val="22"/>
                <w:szCs w:val="22"/>
                <w:bdr w:val="nil"/>
              </w:rPr>
            </w:pPr>
            <w:r w:rsidRPr="00432A25">
              <w:rPr>
                <w:rFonts w:eastAsia="MS ??"/>
                <w:color w:val="000000"/>
                <w:sz w:val="22"/>
                <w:szCs w:val="22"/>
                <w:bdr w:val="nil"/>
              </w:rPr>
              <w:t xml:space="preserve">Stalviršis - </w:t>
            </w:r>
            <w:r w:rsidRPr="00432A25">
              <w:rPr>
                <w:rFonts w:eastAsia="Arial Unicode MS"/>
                <w:color w:val="000000"/>
                <w:sz w:val="22"/>
                <w:szCs w:val="22"/>
                <w:bdr w:val="nil"/>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0240C649" w14:textId="77777777" w:rsidR="00432A25" w:rsidRPr="00432A25" w:rsidRDefault="00432A25" w:rsidP="00432A25">
            <w:pPr>
              <w:numPr>
                <w:ilvl w:val="0"/>
                <w:numId w:val="26"/>
              </w:numPr>
              <w:suppressAutoHyphens/>
              <w:ind w:left="259" w:hanging="270"/>
              <w:jc w:val="both"/>
              <w:rPr>
                <w:rFonts w:eastAsia="Arial Unicode MS"/>
                <w:color w:val="000000"/>
                <w:sz w:val="22"/>
                <w:szCs w:val="22"/>
                <w:bdr w:val="nil"/>
              </w:rPr>
            </w:pPr>
            <w:r w:rsidRPr="00432A25">
              <w:rPr>
                <w:rFonts w:eastAsia="Arial Unicode MS"/>
                <w:color w:val="000000"/>
                <w:sz w:val="22"/>
                <w:szCs w:val="22"/>
                <w:bdr w:val="nil"/>
              </w:rPr>
              <w:t xml:space="preserve">Stalviršis su briaunomis arba pakeltomis kraštinėmis. </w:t>
            </w:r>
          </w:p>
          <w:p w14:paraId="0A039020"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Traukos spintos viršutinė dalis, esanti virš darbastalio turi būti įstiklinta iš visų pusių grūdintu saugos stiklu ir užtikrinti pilną vidaus matomumą iš visų pusių.  </w:t>
            </w:r>
          </w:p>
          <w:p w14:paraId="45BCD88B"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Traukos spintos pakeliamas langas įstiklintas grūdintu saugos stiklu ir sudarytas iš 2 vertikaliai judančių lango dalių bei 2 horizontaliai varstomų langų. </w:t>
            </w:r>
          </w:p>
          <w:p w14:paraId="78CC30D0"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Pakeliamo lango rankena bei rėmas, priekinė darbinio lygio geometrija ir šoninių panelių profiliai turi aerodinaminę formą, padedančią išvengti įtraukiamo oro sūkurių. </w:t>
            </w:r>
          </w:p>
          <w:p w14:paraId="4C7994CC"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Instaliacijų valdymo čiaupai sumontuoti į traukos spintos išorėje.</w:t>
            </w:r>
          </w:p>
          <w:p w14:paraId="24FCD5AD" w14:textId="7EFD3F61"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1 šalto vandens kranas ir polipropileno arba lygiavertės medžiagos kriauklytė su sifonu, sumontuoti traukos spintos darbastalyje. Įvadai sukomplektuoti su tiekimo ir nuotekų linijomis bei reikalingais sujungimo elementais.</w:t>
            </w:r>
          </w:p>
          <w:p w14:paraId="129E1781"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Ištraukiamo oro kanalo pajungimo angos diametras – ne mažiau kaip 100 mm.</w:t>
            </w:r>
          </w:p>
          <w:p w14:paraId="55F8788B"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iCs/>
                <w:color w:val="000000"/>
                <w:sz w:val="22"/>
                <w:szCs w:val="22"/>
                <w:lang w:eastAsia="en-US"/>
              </w:rPr>
              <w:t>Traukos spintoje įrengtas neakinantis LED apšvietimas su išoriniu jungikliu.</w:t>
            </w:r>
          </w:p>
          <w:p w14:paraId="38354DAE"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Mincho"/>
                <w:color w:val="000000"/>
                <w:sz w:val="22"/>
                <w:szCs w:val="22"/>
                <w:lang w:eastAsia="en-US"/>
              </w:rPr>
              <w:t>Traukos spinta turi būti sukomplektuota su funkcijų displėjumi ir pastovaus oro srauto kontrolės bei aliarmo sistema, tiekiančia vizualinį ir akustinį signalą, kai ištraukiamo oro srautas nepasiekia nustatyto minimalaus lygio.</w:t>
            </w:r>
          </w:p>
          <w:p w14:paraId="6FF1D63D"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Po traukos spintos darbastaliu sumontuotas traukos spintos stacionarus pagrindas su spintele</w:t>
            </w:r>
          </w:p>
          <w:p w14:paraId="2BB4CDAF"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Mincho"/>
                <w:i/>
                <w:iCs/>
                <w:color w:val="000000"/>
                <w:sz w:val="22"/>
                <w:szCs w:val="22"/>
                <w:lang w:eastAsia="en-US"/>
              </w:rPr>
              <w:lastRenderedPageBreak/>
              <w:t xml:space="preserve">Traukos spinta turi užtikrinti saugų darbą su ne </w:t>
            </w:r>
            <w:r w:rsidRPr="00432A25">
              <w:rPr>
                <w:rFonts w:eastAsia="MS Mincho"/>
                <w:i/>
                <w:iCs/>
                <w:sz w:val="22"/>
                <w:szCs w:val="22"/>
                <w:lang w:eastAsia="en-US"/>
              </w:rPr>
              <w:t>didesniu kaip</w:t>
            </w:r>
            <w:r w:rsidRPr="00432A25">
              <w:rPr>
                <w:rFonts w:eastAsia="MS Mincho"/>
                <w:i/>
                <w:iCs/>
                <w:color w:val="000000"/>
                <w:sz w:val="22"/>
                <w:szCs w:val="22"/>
                <w:lang w:eastAsia="en-US"/>
              </w:rPr>
              <w:t xml:space="preserve"> 480 m3/val. ištraukiamo oro srautu.</w:t>
            </w:r>
            <w:r w:rsidRPr="00432A25">
              <w:rPr>
                <w:rFonts w:eastAsia="MS Mincho"/>
                <w:b/>
                <w:i/>
                <w:iCs/>
                <w:color w:val="000000"/>
                <w:sz w:val="22"/>
                <w:szCs w:val="22"/>
                <w:lang w:eastAsia="en-US"/>
              </w:rPr>
              <w:t xml:space="preserve"> </w:t>
            </w:r>
          </w:p>
          <w:p w14:paraId="24637767" w14:textId="52437F3A" w:rsidR="00165AF1"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Gaminiui suteikiama ne trumpesnė kaip 60 mėn. gamintojo garantija.</w:t>
            </w:r>
          </w:p>
        </w:tc>
      </w:tr>
      <w:tr w:rsidR="00165AF1" w:rsidRPr="009762F1" w14:paraId="3C28EEE0" w14:textId="77777777" w:rsidTr="00432A25">
        <w:tc>
          <w:tcPr>
            <w:tcW w:w="305" w:type="pct"/>
          </w:tcPr>
          <w:p w14:paraId="6FE4B82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lastRenderedPageBreak/>
              <w:t>2.</w:t>
            </w:r>
          </w:p>
        </w:tc>
        <w:tc>
          <w:tcPr>
            <w:tcW w:w="1263" w:type="pct"/>
          </w:tcPr>
          <w:p w14:paraId="3478CAF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Laboratorinė traukos spinta</w:t>
            </w:r>
          </w:p>
          <w:p w14:paraId="190E4A4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54437D1F"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sz w:val="22"/>
                <w:szCs w:val="22"/>
                <w:lang w:val="lt-LT"/>
              </w:rPr>
            </w:pPr>
            <w:r w:rsidRPr="009762F1">
              <w:rPr>
                <w:rFonts w:eastAsia="Times New Roman" w:cs="Times New Roman"/>
                <w:b/>
                <w:bCs/>
                <w:i/>
                <w:iCs/>
                <w:noProof/>
                <w:color w:val="auto"/>
                <w:kern w:val="2"/>
                <w:bdr w:val="none" w:sz="0" w:space="0" w:color="auto"/>
                <w:lang w:eastAsia="en-GB"/>
                <w14:ligatures w14:val="standardContextual"/>
              </w:rPr>
              <w:drawing>
                <wp:inline distT="0" distB="0" distL="0" distR="0" wp14:anchorId="72B09D0D" wp14:editId="7C85E78B">
                  <wp:extent cx="1144858" cy="1673254"/>
                  <wp:effectExtent l="0" t="0" r="0" b="0"/>
                  <wp:docPr id="64242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71904"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1178899" cy="1723007"/>
                          </a:xfrm>
                          <a:prstGeom prst="rect">
                            <a:avLst/>
                          </a:prstGeom>
                        </pic:spPr>
                      </pic:pic>
                    </a:graphicData>
                  </a:graphic>
                </wp:inline>
              </w:drawing>
            </w:r>
          </w:p>
        </w:tc>
        <w:tc>
          <w:tcPr>
            <w:tcW w:w="472" w:type="pct"/>
          </w:tcPr>
          <w:p w14:paraId="3C24027A"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rPr>
              <w:t>1</w:t>
            </w:r>
          </w:p>
        </w:tc>
        <w:tc>
          <w:tcPr>
            <w:tcW w:w="2959" w:type="pct"/>
          </w:tcPr>
          <w:p w14:paraId="7505A1F5" w14:textId="77777777" w:rsidR="00432A25" w:rsidRPr="00432A25" w:rsidRDefault="00432A25" w:rsidP="00432A25">
            <w:pPr>
              <w:numPr>
                <w:ilvl w:val="0"/>
                <w:numId w:val="26"/>
              </w:numPr>
              <w:ind w:left="259" w:hanging="270"/>
              <w:jc w:val="both"/>
              <w:rPr>
                <w:rFonts w:eastAsia="Calibri"/>
                <w:color w:val="000000"/>
                <w:sz w:val="22"/>
                <w:szCs w:val="22"/>
                <w:lang w:eastAsia="en-US"/>
              </w:rPr>
            </w:pPr>
            <w:r w:rsidRPr="00432A25">
              <w:rPr>
                <w:rFonts w:eastAsia="MS ??"/>
                <w:color w:val="000000"/>
                <w:sz w:val="22"/>
                <w:szCs w:val="22"/>
                <w:lang w:eastAsia="en-US"/>
              </w:rPr>
              <w:t>Traukos spinta sertifikuota pagal EN 14175-2:2003, EN 14175-3:2019 arba lygiaverčio standarto reikalavimus. Pateikiamas nepriklausomos sertifikavimo įstaigos išduotas sertifikatas.</w:t>
            </w:r>
          </w:p>
          <w:p w14:paraId="74233674" w14:textId="77777777" w:rsidR="00432A25" w:rsidRPr="00432A25" w:rsidRDefault="00432A25" w:rsidP="00432A25">
            <w:pPr>
              <w:numPr>
                <w:ilvl w:val="0"/>
                <w:numId w:val="26"/>
              </w:numPr>
              <w:ind w:left="259" w:hanging="270"/>
              <w:jc w:val="both"/>
              <w:rPr>
                <w:rFonts w:eastAsia="Calibri"/>
                <w:color w:val="000000"/>
                <w:sz w:val="22"/>
                <w:szCs w:val="22"/>
                <w:lang w:eastAsia="en-US"/>
              </w:rPr>
            </w:pPr>
            <w:r w:rsidRPr="00432A25">
              <w:rPr>
                <w:rFonts w:eastAsia="Calibri"/>
                <w:color w:val="000000"/>
                <w:sz w:val="22"/>
                <w:szCs w:val="22"/>
                <w:lang w:eastAsia="en-US"/>
              </w:rPr>
              <w:t>Matmenys (P x G x A): plotis nuo 900 iki 1200 mm, gylis nuo 700 iki 1000 mm, aukštis nuo 1800 iki 2500 mm.</w:t>
            </w:r>
          </w:p>
          <w:p w14:paraId="05ECE320"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Darbinis aukštis – 900 mm </w:t>
            </w:r>
            <w:r w:rsidRPr="00432A25">
              <w:rPr>
                <w:rFonts w:eastAsia="MS Mincho"/>
                <w:color w:val="000000"/>
                <w:sz w:val="22"/>
                <w:szCs w:val="22"/>
                <w:lang w:eastAsia="en-US"/>
              </w:rPr>
              <w:t xml:space="preserve">(±50 mm). </w:t>
            </w:r>
          </w:p>
          <w:p w14:paraId="6BD1F426" w14:textId="77777777" w:rsidR="00432A25" w:rsidRPr="00432A25" w:rsidRDefault="00432A25" w:rsidP="00432A25">
            <w:pPr>
              <w:numPr>
                <w:ilvl w:val="0"/>
                <w:numId w:val="26"/>
              </w:numPr>
              <w:suppressAutoHyphens/>
              <w:ind w:left="259" w:hanging="270"/>
              <w:jc w:val="both"/>
              <w:rPr>
                <w:rFonts w:eastAsia="Arial Unicode MS"/>
                <w:color w:val="000000"/>
                <w:sz w:val="22"/>
                <w:szCs w:val="22"/>
                <w:bdr w:val="nil"/>
              </w:rPr>
            </w:pPr>
            <w:r w:rsidRPr="00432A25">
              <w:rPr>
                <w:rFonts w:eastAsia="MS ??"/>
                <w:color w:val="000000"/>
                <w:sz w:val="22"/>
                <w:szCs w:val="22"/>
                <w:bdr w:val="nil"/>
              </w:rPr>
              <w:t xml:space="preserve">Stalviršis - </w:t>
            </w:r>
            <w:r w:rsidRPr="00432A25">
              <w:rPr>
                <w:rFonts w:eastAsia="Arial Unicode MS"/>
                <w:color w:val="000000"/>
                <w:sz w:val="22"/>
                <w:szCs w:val="22"/>
                <w:bdr w:val="nil"/>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7090587A" w14:textId="77777777" w:rsidR="00432A25" w:rsidRPr="00432A25" w:rsidRDefault="00432A25" w:rsidP="00432A25">
            <w:pPr>
              <w:numPr>
                <w:ilvl w:val="0"/>
                <w:numId w:val="26"/>
              </w:numPr>
              <w:suppressAutoHyphens/>
              <w:ind w:left="259" w:hanging="270"/>
              <w:jc w:val="both"/>
              <w:rPr>
                <w:rFonts w:eastAsia="Arial Unicode MS"/>
                <w:color w:val="000000"/>
                <w:sz w:val="22"/>
                <w:szCs w:val="22"/>
                <w:bdr w:val="nil"/>
              </w:rPr>
            </w:pPr>
            <w:r w:rsidRPr="00432A25">
              <w:rPr>
                <w:rFonts w:eastAsia="Arial Unicode MS"/>
                <w:color w:val="000000"/>
                <w:sz w:val="22"/>
                <w:szCs w:val="22"/>
                <w:bdr w:val="nil"/>
              </w:rPr>
              <w:t xml:space="preserve">Stalviršis su briaunomis arba pakeltomis kraštinėmis. </w:t>
            </w:r>
          </w:p>
          <w:p w14:paraId="6C9F3821" w14:textId="77777777" w:rsidR="00432A25" w:rsidRPr="00432A25" w:rsidRDefault="00432A25" w:rsidP="00432A25">
            <w:pPr>
              <w:numPr>
                <w:ilvl w:val="0"/>
                <w:numId w:val="26"/>
              </w:numPr>
              <w:suppressAutoHyphens/>
              <w:ind w:left="259" w:hanging="270"/>
              <w:jc w:val="both"/>
              <w:rPr>
                <w:rFonts w:eastAsia="Arial Unicode MS"/>
                <w:color w:val="000000"/>
                <w:sz w:val="22"/>
                <w:szCs w:val="22"/>
                <w:bdr w:val="nil"/>
              </w:rPr>
            </w:pPr>
            <w:r w:rsidRPr="00432A25">
              <w:rPr>
                <w:rFonts w:eastAsia="MS ??"/>
                <w:color w:val="000000"/>
                <w:sz w:val="22"/>
                <w:szCs w:val="22"/>
                <w:bdr w:val="nil"/>
              </w:rPr>
              <w:t xml:space="preserve">Traukos spintos pakeliamas langas įstiklintas grūdintu saugos stiklu ir sudarytas iš ne mažiau nei 2 horizontaliai slankiojančių lango dalių. </w:t>
            </w:r>
          </w:p>
          <w:p w14:paraId="333934E9"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Pakeliamo lango rankena bei rėmas, priekinė darbinio lygio geometrija ir šoninių panelių profiliai turi aerodinaminę formą, padedančią išvengti įtraukiamo oro sūkurių. </w:t>
            </w:r>
          </w:p>
          <w:p w14:paraId="34AFB047"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Instaliacijų valdymo čiaupai sumontuoti į traukos spintos išorėje.</w:t>
            </w:r>
          </w:p>
          <w:p w14:paraId="530A6145"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1 šalto vandens kranas ir polipropileno arba lygiavertės medžiagos kriauklytė su sifonu. Įvadai sukomplektuoti su tiekimo ir nuotekų linijomis bei reikalingais sujungimo elementais.</w:t>
            </w:r>
          </w:p>
          <w:p w14:paraId="504266DD"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Ne mažiau 2 elektros lizdai, 230V – 16 A.</w:t>
            </w:r>
          </w:p>
          <w:p w14:paraId="1E70FB1D"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Ištraukiamo oro kanalo pajungimo angos diametras – ne mažiau kaip 100 mm.</w:t>
            </w:r>
          </w:p>
          <w:p w14:paraId="6F5E3E4E"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iCs/>
                <w:color w:val="000000"/>
                <w:sz w:val="22"/>
                <w:szCs w:val="22"/>
                <w:lang w:eastAsia="en-US"/>
              </w:rPr>
              <w:t>Traukos spintoje įrengtas neakinantis LED apšvietimas su išoriniu jungikliu.</w:t>
            </w:r>
          </w:p>
          <w:p w14:paraId="0D892E13"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Mincho"/>
                <w:color w:val="000000"/>
                <w:sz w:val="22"/>
                <w:szCs w:val="22"/>
                <w:lang w:eastAsia="en-US"/>
              </w:rPr>
              <w:t>Traukos spinta turi būti sukomplektuota su funkcijų displėjumi ir pastovaus oro srauto kontrolės bei aliarmo sistema, tiekiančia vizualinį ir akustinį signalą, kai ištraukiamo oro srautas nepasiekia nustatyto minimalaus lygio.</w:t>
            </w:r>
          </w:p>
          <w:p w14:paraId="62B94C91"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color w:val="000000"/>
                <w:sz w:val="22"/>
                <w:szCs w:val="22"/>
                <w:lang w:eastAsia="en-US"/>
              </w:rPr>
              <w:t xml:space="preserve">Po traukos spintos darbastaliu sumontuota 1 stacionari spintelė, su 2 varstomomis durelėmis ir 1 reguliuojamo aukščio lentyna. </w:t>
            </w:r>
          </w:p>
          <w:p w14:paraId="79BB4352" w14:textId="77777777" w:rsidR="00432A25"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Mincho"/>
                <w:color w:val="000000"/>
                <w:sz w:val="22"/>
                <w:szCs w:val="22"/>
                <w:lang w:eastAsia="en-US"/>
              </w:rPr>
              <w:t xml:space="preserve">Traukos spinta turi užtikrinti saugų darbą su ne </w:t>
            </w:r>
            <w:r w:rsidRPr="00432A25">
              <w:rPr>
                <w:rFonts w:eastAsia="MS Mincho"/>
                <w:sz w:val="22"/>
                <w:szCs w:val="22"/>
                <w:lang w:eastAsia="en-US"/>
              </w:rPr>
              <w:t>didesniu kaip</w:t>
            </w:r>
            <w:r w:rsidRPr="00432A25">
              <w:rPr>
                <w:rFonts w:eastAsia="MS Mincho"/>
                <w:color w:val="000000"/>
                <w:sz w:val="22"/>
                <w:szCs w:val="22"/>
                <w:lang w:eastAsia="en-US"/>
              </w:rPr>
              <w:t xml:space="preserve"> 4</w:t>
            </w:r>
            <w:r w:rsidRPr="00432A25">
              <w:rPr>
                <w:rFonts w:eastAsia="MS Mincho"/>
                <w:i/>
                <w:iCs/>
                <w:color w:val="000000"/>
                <w:sz w:val="22"/>
                <w:szCs w:val="22"/>
                <w:lang w:eastAsia="en-US"/>
              </w:rPr>
              <w:t>8</w:t>
            </w:r>
            <w:r w:rsidRPr="00432A25">
              <w:rPr>
                <w:rFonts w:eastAsia="MS Mincho"/>
                <w:color w:val="000000"/>
                <w:sz w:val="22"/>
                <w:szCs w:val="22"/>
                <w:lang w:eastAsia="en-US"/>
              </w:rPr>
              <w:t>0 m3/val. ištraukiamo oro srautu.</w:t>
            </w:r>
            <w:r w:rsidRPr="00432A25">
              <w:rPr>
                <w:rFonts w:eastAsia="MS Mincho"/>
                <w:b/>
                <w:color w:val="000000"/>
                <w:sz w:val="22"/>
                <w:szCs w:val="22"/>
                <w:lang w:eastAsia="en-US"/>
              </w:rPr>
              <w:t xml:space="preserve"> </w:t>
            </w:r>
          </w:p>
          <w:p w14:paraId="04689BAD" w14:textId="2012892B" w:rsidR="00165AF1" w:rsidRPr="00432A25" w:rsidRDefault="00432A25" w:rsidP="00432A25">
            <w:pPr>
              <w:numPr>
                <w:ilvl w:val="0"/>
                <w:numId w:val="26"/>
              </w:numPr>
              <w:pBdr>
                <w:top w:val="nil"/>
                <w:left w:val="nil"/>
                <w:bottom w:val="nil"/>
                <w:right w:val="nil"/>
                <w:between w:val="nil"/>
                <w:bar w:val="nil"/>
              </w:pBdr>
              <w:ind w:left="259" w:hanging="270"/>
              <w:contextualSpacing/>
              <w:jc w:val="both"/>
              <w:rPr>
                <w:rFonts w:eastAsia="MS ??"/>
                <w:color w:val="000000"/>
                <w:sz w:val="22"/>
                <w:szCs w:val="22"/>
                <w:lang w:eastAsia="en-US"/>
              </w:rPr>
            </w:pPr>
            <w:r w:rsidRPr="00432A25">
              <w:rPr>
                <w:rFonts w:eastAsia="MS ??"/>
                <w:sz w:val="22"/>
                <w:szCs w:val="22"/>
                <w:lang w:eastAsia="en-US"/>
              </w:rPr>
              <w:t>Gaminiui suteikiama ne trumpesnė kaip 60 mėn. gamintojo garantija.</w:t>
            </w:r>
          </w:p>
        </w:tc>
      </w:tr>
    </w:tbl>
    <w:p w14:paraId="496F9F0B" w14:textId="77777777" w:rsidR="00BD0281" w:rsidRDefault="00BD0281" w:rsidP="00DA330B">
      <w:pPr>
        <w:rPr>
          <w:szCs w:val="24"/>
        </w:rPr>
      </w:pPr>
    </w:p>
    <w:p w14:paraId="7F299FF4" w14:textId="77777777" w:rsidR="00432A25" w:rsidRPr="00432A25" w:rsidRDefault="00432A25" w:rsidP="00432A25">
      <w:pPr>
        <w:ind w:left="283" w:firstLine="568"/>
        <w:rPr>
          <w:color w:val="000000"/>
          <w:szCs w:val="24"/>
          <w:lang w:eastAsia="lt-LT"/>
        </w:rPr>
      </w:pPr>
      <w:r w:rsidRPr="00432A25">
        <w:rPr>
          <w:color w:val="000000"/>
          <w:szCs w:val="24"/>
          <w:lang w:eastAsia="lt-LT"/>
        </w:rPr>
        <w:t>Pristatymo adresai:</w:t>
      </w:r>
    </w:p>
    <w:p w14:paraId="7AEA46CD" w14:textId="77777777" w:rsidR="00432A25" w:rsidRPr="00432A25" w:rsidRDefault="00432A25" w:rsidP="00432A25">
      <w:pPr>
        <w:ind w:left="283" w:firstLine="568"/>
        <w:rPr>
          <w:color w:val="000000"/>
          <w:szCs w:val="24"/>
          <w:lang w:eastAsia="lt-LT"/>
        </w:rPr>
      </w:pPr>
      <w:r w:rsidRPr="00432A25">
        <w:rPr>
          <w:color w:val="000000"/>
          <w:szCs w:val="24"/>
          <w:lang w:eastAsia="lt-LT"/>
        </w:rPr>
        <w:t>Vilniaus r., Pagirių sen., Pagirių k., Šiltnamių g. 22 – 1 demonstracinė traukos spinta.</w:t>
      </w:r>
    </w:p>
    <w:p w14:paraId="08AB2DB9" w14:textId="77777777" w:rsidR="00432A25" w:rsidRPr="00432A25" w:rsidRDefault="00432A25" w:rsidP="00432A25">
      <w:pPr>
        <w:ind w:left="283" w:firstLine="568"/>
        <w:rPr>
          <w:color w:val="000000"/>
          <w:szCs w:val="24"/>
          <w:lang w:eastAsia="lt-LT"/>
        </w:rPr>
      </w:pPr>
      <w:r w:rsidRPr="00432A25">
        <w:rPr>
          <w:color w:val="000000"/>
          <w:szCs w:val="24"/>
          <w:lang w:eastAsia="lt-LT"/>
        </w:rPr>
        <w:t>Vilniaus r., Avižienių sen., Avižienių k., Sudervės g. 8 – 1 demonstracinė traukos spinta.</w:t>
      </w:r>
    </w:p>
    <w:p w14:paraId="2A05C071" w14:textId="77777777" w:rsidR="00432A25" w:rsidRPr="00432A25" w:rsidRDefault="00432A25" w:rsidP="00432A25">
      <w:pPr>
        <w:ind w:left="283" w:firstLine="568"/>
        <w:rPr>
          <w:color w:val="000000"/>
          <w:szCs w:val="24"/>
          <w:lang w:eastAsia="lt-LT"/>
        </w:rPr>
      </w:pPr>
      <w:r w:rsidRPr="00432A25">
        <w:rPr>
          <w:color w:val="000000"/>
          <w:szCs w:val="24"/>
          <w:lang w:eastAsia="lt-LT"/>
        </w:rPr>
        <w:t>Vilniaus r., Rudaminos sen., Rudaminos k., Gamyklos g. 22B – 1 laboratorinė traukos spinta.</w:t>
      </w:r>
    </w:p>
    <w:p w14:paraId="39B4654D" w14:textId="77777777" w:rsidR="00432A25" w:rsidRPr="00432A25" w:rsidRDefault="00432A25" w:rsidP="00432A25">
      <w:pPr>
        <w:ind w:left="283" w:firstLine="568"/>
        <w:rPr>
          <w:color w:val="000000"/>
          <w:szCs w:val="24"/>
          <w:lang w:eastAsia="lt-LT"/>
        </w:rPr>
      </w:pPr>
    </w:p>
    <w:p w14:paraId="589F01EE" w14:textId="77777777" w:rsidR="00432A25" w:rsidRPr="00432A25" w:rsidRDefault="00432A25" w:rsidP="00432A25">
      <w:pPr>
        <w:ind w:left="283" w:firstLine="568"/>
        <w:rPr>
          <w:color w:val="000000"/>
          <w:szCs w:val="24"/>
          <w:lang w:eastAsia="lt-LT"/>
        </w:rPr>
      </w:pPr>
      <w:r w:rsidRPr="00432A25">
        <w:rPr>
          <w:color w:val="000000"/>
          <w:szCs w:val="24"/>
          <w:lang w:eastAsia="lt-LT"/>
        </w:rPr>
        <w:t>Aplinkos apsaugos kriterijai:</w:t>
      </w:r>
    </w:p>
    <w:p w14:paraId="6719E1D3" w14:textId="77777777" w:rsidR="00432A25" w:rsidRPr="00432A25" w:rsidRDefault="00432A25" w:rsidP="00432A25">
      <w:pPr>
        <w:ind w:firstLine="851"/>
        <w:jc w:val="both"/>
        <w:rPr>
          <w:color w:val="000000"/>
          <w:szCs w:val="24"/>
          <w:lang w:eastAsia="lt-LT"/>
        </w:rPr>
      </w:pPr>
      <w:bookmarkStart w:id="6" w:name="part_12844d4d817a4071868d088ce2805b55"/>
      <w:bookmarkEnd w:id="6"/>
      <w:r w:rsidRPr="00432A25">
        <w:rPr>
          <w:color w:val="000000"/>
          <w:szCs w:val="24"/>
          <w:lang w:eastAsia="lt-LT"/>
        </w:rPr>
        <w:t>1.</w:t>
      </w:r>
      <w:r w:rsidRPr="00432A25">
        <w:rPr>
          <w:b/>
          <w:bCs/>
          <w:color w:val="000000"/>
          <w:szCs w:val="24"/>
          <w:lang w:eastAsia="lt-LT"/>
        </w:rPr>
        <w:t> </w:t>
      </w:r>
      <w:r w:rsidRPr="00432A25">
        <w:rPr>
          <w:color w:val="000000"/>
          <w:szCs w:val="24"/>
          <w:lang w:eastAsia="lt-LT"/>
        </w:rPr>
        <w:t>ne mažiau kaip 80 proc. balduose naudojamos medienos, medienos medžiagų ir gaminių turi būti iš miškų, sertifikuotų naudojant FSC ar PEFC miškų sertifikavimo sistemas arba lygiavertes sertifikavimo sistemas;</w:t>
      </w:r>
    </w:p>
    <w:p w14:paraId="66F937BD" w14:textId="77777777" w:rsidR="00432A25" w:rsidRPr="00432A25" w:rsidRDefault="00432A25" w:rsidP="00432A25">
      <w:pPr>
        <w:ind w:firstLine="851"/>
        <w:jc w:val="both"/>
        <w:rPr>
          <w:color w:val="000000"/>
          <w:szCs w:val="24"/>
          <w:lang w:eastAsia="lt-LT"/>
        </w:rPr>
      </w:pPr>
      <w:bookmarkStart w:id="7" w:name="part_c5677ef203384a5a94183864cda9eb41"/>
      <w:bookmarkEnd w:id="7"/>
      <w:r w:rsidRPr="00432A25">
        <w:rPr>
          <w:color w:val="000000"/>
          <w:szCs w:val="24"/>
          <w:lang w:eastAsia="lt-LT"/>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01DC3092" w14:textId="77777777" w:rsidR="00432A25" w:rsidRPr="00432A25" w:rsidRDefault="00432A25" w:rsidP="00432A25">
      <w:pPr>
        <w:ind w:firstLine="851"/>
        <w:jc w:val="both"/>
        <w:rPr>
          <w:color w:val="000000"/>
          <w:szCs w:val="24"/>
          <w:lang w:eastAsia="lt-LT"/>
        </w:rPr>
      </w:pPr>
      <w:bookmarkStart w:id="8" w:name="part_66bcf0a698404cc6ba1b52491462548b"/>
      <w:bookmarkEnd w:id="8"/>
      <w:r w:rsidRPr="00432A25">
        <w:rPr>
          <w:color w:val="000000"/>
          <w:szCs w:val="24"/>
          <w:lang w:eastAsia="lt-LT"/>
        </w:rPr>
        <w:t>3. jei baldo kamšalo sudėtyje naudojamos sintetinės poliesterio medžiagos, jų sudėtyje turi būti dalis perdirbtų medžiagų;</w:t>
      </w:r>
    </w:p>
    <w:p w14:paraId="773FFB85" w14:textId="77777777" w:rsidR="00432A25" w:rsidRPr="00432A25" w:rsidRDefault="00432A25" w:rsidP="00432A25">
      <w:pPr>
        <w:ind w:firstLine="851"/>
        <w:jc w:val="both"/>
        <w:rPr>
          <w:color w:val="000000"/>
          <w:szCs w:val="24"/>
          <w:lang w:eastAsia="lt-LT"/>
        </w:rPr>
      </w:pPr>
      <w:bookmarkStart w:id="9" w:name="part_160084c4ec784703be1e3464fdf386ff"/>
      <w:bookmarkEnd w:id="9"/>
      <w:r w:rsidRPr="00432A25">
        <w:rPr>
          <w:color w:val="000000"/>
          <w:szCs w:val="24"/>
          <w:lang w:eastAsia="lt-LT"/>
        </w:rPr>
        <w:t>4. paviršiams dengti naudojamuose produktuose:</w:t>
      </w:r>
    </w:p>
    <w:p w14:paraId="6CA11D25" w14:textId="77777777" w:rsidR="00432A25" w:rsidRPr="00432A25" w:rsidRDefault="00432A25" w:rsidP="00432A25">
      <w:pPr>
        <w:ind w:firstLine="851"/>
        <w:jc w:val="both"/>
        <w:rPr>
          <w:color w:val="000000"/>
          <w:szCs w:val="24"/>
          <w:lang w:eastAsia="lt-LT"/>
        </w:rPr>
      </w:pPr>
      <w:bookmarkStart w:id="10" w:name="part_a197a28a8c254b7ba798c21f34450fb3"/>
      <w:bookmarkEnd w:id="10"/>
      <w:r w:rsidRPr="00432A25">
        <w:rPr>
          <w:color w:val="000000"/>
          <w:szCs w:val="24"/>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BE800B6" w14:textId="77777777" w:rsidR="00432A25" w:rsidRPr="00432A25" w:rsidRDefault="00432A25" w:rsidP="00432A25">
      <w:pPr>
        <w:ind w:firstLine="851"/>
        <w:jc w:val="both"/>
        <w:rPr>
          <w:color w:val="000000"/>
          <w:szCs w:val="24"/>
          <w:lang w:eastAsia="lt-LT"/>
        </w:rPr>
      </w:pPr>
      <w:bookmarkStart w:id="11" w:name="part_8b4a56a19d3c4fe99a7642bc2034b992"/>
      <w:bookmarkEnd w:id="11"/>
      <w:r w:rsidRPr="00432A25">
        <w:rPr>
          <w:color w:val="000000"/>
          <w:szCs w:val="24"/>
          <w:lang w:eastAsia="lt-LT"/>
        </w:rPr>
        <w:t>4.2. neturi būti daugiau kaip 5 proc. masės lakiųjų organinių junginių (LOJ);</w:t>
      </w:r>
    </w:p>
    <w:p w14:paraId="0E703218" w14:textId="77777777" w:rsidR="00432A25" w:rsidRPr="00432A25" w:rsidRDefault="00432A25" w:rsidP="00432A25">
      <w:pPr>
        <w:ind w:firstLine="851"/>
        <w:jc w:val="both"/>
        <w:rPr>
          <w:color w:val="000000"/>
          <w:szCs w:val="24"/>
          <w:lang w:eastAsia="lt-LT"/>
        </w:rPr>
      </w:pPr>
      <w:bookmarkStart w:id="12" w:name="part_c97d10d104044eb1898e5891708d5ecf"/>
      <w:bookmarkEnd w:id="12"/>
      <w:r w:rsidRPr="00432A25">
        <w:rPr>
          <w:color w:val="000000"/>
          <w:szCs w:val="24"/>
          <w:lang w:eastAsia="lt-LT"/>
        </w:rPr>
        <w:t>4.3. neturi būti chromo (VI) junginių;</w:t>
      </w:r>
    </w:p>
    <w:p w14:paraId="013E6C75" w14:textId="77777777" w:rsidR="00432A25" w:rsidRPr="00432A25" w:rsidRDefault="00432A25" w:rsidP="00432A25">
      <w:pPr>
        <w:ind w:firstLine="851"/>
        <w:jc w:val="both"/>
        <w:rPr>
          <w:color w:val="000000"/>
          <w:szCs w:val="24"/>
          <w:lang w:eastAsia="lt-LT"/>
        </w:rPr>
      </w:pPr>
      <w:bookmarkStart w:id="13" w:name="part_7f6c8fc1f7d249fba87140a2d5fd13d7"/>
      <w:bookmarkEnd w:id="13"/>
      <w:r w:rsidRPr="00432A25">
        <w:rPr>
          <w:color w:val="000000"/>
          <w:szCs w:val="24"/>
          <w:lang w:eastAsia="lt-LT"/>
        </w:rPr>
        <w:t>4.4. formaldehido išmetamieji teršalai neturi viršyti 0,05 ppm.</w:t>
      </w:r>
    </w:p>
    <w:p w14:paraId="52D37EA6" w14:textId="77777777" w:rsidR="00432A25" w:rsidRPr="00432A25" w:rsidRDefault="00432A25" w:rsidP="00432A25">
      <w:pPr>
        <w:rPr>
          <w:rFonts w:eastAsia="MS Mincho"/>
          <w:noProof/>
          <w:color w:val="000000"/>
          <w:sz w:val="20"/>
          <w:lang w:val="lv-LV"/>
        </w:rPr>
      </w:pPr>
    </w:p>
    <w:p w14:paraId="4A2F07F2" w14:textId="77777777" w:rsidR="00BD0281" w:rsidRPr="00432A25" w:rsidRDefault="00BD0281" w:rsidP="00DA330B">
      <w:pPr>
        <w:rPr>
          <w:szCs w:val="24"/>
          <w:lang w:val="lv-LV"/>
        </w:rPr>
      </w:pPr>
    </w:p>
    <w:p w14:paraId="774CBB70" w14:textId="77777777" w:rsidR="00BD0281" w:rsidRDefault="00BD0281" w:rsidP="00DA330B">
      <w:pPr>
        <w:rPr>
          <w:szCs w:val="24"/>
        </w:rPr>
      </w:pPr>
    </w:p>
    <w:p w14:paraId="7CA162C2" w14:textId="77777777" w:rsidR="0099790C" w:rsidRDefault="0099790C" w:rsidP="00DA330B">
      <w:pPr>
        <w:rPr>
          <w:szCs w:val="24"/>
        </w:rPr>
      </w:pPr>
    </w:p>
    <w:p w14:paraId="33835FAB" w14:textId="77777777" w:rsidR="00BD0281" w:rsidRDefault="00BD0281" w:rsidP="00DA330B">
      <w:pPr>
        <w:rPr>
          <w:szCs w:val="24"/>
        </w:rPr>
      </w:pPr>
    </w:p>
    <w:p w14:paraId="7B5F3E15" w14:textId="77777777" w:rsidR="00BD0281" w:rsidRDefault="00BD0281" w:rsidP="00DA330B">
      <w:pPr>
        <w:rPr>
          <w:szCs w:val="24"/>
        </w:rPr>
      </w:pPr>
    </w:p>
    <w:p w14:paraId="367FC21B" w14:textId="77777777" w:rsidR="00C15958" w:rsidRDefault="00C15958" w:rsidP="00DA330B">
      <w:pPr>
        <w:rPr>
          <w:szCs w:val="24"/>
        </w:rPr>
      </w:pPr>
    </w:p>
    <w:p w14:paraId="4D267119" w14:textId="1660AE5D" w:rsidR="00165AF1" w:rsidRDefault="00165AF1">
      <w:pPr>
        <w:spacing w:after="160" w:line="259" w:lineRule="auto"/>
        <w:rPr>
          <w:szCs w:val="24"/>
        </w:rPr>
      </w:pPr>
      <w:r>
        <w:rPr>
          <w:szCs w:val="24"/>
        </w:rPr>
        <w:br w:type="page"/>
      </w:r>
    </w:p>
    <w:p w14:paraId="160DDBE3" w14:textId="77777777" w:rsidR="00C15958" w:rsidRDefault="00C15958" w:rsidP="00DA330B">
      <w:pPr>
        <w:rPr>
          <w:szCs w:val="24"/>
        </w:rPr>
      </w:pPr>
    </w:p>
    <w:p w14:paraId="290A2FED" w14:textId="77777777" w:rsidR="00C15958" w:rsidRPr="0029198B" w:rsidRDefault="00C15958"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3"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7"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9"/>
  </w:num>
  <w:num w:numId="3" w16cid:durableId="4135711">
    <w:abstractNumId w:val="28"/>
  </w:num>
  <w:num w:numId="4" w16cid:durableId="906498978">
    <w:abstractNumId w:val="4"/>
  </w:num>
  <w:num w:numId="5" w16cid:durableId="177231570">
    <w:abstractNumId w:val="20"/>
  </w:num>
  <w:num w:numId="6" w16cid:durableId="1042946889">
    <w:abstractNumId w:val="18"/>
  </w:num>
  <w:num w:numId="7" w16cid:durableId="1797597994">
    <w:abstractNumId w:val="1"/>
  </w:num>
  <w:num w:numId="8" w16cid:durableId="1177235045">
    <w:abstractNumId w:val="23"/>
  </w:num>
  <w:num w:numId="9" w16cid:durableId="1209996004">
    <w:abstractNumId w:val="12"/>
  </w:num>
  <w:num w:numId="10" w16cid:durableId="465244782">
    <w:abstractNumId w:val="27"/>
  </w:num>
  <w:num w:numId="11" w16cid:durableId="1527450367">
    <w:abstractNumId w:val="21"/>
  </w:num>
  <w:num w:numId="12" w16cid:durableId="223880816">
    <w:abstractNumId w:val="19"/>
  </w:num>
  <w:num w:numId="13" w16cid:durableId="1546678820">
    <w:abstractNumId w:val="7"/>
  </w:num>
  <w:num w:numId="14" w16cid:durableId="810101690">
    <w:abstractNumId w:val="8"/>
  </w:num>
  <w:num w:numId="15" w16cid:durableId="1687051563">
    <w:abstractNumId w:val="14"/>
  </w:num>
  <w:num w:numId="16" w16cid:durableId="1786922290">
    <w:abstractNumId w:val="0"/>
  </w:num>
  <w:num w:numId="17" w16cid:durableId="1083993523">
    <w:abstractNumId w:val="26"/>
  </w:num>
  <w:num w:numId="18" w16cid:durableId="322859864">
    <w:abstractNumId w:val="24"/>
  </w:num>
  <w:num w:numId="19" w16cid:durableId="1561818039">
    <w:abstractNumId w:val="13"/>
  </w:num>
  <w:num w:numId="20" w16cid:durableId="344793105">
    <w:abstractNumId w:val="22"/>
  </w:num>
  <w:num w:numId="21" w16cid:durableId="129054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6"/>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6"/>
  </w:num>
  <w:num w:numId="26" w16cid:durableId="993337377">
    <w:abstractNumId w:val="17"/>
  </w:num>
  <w:num w:numId="27" w16cid:durableId="924654074">
    <w:abstractNumId w:val="11"/>
  </w:num>
  <w:num w:numId="28" w16cid:durableId="844129815">
    <w:abstractNumId w:val="2"/>
  </w:num>
  <w:num w:numId="29" w16cid:durableId="1759784687">
    <w:abstractNumId w:val="15"/>
  </w:num>
  <w:num w:numId="30" w16cid:durableId="1659963582">
    <w:abstractNumId w:val="5"/>
  </w:num>
  <w:num w:numId="31" w16cid:durableId="85230431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965EE"/>
    <w:rsid w:val="000A27FE"/>
    <w:rsid w:val="000A48A9"/>
    <w:rsid w:val="000A65A8"/>
    <w:rsid w:val="000B0F05"/>
    <w:rsid w:val="000C54BF"/>
    <w:rsid w:val="000C67F6"/>
    <w:rsid w:val="000D212F"/>
    <w:rsid w:val="000D6749"/>
    <w:rsid w:val="000E2A16"/>
    <w:rsid w:val="000E2D8F"/>
    <w:rsid w:val="000E617C"/>
    <w:rsid w:val="000E6E14"/>
    <w:rsid w:val="00100760"/>
    <w:rsid w:val="001028E6"/>
    <w:rsid w:val="0010620B"/>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4D5B"/>
    <w:rsid w:val="00165AF1"/>
    <w:rsid w:val="00167F3C"/>
    <w:rsid w:val="001805E4"/>
    <w:rsid w:val="00180605"/>
    <w:rsid w:val="001827BC"/>
    <w:rsid w:val="00183C8C"/>
    <w:rsid w:val="00183F9F"/>
    <w:rsid w:val="0018513F"/>
    <w:rsid w:val="00187588"/>
    <w:rsid w:val="00197A65"/>
    <w:rsid w:val="001A0A02"/>
    <w:rsid w:val="001A1F6E"/>
    <w:rsid w:val="001A2828"/>
    <w:rsid w:val="001B2115"/>
    <w:rsid w:val="001B704B"/>
    <w:rsid w:val="001C4847"/>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A25"/>
    <w:rsid w:val="00432E69"/>
    <w:rsid w:val="00434F9E"/>
    <w:rsid w:val="00440348"/>
    <w:rsid w:val="0044250A"/>
    <w:rsid w:val="00443C8D"/>
    <w:rsid w:val="0044450D"/>
    <w:rsid w:val="004517D4"/>
    <w:rsid w:val="00454D35"/>
    <w:rsid w:val="00457B14"/>
    <w:rsid w:val="00465463"/>
    <w:rsid w:val="00467217"/>
    <w:rsid w:val="004672A2"/>
    <w:rsid w:val="0047755A"/>
    <w:rsid w:val="00480E81"/>
    <w:rsid w:val="004836CF"/>
    <w:rsid w:val="00484C6B"/>
    <w:rsid w:val="00484C75"/>
    <w:rsid w:val="00490749"/>
    <w:rsid w:val="004A30EB"/>
    <w:rsid w:val="004A615D"/>
    <w:rsid w:val="004A75F4"/>
    <w:rsid w:val="004B16EB"/>
    <w:rsid w:val="004B253E"/>
    <w:rsid w:val="004B4EDA"/>
    <w:rsid w:val="004C02C3"/>
    <w:rsid w:val="004C62BF"/>
    <w:rsid w:val="004C70A8"/>
    <w:rsid w:val="004C7EBB"/>
    <w:rsid w:val="004D1B94"/>
    <w:rsid w:val="004D40C1"/>
    <w:rsid w:val="004D5066"/>
    <w:rsid w:val="004D64AA"/>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57C32"/>
    <w:rsid w:val="0066009A"/>
    <w:rsid w:val="00660D72"/>
    <w:rsid w:val="0066319D"/>
    <w:rsid w:val="00666B9F"/>
    <w:rsid w:val="00667924"/>
    <w:rsid w:val="006726DB"/>
    <w:rsid w:val="006748DD"/>
    <w:rsid w:val="0068130E"/>
    <w:rsid w:val="00695D61"/>
    <w:rsid w:val="006960CE"/>
    <w:rsid w:val="006B3D2D"/>
    <w:rsid w:val="006C42BC"/>
    <w:rsid w:val="006E357A"/>
    <w:rsid w:val="006E4AD8"/>
    <w:rsid w:val="006E517E"/>
    <w:rsid w:val="006E7D02"/>
    <w:rsid w:val="006F1E61"/>
    <w:rsid w:val="00700BB7"/>
    <w:rsid w:val="00700EAA"/>
    <w:rsid w:val="00705819"/>
    <w:rsid w:val="00706780"/>
    <w:rsid w:val="00710788"/>
    <w:rsid w:val="00716775"/>
    <w:rsid w:val="00722229"/>
    <w:rsid w:val="007245AB"/>
    <w:rsid w:val="007270F3"/>
    <w:rsid w:val="00731E23"/>
    <w:rsid w:val="0074183D"/>
    <w:rsid w:val="00744A7D"/>
    <w:rsid w:val="00746558"/>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100D"/>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70B6"/>
    <w:rsid w:val="009331DA"/>
    <w:rsid w:val="00933ACC"/>
    <w:rsid w:val="00936455"/>
    <w:rsid w:val="00940E9A"/>
    <w:rsid w:val="0094139C"/>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D6C"/>
    <w:rsid w:val="00987FA0"/>
    <w:rsid w:val="00992BB1"/>
    <w:rsid w:val="00992C20"/>
    <w:rsid w:val="00994B68"/>
    <w:rsid w:val="00997522"/>
    <w:rsid w:val="0099790C"/>
    <w:rsid w:val="009A0A30"/>
    <w:rsid w:val="009A0F9B"/>
    <w:rsid w:val="009A1BDE"/>
    <w:rsid w:val="009B13A2"/>
    <w:rsid w:val="009B4933"/>
    <w:rsid w:val="009B6B40"/>
    <w:rsid w:val="009B70CB"/>
    <w:rsid w:val="009C751D"/>
    <w:rsid w:val="009D0DF0"/>
    <w:rsid w:val="009D1D70"/>
    <w:rsid w:val="009D21C7"/>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790"/>
    <w:rsid w:val="00A71EB3"/>
    <w:rsid w:val="00A737B3"/>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50B18"/>
    <w:rsid w:val="00C512BC"/>
    <w:rsid w:val="00C5322F"/>
    <w:rsid w:val="00C61FDE"/>
    <w:rsid w:val="00C65843"/>
    <w:rsid w:val="00C6797A"/>
    <w:rsid w:val="00C70A43"/>
    <w:rsid w:val="00C711BD"/>
    <w:rsid w:val="00C76A04"/>
    <w:rsid w:val="00C803A7"/>
    <w:rsid w:val="00C80FBE"/>
    <w:rsid w:val="00C81D51"/>
    <w:rsid w:val="00C904C0"/>
    <w:rsid w:val="00C94E49"/>
    <w:rsid w:val="00CB1725"/>
    <w:rsid w:val="00CB46B3"/>
    <w:rsid w:val="00CB5C6F"/>
    <w:rsid w:val="00CB7610"/>
    <w:rsid w:val="00CC6BC6"/>
    <w:rsid w:val="00CD0571"/>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7E"/>
    <w:rsid w:val="00DC2481"/>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3F6C"/>
    <w:rsid w:val="00E241B9"/>
    <w:rsid w:val="00E27C81"/>
    <w:rsid w:val="00E30A33"/>
    <w:rsid w:val="00E30C7E"/>
    <w:rsid w:val="00E34050"/>
    <w:rsid w:val="00E34C24"/>
    <w:rsid w:val="00E35253"/>
    <w:rsid w:val="00E35CE3"/>
    <w:rsid w:val="00E372D9"/>
    <w:rsid w:val="00E44B44"/>
    <w:rsid w:val="00E503BC"/>
    <w:rsid w:val="00E50C74"/>
    <w:rsid w:val="00E545A6"/>
    <w:rsid w:val="00E5551A"/>
    <w:rsid w:val="00E55BA1"/>
    <w:rsid w:val="00E56576"/>
    <w:rsid w:val="00E60459"/>
    <w:rsid w:val="00E61CCC"/>
    <w:rsid w:val="00E62DBE"/>
    <w:rsid w:val="00E642DB"/>
    <w:rsid w:val="00E666DB"/>
    <w:rsid w:val="00E7178C"/>
    <w:rsid w:val="00E85BC7"/>
    <w:rsid w:val="00E91F14"/>
    <w:rsid w:val="00E92712"/>
    <w:rsid w:val="00E96915"/>
    <w:rsid w:val="00EA3418"/>
    <w:rsid w:val="00EA6016"/>
    <w:rsid w:val="00EC17F7"/>
    <w:rsid w:val="00EC6806"/>
    <w:rsid w:val="00ED13EE"/>
    <w:rsid w:val="00ED34BE"/>
    <w:rsid w:val="00ED5EC3"/>
    <w:rsid w:val="00EE1921"/>
    <w:rsid w:val="00EE2F1E"/>
    <w:rsid w:val="00EE4BFC"/>
    <w:rsid w:val="00EE588C"/>
    <w:rsid w:val="00EE6339"/>
    <w:rsid w:val="00EE635C"/>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11E"/>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87757"/>
    <w:rsid w:val="00F90E61"/>
    <w:rsid w:val="00F925C8"/>
    <w:rsid w:val="00F971AD"/>
    <w:rsid w:val="00FA7A37"/>
    <w:rsid w:val="00FB2524"/>
    <w:rsid w:val="00FB2530"/>
    <w:rsid w:val="00FB4AA6"/>
    <w:rsid w:val="00FC30E0"/>
    <w:rsid w:val="00FC6541"/>
    <w:rsid w:val="00FD0110"/>
    <w:rsid w:val="00FD102B"/>
    <w:rsid w:val="00FD102D"/>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riana.Serlat@vrs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14</Pages>
  <Words>23421</Words>
  <Characters>13351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Adriana Šerlat</cp:lastModifiedBy>
  <cp:revision>152</cp:revision>
  <cp:lastPrinted>2024-08-14T11:31:00Z</cp:lastPrinted>
  <dcterms:created xsi:type="dcterms:W3CDTF">2025-02-18T13:07:00Z</dcterms:created>
  <dcterms:modified xsi:type="dcterms:W3CDTF">2025-12-04T13:07:00Z</dcterms:modified>
</cp:coreProperties>
</file>