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821C86"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DVIPUSĖS ĮRANKIŲ PERDAVIMO SPINTOS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21C86">
        <w:rPr>
          <w:rFonts w:asciiTheme="majorHAnsi" w:hAnsiTheme="majorHAnsi"/>
          <w:b/>
          <w:color w:val="1F497D" w:themeColor="text2"/>
          <w:sz w:val="22"/>
          <w:szCs w:val="22"/>
        </w:rPr>
        <w:t>dvipuses įrankių perdavimo spintas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821C86">
        <w:rPr>
          <w:rFonts w:asciiTheme="majorHAnsi" w:hAnsiTheme="majorHAnsi"/>
          <w:b/>
          <w:color w:val="1F497D" w:themeColor="text2"/>
        </w:rPr>
        <w:t>dvipusės įrankių perdavimo spintos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21C86">
        <w:rPr>
          <w:rFonts w:asciiTheme="majorHAnsi" w:hAnsiTheme="majorHAnsi"/>
          <w:i/>
          <w:color w:val="1F497D" w:themeColor="text2"/>
        </w:rPr>
        <w:t>dvipusių įrankių perdavimo spintų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821C86">
        <w:rPr>
          <w:rFonts w:asciiTheme="majorHAnsi" w:hAnsiTheme="majorHAnsi" w:cs="Calibri"/>
          <w:i/>
          <w:color w:val="1F497D" w:themeColor="text2"/>
          <w:shd w:val="clear" w:color="auto" w:fill="FFFFFF"/>
        </w:rPr>
        <w:t>5543671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515B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515B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515B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515B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F515B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E57096">
        <w:rPr>
          <w:rFonts w:asciiTheme="majorHAnsi" w:hAnsiTheme="majorHAnsi" w:cs="Times New Roman"/>
          <w:color w:val="auto"/>
        </w:rPr>
        <w:t xml:space="preserve">5.4. </w:t>
      </w:r>
      <w:r w:rsidRPr="00E57096">
        <w:rPr>
          <w:rFonts w:asciiTheme="majorHAnsi" w:hAnsiTheme="majorHAnsi" w:cs="Times New Roman"/>
          <w:iCs/>
          <w:color w:val="auto"/>
        </w:rPr>
        <w:t xml:space="preserve">Pasiūlymas turi būti pateiktas iki </w:t>
      </w:r>
      <w:r w:rsidR="00ED05BF" w:rsidRPr="00E57096">
        <w:rPr>
          <w:rFonts w:asciiTheme="majorHAnsi" w:hAnsiTheme="majorHAnsi" w:cs="Times New Roman"/>
          <w:b/>
          <w:iCs/>
          <w:color w:val="548DD4" w:themeColor="text2" w:themeTint="99"/>
        </w:rPr>
        <w:t xml:space="preserve">2025 m. </w:t>
      </w:r>
      <w:r w:rsidR="006F28CC" w:rsidRPr="00E57096">
        <w:rPr>
          <w:rFonts w:asciiTheme="majorHAnsi" w:hAnsiTheme="majorHAnsi" w:cs="Times New Roman"/>
          <w:b/>
          <w:iCs/>
          <w:color w:val="548DD4" w:themeColor="text2" w:themeTint="99"/>
        </w:rPr>
        <w:t xml:space="preserve">gruodžio </w:t>
      </w:r>
      <w:r w:rsidR="00E57096" w:rsidRPr="00E57096">
        <w:rPr>
          <w:rFonts w:asciiTheme="majorHAnsi" w:hAnsiTheme="majorHAnsi" w:cs="Times New Roman"/>
          <w:b/>
          <w:iCs/>
          <w:color w:val="548DD4" w:themeColor="text2" w:themeTint="99"/>
        </w:rPr>
        <w:t>18</w:t>
      </w:r>
      <w:r w:rsidR="00967FA2" w:rsidRPr="00E57096">
        <w:rPr>
          <w:rFonts w:asciiTheme="majorHAnsi" w:hAnsiTheme="majorHAnsi" w:cs="Times New Roman"/>
          <w:b/>
          <w:iCs/>
          <w:color w:val="548DD4" w:themeColor="text2" w:themeTint="99"/>
        </w:rPr>
        <w:t xml:space="preserve"> </w:t>
      </w:r>
      <w:r w:rsidR="00366696" w:rsidRPr="00E57096">
        <w:rPr>
          <w:rFonts w:asciiTheme="majorHAnsi" w:hAnsiTheme="majorHAnsi" w:cs="Times New Roman"/>
          <w:b/>
          <w:iCs/>
          <w:color w:val="548DD4" w:themeColor="text2" w:themeTint="99"/>
        </w:rPr>
        <w:t>d. 0</w:t>
      </w:r>
      <w:r w:rsidR="00A826E2" w:rsidRPr="00E57096">
        <w:rPr>
          <w:rFonts w:asciiTheme="majorHAnsi" w:hAnsiTheme="majorHAnsi" w:cs="Times New Roman"/>
          <w:b/>
          <w:iCs/>
          <w:color w:val="548DD4" w:themeColor="text2" w:themeTint="99"/>
        </w:rPr>
        <w:t>8</w:t>
      </w:r>
      <w:r w:rsidRPr="00E57096">
        <w:rPr>
          <w:rFonts w:asciiTheme="majorHAnsi" w:hAnsiTheme="majorHAnsi" w:cs="Times New Roman"/>
          <w:b/>
          <w:iCs/>
          <w:color w:val="548DD4" w:themeColor="text2" w:themeTint="99"/>
        </w:rPr>
        <w:t xml:space="preserve"> val. </w:t>
      </w:r>
      <w:r w:rsidR="00806463" w:rsidRPr="00E57096">
        <w:rPr>
          <w:rFonts w:asciiTheme="majorHAnsi" w:hAnsiTheme="majorHAnsi" w:cs="Times New Roman"/>
          <w:b/>
          <w:iCs/>
          <w:color w:val="548DD4" w:themeColor="text2" w:themeTint="99"/>
        </w:rPr>
        <w:t>00</w:t>
      </w:r>
      <w:r w:rsidRPr="00E57096">
        <w:rPr>
          <w:rFonts w:asciiTheme="majorHAnsi" w:hAnsiTheme="majorHAnsi" w:cs="Times New Roman"/>
          <w:b/>
          <w:iCs/>
          <w:color w:val="548DD4" w:themeColor="text2" w:themeTint="99"/>
        </w:rPr>
        <w:t xml:space="preserve"> min.</w:t>
      </w:r>
      <w:r w:rsidRPr="00E57096">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E57096">
        <w:rPr>
          <w:rFonts w:asciiTheme="majorHAnsi" w:hAnsiTheme="majorHAnsi" w:cs="Times New Roman"/>
          <w:lang w:val="it-IT"/>
        </w:rPr>
        <w:t xml:space="preserve">trumpiau </w:t>
      </w:r>
      <w:r w:rsidRPr="00E57096">
        <w:rPr>
          <w:rFonts w:asciiTheme="majorHAnsi" w:hAnsiTheme="majorHAnsi" w:cs="Times New Roman"/>
          <w:lang w:val="lt-LT"/>
        </w:rPr>
        <w:t xml:space="preserve">kaip iki </w:t>
      </w:r>
      <w:r w:rsidR="007B7CB6" w:rsidRPr="00E57096">
        <w:rPr>
          <w:rFonts w:asciiTheme="majorHAnsi" w:hAnsiTheme="majorHAnsi" w:cs="Times New Roman"/>
          <w:b/>
          <w:color w:val="548DD4" w:themeColor="text2" w:themeTint="99"/>
          <w:lang w:val="lt-LT"/>
        </w:rPr>
        <w:t>202</w:t>
      </w:r>
      <w:r w:rsidR="008E4F76" w:rsidRPr="00E57096">
        <w:rPr>
          <w:rFonts w:asciiTheme="majorHAnsi" w:hAnsiTheme="majorHAnsi" w:cs="Times New Roman"/>
          <w:b/>
          <w:color w:val="548DD4" w:themeColor="text2" w:themeTint="99"/>
          <w:lang w:val="lt-LT"/>
        </w:rPr>
        <w:t>6-0</w:t>
      </w:r>
      <w:r w:rsidR="006F28CC" w:rsidRPr="00E57096">
        <w:rPr>
          <w:rFonts w:asciiTheme="majorHAnsi" w:hAnsiTheme="majorHAnsi" w:cs="Times New Roman"/>
          <w:b/>
          <w:color w:val="548DD4" w:themeColor="text2" w:themeTint="99"/>
          <w:lang w:val="lt-LT"/>
        </w:rPr>
        <w:t>4-</w:t>
      </w:r>
      <w:r w:rsidR="00E57096" w:rsidRPr="00E57096">
        <w:rPr>
          <w:rFonts w:asciiTheme="majorHAnsi" w:hAnsiTheme="majorHAnsi" w:cs="Times New Roman"/>
          <w:b/>
          <w:color w:val="548DD4" w:themeColor="text2" w:themeTint="99"/>
          <w:lang w:val="lt-LT"/>
        </w:rPr>
        <w:t>18</w:t>
      </w:r>
      <w:r w:rsidR="00821C86" w:rsidRPr="00E57096">
        <w:rPr>
          <w:rFonts w:asciiTheme="majorHAnsi" w:hAnsiTheme="majorHAnsi" w:cs="Times New Roman"/>
          <w:b/>
          <w:color w:val="548DD4" w:themeColor="text2" w:themeTint="99"/>
          <w:lang w:val="lt-LT"/>
        </w:rPr>
        <w:t>.</w:t>
      </w:r>
      <w:r w:rsidRPr="00E57096">
        <w:rPr>
          <w:rFonts w:asciiTheme="majorHAnsi" w:hAnsiTheme="majorHAnsi" w:cs="Times New Roman"/>
          <w:lang w:val="pt-PT"/>
        </w:rPr>
        <w:t xml:space="preserve"> Jeigu pasi</w:t>
      </w:r>
      <w:r w:rsidRPr="00E57096">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 parametrai ir 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(katalogus, prospektus ar kitą gamintojo dokumentaciją su siūlomos prekės aprašymais)</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w:t>
      </w:r>
      <w:r w:rsidR="00821C86">
        <w:rPr>
          <w:rFonts w:asciiTheme="majorHAnsi" w:hAnsiTheme="majorHAnsi"/>
          <w:b/>
          <w:sz w:val="22"/>
          <w:szCs w:val="22"/>
          <w:u w:val="single"/>
        </w:rPr>
        <w:t>iūlomi parametrai ir s</w:t>
      </w:r>
      <w:r w:rsidRPr="00380E82">
        <w:rPr>
          <w:rFonts w:asciiTheme="majorHAnsi" w:hAnsiTheme="majorHAnsi"/>
          <w:b/>
          <w:sz w:val="22"/>
          <w:szCs w:val="22"/>
          <w:u w:val="single"/>
        </w:rPr>
        <w:t>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Pr="00146CE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D05B06" w:rsidRDefault="00AC3D4C" w:rsidP="00146CE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46CEC">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E57096">
        <w:rPr>
          <w:rFonts w:asciiTheme="majorHAnsi" w:hAnsiTheme="majorHAnsi"/>
          <w:b/>
          <w:iCs/>
          <w:color w:val="548DD4" w:themeColor="text2" w:themeTint="99"/>
          <w:sz w:val="22"/>
          <w:szCs w:val="22"/>
        </w:rPr>
        <w:t xml:space="preserve">2025 m. </w:t>
      </w:r>
      <w:r w:rsidR="006F28CC" w:rsidRPr="00E57096">
        <w:rPr>
          <w:rFonts w:asciiTheme="majorHAnsi" w:hAnsiTheme="majorHAnsi"/>
          <w:b/>
          <w:iCs/>
          <w:color w:val="548DD4" w:themeColor="text2" w:themeTint="99"/>
          <w:sz w:val="22"/>
          <w:szCs w:val="22"/>
        </w:rPr>
        <w:t xml:space="preserve">gruodžio </w:t>
      </w:r>
      <w:r w:rsidR="00E57096" w:rsidRPr="00E57096">
        <w:rPr>
          <w:rFonts w:asciiTheme="majorHAnsi" w:hAnsiTheme="majorHAnsi"/>
          <w:b/>
          <w:iCs/>
          <w:color w:val="548DD4" w:themeColor="text2" w:themeTint="99"/>
          <w:sz w:val="22"/>
          <w:szCs w:val="22"/>
        </w:rPr>
        <w:t>18</w:t>
      </w:r>
      <w:r w:rsidR="00366696" w:rsidRPr="00E57096">
        <w:rPr>
          <w:rFonts w:asciiTheme="majorHAnsi" w:hAnsiTheme="majorHAnsi"/>
          <w:b/>
          <w:iCs/>
          <w:color w:val="548DD4" w:themeColor="text2" w:themeTint="99"/>
          <w:sz w:val="22"/>
          <w:szCs w:val="22"/>
        </w:rPr>
        <w:t xml:space="preserve"> d. 0</w:t>
      </w:r>
      <w:r w:rsidR="00A826E2" w:rsidRPr="00E57096">
        <w:rPr>
          <w:rFonts w:asciiTheme="majorHAnsi" w:hAnsiTheme="majorHAnsi"/>
          <w:b/>
          <w:iCs/>
          <w:color w:val="548DD4" w:themeColor="text2" w:themeTint="99"/>
          <w:sz w:val="22"/>
          <w:szCs w:val="22"/>
        </w:rPr>
        <w:t>8</w:t>
      </w:r>
      <w:r w:rsidR="00AF7788" w:rsidRPr="00E57096">
        <w:rPr>
          <w:rFonts w:asciiTheme="majorHAnsi" w:hAnsiTheme="majorHAnsi"/>
          <w:b/>
          <w:iCs/>
          <w:color w:val="548DD4" w:themeColor="text2" w:themeTint="99"/>
          <w:sz w:val="22"/>
          <w:szCs w:val="22"/>
        </w:rPr>
        <w:t xml:space="preserve"> val. </w:t>
      </w:r>
      <w:r w:rsidR="00806463" w:rsidRPr="00E57096">
        <w:rPr>
          <w:rFonts w:asciiTheme="majorHAnsi" w:hAnsiTheme="majorHAnsi"/>
          <w:b/>
          <w:iCs/>
          <w:color w:val="548DD4" w:themeColor="text2" w:themeTint="99"/>
          <w:sz w:val="22"/>
          <w:szCs w:val="22"/>
        </w:rPr>
        <w:t>30</w:t>
      </w:r>
      <w:r w:rsidR="00AF7788" w:rsidRPr="00E57096">
        <w:rPr>
          <w:rFonts w:asciiTheme="majorHAnsi" w:hAnsiTheme="majorHAnsi"/>
          <w:b/>
          <w:iCs/>
          <w:color w:val="548DD4" w:themeColor="text2" w:themeTint="99"/>
          <w:sz w:val="22"/>
          <w:szCs w:val="22"/>
        </w:rPr>
        <w:t xml:space="preserve"> min</w:t>
      </w:r>
      <w:r w:rsidR="00AF7788" w:rsidRPr="00E57096">
        <w:rPr>
          <w:rFonts w:asciiTheme="majorHAnsi" w:hAnsiTheme="majorHAnsi"/>
          <w:b/>
          <w:iCs/>
          <w:sz w:val="22"/>
          <w:szCs w:val="22"/>
        </w:rPr>
        <w:t>.</w:t>
      </w:r>
      <w:r w:rsidR="00AF7788" w:rsidRPr="00E57096">
        <w:rPr>
          <w:rFonts w:asciiTheme="majorHAnsi" w:hAnsiTheme="majorHAnsi"/>
          <w:iCs/>
          <w:sz w:val="22"/>
          <w:szCs w:val="22"/>
        </w:rPr>
        <w:t xml:space="preserve"> </w:t>
      </w:r>
      <w:r w:rsidR="00AF7788" w:rsidRPr="00E57096">
        <w:rPr>
          <w:rFonts w:asciiTheme="majorHAnsi" w:hAnsiTheme="majorHAnsi"/>
          <w:iCs/>
          <w:sz w:val="22"/>
          <w:szCs w:val="22"/>
          <w:u w:val="single"/>
        </w:rPr>
        <w:t xml:space="preserve">Jei pasiūlymas teikiamas šifruotas, slaptažodis turi būti pateiktas </w:t>
      </w:r>
      <w:r w:rsidR="00AF7788" w:rsidRPr="00E57096">
        <w:rPr>
          <w:rFonts w:asciiTheme="majorHAnsi" w:hAnsiTheme="majorHAnsi"/>
          <w:b/>
          <w:iCs/>
          <w:color w:val="548DD4" w:themeColor="text2" w:themeTint="99"/>
          <w:sz w:val="22"/>
          <w:szCs w:val="22"/>
          <w:u w:val="single"/>
        </w:rPr>
        <w:t xml:space="preserve">2025 m. </w:t>
      </w:r>
      <w:r w:rsidR="006F28CC" w:rsidRPr="00E57096">
        <w:rPr>
          <w:rFonts w:asciiTheme="majorHAnsi" w:hAnsiTheme="majorHAnsi"/>
          <w:b/>
          <w:iCs/>
          <w:color w:val="548DD4" w:themeColor="text2" w:themeTint="99"/>
          <w:sz w:val="22"/>
          <w:szCs w:val="22"/>
          <w:u w:val="single"/>
        </w:rPr>
        <w:t xml:space="preserve">gruodžio </w:t>
      </w:r>
      <w:r w:rsidR="00E57096" w:rsidRPr="00E57096">
        <w:rPr>
          <w:rFonts w:asciiTheme="majorHAnsi" w:hAnsiTheme="majorHAnsi"/>
          <w:b/>
          <w:iCs/>
          <w:color w:val="548DD4" w:themeColor="text2" w:themeTint="99"/>
          <w:sz w:val="22"/>
          <w:szCs w:val="22"/>
          <w:u w:val="single"/>
        </w:rPr>
        <w:t>18</w:t>
      </w:r>
      <w:r w:rsidR="00AF7788" w:rsidRPr="00E57096">
        <w:rPr>
          <w:rFonts w:asciiTheme="majorHAnsi" w:hAnsiTheme="majorHAnsi"/>
          <w:b/>
          <w:iCs/>
          <w:color w:val="548DD4" w:themeColor="text2" w:themeTint="99"/>
          <w:sz w:val="22"/>
          <w:szCs w:val="22"/>
          <w:u w:val="single"/>
        </w:rPr>
        <w:t xml:space="preserve"> d.</w:t>
      </w:r>
      <w:r w:rsidR="00AF7788" w:rsidRPr="00E57096">
        <w:rPr>
          <w:rFonts w:asciiTheme="majorHAnsi" w:hAnsiTheme="majorHAnsi"/>
          <w:iCs/>
          <w:color w:val="548DD4" w:themeColor="text2" w:themeTint="99"/>
          <w:sz w:val="22"/>
          <w:szCs w:val="22"/>
          <w:u w:val="single"/>
        </w:rPr>
        <w:t xml:space="preserve"> intervale </w:t>
      </w:r>
      <w:r w:rsidR="0053650B" w:rsidRPr="00E57096">
        <w:rPr>
          <w:rFonts w:asciiTheme="majorHAnsi" w:hAnsiTheme="majorHAnsi"/>
          <w:b/>
          <w:iCs/>
          <w:color w:val="548DD4" w:themeColor="text2" w:themeTint="99"/>
          <w:sz w:val="22"/>
          <w:szCs w:val="22"/>
          <w:u w:val="single"/>
        </w:rPr>
        <w:t>0</w:t>
      </w:r>
      <w:r w:rsidR="00A826E2" w:rsidRPr="00E57096">
        <w:rPr>
          <w:rFonts w:asciiTheme="majorHAnsi" w:hAnsiTheme="majorHAnsi"/>
          <w:b/>
          <w:iCs/>
          <w:color w:val="548DD4" w:themeColor="text2" w:themeTint="99"/>
          <w:sz w:val="22"/>
          <w:szCs w:val="22"/>
          <w:u w:val="single"/>
        </w:rPr>
        <w:t>8</w:t>
      </w:r>
      <w:r w:rsidR="00366696" w:rsidRPr="00E57096">
        <w:rPr>
          <w:rFonts w:asciiTheme="majorHAnsi" w:hAnsiTheme="majorHAnsi"/>
          <w:b/>
          <w:iCs/>
          <w:color w:val="548DD4" w:themeColor="text2" w:themeTint="99"/>
          <w:sz w:val="22"/>
          <w:szCs w:val="22"/>
          <w:u w:val="single"/>
        </w:rPr>
        <w:t>.</w:t>
      </w:r>
      <w:r w:rsidR="00806463" w:rsidRPr="00E57096">
        <w:rPr>
          <w:rFonts w:asciiTheme="majorHAnsi" w:hAnsiTheme="majorHAnsi"/>
          <w:b/>
          <w:iCs/>
          <w:color w:val="548DD4" w:themeColor="text2" w:themeTint="99"/>
          <w:sz w:val="22"/>
          <w:szCs w:val="22"/>
          <w:u w:val="single"/>
        </w:rPr>
        <w:t>00</w:t>
      </w:r>
      <w:r w:rsidR="00366696" w:rsidRPr="00E57096">
        <w:rPr>
          <w:rFonts w:asciiTheme="majorHAnsi" w:hAnsiTheme="majorHAnsi"/>
          <w:b/>
          <w:iCs/>
          <w:color w:val="548DD4" w:themeColor="text2" w:themeTint="99"/>
          <w:sz w:val="22"/>
          <w:szCs w:val="22"/>
          <w:u w:val="single"/>
        </w:rPr>
        <w:t xml:space="preserve"> – 0</w:t>
      </w:r>
      <w:r w:rsidR="00A826E2" w:rsidRPr="00E57096">
        <w:rPr>
          <w:rFonts w:asciiTheme="majorHAnsi" w:hAnsiTheme="majorHAnsi"/>
          <w:b/>
          <w:iCs/>
          <w:color w:val="548DD4" w:themeColor="text2" w:themeTint="99"/>
          <w:sz w:val="22"/>
          <w:szCs w:val="22"/>
          <w:u w:val="single"/>
        </w:rPr>
        <w:t>8</w:t>
      </w:r>
      <w:r w:rsidR="00AF7788" w:rsidRPr="00E57096">
        <w:rPr>
          <w:rFonts w:asciiTheme="majorHAnsi" w:hAnsiTheme="majorHAnsi"/>
          <w:b/>
          <w:iCs/>
          <w:color w:val="548DD4" w:themeColor="text2" w:themeTint="99"/>
          <w:sz w:val="22"/>
          <w:szCs w:val="22"/>
          <w:u w:val="single"/>
        </w:rPr>
        <w:t>.</w:t>
      </w:r>
      <w:r w:rsidR="00806463" w:rsidRPr="00E57096">
        <w:rPr>
          <w:rFonts w:asciiTheme="majorHAnsi" w:hAnsiTheme="majorHAnsi"/>
          <w:b/>
          <w:iCs/>
          <w:color w:val="548DD4" w:themeColor="text2" w:themeTint="99"/>
          <w:sz w:val="22"/>
          <w:szCs w:val="22"/>
          <w:u w:val="single"/>
        </w:rPr>
        <w:t>30</w:t>
      </w:r>
      <w:r w:rsidR="00AF7788" w:rsidRPr="00E57096">
        <w:rPr>
          <w:rFonts w:asciiTheme="majorHAnsi" w:hAnsiTheme="majorHAnsi"/>
          <w:b/>
          <w:iCs/>
          <w:color w:val="548DD4" w:themeColor="text2" w:themeTint="99"/>
          <w:sz w:val="22"/>
          <w:szCs w:val="22"/>
          <w:u w:val="single"/>
        </w:rPr>
        <w:t xml:space="preserve"> val.</w:t>
      </w:r>
      <w:r w:rsidR="00AF7788" w:rsidRPr="00E57096">
        <w:rPr>
          <w:rFonts w:asciiTheme="majorHAnsi" w:hAnsiTheme="majorHAnsi"/>
          <w:iCs/>
          <w:color w:val="548DD4" w:themeColor="text2" w:themeTint="99"/>
          <w:sz w:val="22"/>
          <w:szCs w:val="22"/>
          <w:u w:val="single"/>
        </w:rPr>
        <w:t xml:space="preserve"> </w:t>
      </w:r>
      <w:r w:rsidR="00AF7788" w:rsidRPr="00E57096">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A30B3">
        <w:rPr>
          <w:rFonts w:asciiTheme="majorHAnsi" w:hAnsiTheme="majorHAnsi"/>
          <w:b/>
          <w:bCs/>
          <w:sz w:val="22"/>
          <w:szCs w:val="22"/>
        </w:rPr>
        <w:t>DVIPUSIŲ ĮRANKIŲ PERDAVIMO SPINTŲ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5B5" w:rsidRDefault="00F515B5" w:rsidP="006670D4">
      <w:r>
        <w:separator/>
      </w:r>
    </w:p>
  </w:endnote>
  <w:endnote w:type="continuationSeparator" w:id="0">
    <w:p w:rsidR="00F515B5" w:rsidRDefault="00F515B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5B5" w:rsidRDefault="00F515B5" w:rsidP="006670D4">
      <w:r>
        <w:separator/>
      </w:r>
    </w:p>
  </w:footnote>
  <w:footnote w:type="continuationSeparator" w:id="0">
    <w:p w:rsidR="00F515B5" w:rsidRDefault="00F515B5"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06463"/>
    <w:rsid w:val="008120F1"/>
    <w:rsid w:val="00813EC1"/>
    <w:rsid w:val="008155F8"/>
    <w:rsid w:val="008167D6"/>
    <w:rsid w:val="00817382"/>
    <w:rsid w:val="00817A54"/>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57096"/>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15B5"/>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E2F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C61BA-2883-47B2-BEC7-86149DBC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21</Pages>
  <Words>41876</Words>
  <Characters>23870</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229</cp:revision>
  <cp:lastPrinted>2021-08-13T13:16:00Z</cp:lastPrinted>
  <dcterms:created xsi:type="dcterms:W3CDTF">2023-12-08T12:01:00Z</dcterms:created>
  <dcterms:modified xsi:type="dcterms:W3CDTF">2025-12-04T14:11:00Z</dcterms:modified>
</cp:coreProperties>
</file>