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1BA5A660"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w:t>
      </w:r>
      <w:r w:rsidR="00BB522C">
        <w:rPr>
          <w:sz w:val="24"/>
          <w:szCs w:val="24"/>
        </w:rPr>
        <w:t>2</w:t>
      </w:r>
      <w:r w:rsidR="007A2FB3" w:rsidRPr="007D728C">
        <w:rPr>
          <w:sz w:val="24"/>
          <w:szCs w:val="24"/>
        </w:rPr>
        <w:t>-</w:t>
      </w:r>
      <w:r w:rsidR="00BB522C">
        <w:rPr>
          <w:sz w:val="24"/>
          <w:szCs w:val="24"/>
        </w:rPr>
        <w:t>0</w:t>
      </w:r>
      <w:r w:rsidR="00F1613F">
        <w:rPr>
          <w:sz w:val="24"/>
          <w:szCs w:val="24"/>
        </w:rPr>
        <w:t>5</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1952E630"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BB522C">
        <w:rPr>
          <w:b/>
          <w:bCs/>
          <w:sz w:val="24"/>
          <w:szCs w:val="24"/>
        </w:rPr>
        <w:t>Ų</w:t>
      </w:r>
      <w:r w:rsidR="007A2FB3" w:rsidRPr="007D728C">
        <w:rPr>
          <w:b/>
          <w:bCs/>
          <w:sz w:val="24"/>
          <w:szCs w:val="24"/>
        </w:rPr>
        <w:t xml:space="preserve"> KLAUSIM</w:t>
      </w:r>
      <w:r w:rsidR="00BB522C">
        <w:rPr>
          <w:b/>
          <w:bCs/>
          <w:sz w:val="24"/>
          <w:szCs w:val="24"/>
        </w:rPr>
        <w:t>Ų</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DF24970"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7D728C" w:rsidRPr="007D728C">
        <w:rPr>
          <w:rFonts w:eastAsia="Times New Roman"/>
          <w:i/>
          <w:iCs/>
          <w:sz w:val="24"/>
          <w:szCs w:val="24"/>
          <w:bdr w:val="none" w:sz="0" w:space="0" w:color="auto"/>
          <w:lang w:eastAsia="lt-LT"/>
        </w:rPr>
        <w:t>Sporto paskirties pastato – žirgyno, Žuvininkų g. 30, Šiauliai, rekonstravimo darbai</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7D728C" w:rsidRPr="007D728C">
        <w:rPr>
          <w:rFonts w:eastAsia="Times New Roman"/>
          <w:sz w:val="24"/>
          <w:szCs w:val="24"/>
          <w:bdr w:val="none" w:sz="0" w:space="0" w:color="auto"/>
          <w:shd w:val="clear" w:color="auto" w:fill="FFFFFF"/>
          <w:lang w:eastAsia="lt-LT"/>
        </w:rPr>
        <w:t>5426338</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675D6159" w:rsidR="00B15C7D" w:rsidRPr="007D728C" w:rsidRDefault="003C5EFB" w:rsidP="008D4FBD">
      <w:pPr>
        <w:ind w:firstLine="709"/>
        <w:rPr>
          <w:sz w:val="24"/>
          <w:szCs w:val="24"/>
        </w:rPr>
      </w:pPr>
      <w:r w:rsidRPr="007D728C">
        <w:rPr>
          <w:sz w:val="24"/>
          <w:szCs w:val="24"/>
        </w:rPr>
        <w:t>Informuojame, kad CVP IS susirašinėjimo priemonėmis gaut</w:t>
      </w:r>
      <w:r w:rsidR="00BB522C">
        <w:rPr>
          <w:sz w:val="24"/>
          <w:szCs w:val="24"/>
        </w:rPr>
        <w:t>i</w:t>
      </w:r>
      <w:r w:rsidRPr="007D728C">
        <w:rPr>
          <w:sz w:val="24"/>
          <w:szCs w:val="24"/>
        </w:rPr>
        <w:t xml:space="preserve"> tiekėj</w:t>
      </w:r>
      <w:r w:rsidR="002A6EBF">
        <w:rPr>
          <w:sz w:val="24"/>
          <w:szCs w:val="24"/>
        </w:rPr>
        <w:t>ų</w:t>
      </w:r>
      <w:r w:rsidRPr="007D728C">
        <w:rPr>
          <w:sz w:val="24"/>
          <w:szCs w:val="24"/>
        </w:rPr>
        <w:t xml:space="preserve"> klausima</w:t>
      </w:r>
      <w:r w:rsidR="00BB522C">
        <w:rPr>
          <w:sz w:val="24"/>
          <w:szCs w:val="24"/>
        </w:rPr>
        <w:t>i</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BB522C">
        <w:rPr>
          <w:sz w:val="24"/>
          <w:szCs w:val="24"/>
        </w:rPr>
        <w:t>us</w:t>
      </w:r>
      <w:r w:rsidRPr="007D728C">
        <w:rPr>
          <w:sz w:val="24"/>
          <w:szCs w:val="24"/>
        </w:rPr>
        <w:t xml:space="preserve"> klausim</w:t>
      </w:r>
      <w:r w:rsidR="00BB522C">
        <w:rPr>
          <w:sz w:val="24"/>
          <w:szCs w:val="24"/>
        </w:rPr>
        <w:t>us</w:t>
      </w:r>
      <w:r w:rsidRPr="007D728C">
        <w:rPr>
          <w:sz w:val="24"/>
          <w:szCs w:val="24"/>
        </w:rPr>
        <w:t>:</w:t>
      </w:r>
    </w:p>
    <w:p w14:paraId="6C1083A7" w14:textId="77777777" w:rsidR="00695830" w:rsidRDefault="00695830" w:rsidP="008D4FBD">
      <w:pPr>
        <w:ind w:firstLine="709"/>
        <w:rPr>
          <w:sz w:val="24"/>
          <w:szCs w:val="24"/>
        </w:rPr>
      </w:pPr>
    </w:p>
    <w:p w14:paraId="6DD463D1" w14:textId="62388FFD" w:rsidR="005A0C0A" w:rsidRPr="008F40C4" w:rsidRDefault="005A0C0A" w:rsidP="005A0C0A">
      <w:pPr>
        <w:pStyle w:val="prastasiniatinklio"/>
        <w:shd w:val="clear" w:color="auto" w:fill="FFFFFF"/>
        <w:spacing w:before="0" w:beforeAutospacing="0" w:after="0" w:afterAutospacing="0"/>
        <w:ind w:firstLine="709"/>
        <w:jc w:val="both"/>
      </w:pPr>
      <w:r w:rsidRPr="005A0C0A">
        <w:rPr>
          <w:b/>
          <w:bCs/>
        </w:rPr>
        <w:t xml:space="preserve">1. </w:t>
      </w:r>
      <w:bookmarkStart w:id="0" w:name="_Hlk215750452"/>
      <w:r w:rsidRPr="008F40C4">
        <w:rPr>
          <w:b/>
          <w:bCs/>
        </w:rPr>
        <w:t>Klausimas.</w:t>
      </w:r>
      <w:r w:rsidRPr="008F40C4">
        <w:t xml:space="preserve"> </w:t>
      </w:r>
      <w:r w:rsidR="002A6EBF" w:rsidRPr="008F40C4">
        <w:t>2025 m. lapkričio 24 d. pateikėte atsakymą kuriame nurodėte, kad į pastatų statybos veiklą nebus įskaičiuojami specialieji statybos darbai. Atsižvelgiant į Jūsų pateiktą atsakymą, bei į tai, kad specialieji darbai yra neatsiejama statinio statybos dalis, prašome patikslinti, ar specialieji statybos darbai bus perkami atskiru pirkimu, kadangi į Jūsų nurodytą EVRK jie nėra įtraukti?</w:t>
      </w:r>
    </w:p>
    <w:p w14:paraId="3F3EDDED" w14:textId="77777777" w:rsidR="005A0C0A" w:rsidRPr="008F40C4" w:rsidRDefault="005A0C0A" w:rsidP="005A0C0A">
      <w:pPr>
        <w:pStyle w:val="prastasiniatinklio"/>
        <w:shd w:val="clear" w:color="auto" w:fill="FFFFFF"/>
        <w:spacing w:before="0" w:beforeAutospacing="0" w:after="0" w:afterAutospacing="0"/>
        <w:ind w:firstLine="709"/>
        <w:jc w:val="both"/>
      </w:pPr>
    </w:p>
    <w:p w14:paraId="57DCC0D0" w14:textId="7B087028" w:rsidR="00404693" w:rsidRPr="008F40C4" w:rsidRDefault="005A0C0A" w:rsidP="002A6EBF">
      <w:pPr>
        <w:pStyle w:val="prastasiniatinklio"/>
        <w:shd w:val="clear" w:color="auto" w:fill="FFFFFF"/>
        <w:spacing w:before="0" w:beforeAutospacing="0" w:after="0" w:afterAutospacing="0"/>
        <w:ind w:firstLine="709"/>
        <w:jc w:val="both"/>
        <w:rPr>
          <w:b/>
          <w:bCs/>
        </w:rPr>
      </w:pPr>
      <w:r w:rsidRPr="008F40C4">
        <w:rPr>
          <w:b/>
          <w:bCs/>
        </w:rPr>
        <w:t xml:space="preserve">Atsakymas. </w:t>
      </w:r>
      <w:bookmarkStart w:id="1" w:name="_Hlk215583437"/>
      <w:r w:rsidR="002A6EBF" w:rsidRPr="008F40C4">
        <w:t>Specialieji statybos darbai nebus perkami atskiru pirkimu.</w:t>
      </w:r>
    </w:p>
    <w:bookmarkEnd w:id="0"/>
    <w:p w14:paraId="554590E3" w14:textId="77777777" w:rsidR="002A6EBF" w:rsidRPr="008F40C4" w:rsidRDefault="002A6EBF" w:rsidP="002A6EBF">
      <w:pPr>
        <w:pStyle w:val="prastasiniatinklio"/>
        <w:shd w:val="clear" w:color="auto" w:fill="FFFFFF"/>
        <w:spacing w:before="0" w:beforeAutospacing="0" w:after="0" w:afterAutospacing="0"/>
        <w:ind w:firstLine="709"/>
        <w:jc w:val="both"/>
        <w:rPr>
          <w:b/>
          <w:bCs/>
        </w:rPr>
      </w:pPr>
    </w:p>
    <w:p w14:paraId="25B8AB10" w14:textId="2C918C38" w:rsidR="002A6EBF" w:rsidRPr="008F40C4" w:rsidRDefault="002A6EBF" w:rsidP="002A6EBF">
      <w:pPr>
        <w:pStyle w:val="prastasiniatinklio"/>
        <w:shd w:val="clear" w:color="auto" w:fill="FFFFFF"/>
        <w:spacing w:before="0" w:beforeAutospacing="0" w:after="0" w:afterAutospacing="0"/>
        <w:ind w:firstLine="709"/>
        <w:jc w:val="both"/>
      </w:pPr>
      <w:bookmarkStart w:id="2" w:name="_Hlk215749126"/>
      <w:r w:rsidRPr="008F40C4">
        <w:rPr>
          <w:b/>
          <w:bCs/>
        </w:rPr>
        <w:t xml:space="preserve">2. Klausimas. </w:t>
      </w:r>
      <w:r w:rsidRPr="008F40C4">
        <w:t>Ar Pirkimo sąlygų 7 priedo 2 punkto 4, 5 pozicijose reikalaujama, kad specialistas būtų užbaigęs statinio statybą ir būtų išduotas Statinio užbaigimo aktas, nes Specialistų sąraše yra grafa "Dokumentai, patvirtinantys projekto užbaigimą"?</w:t>
      </w:r>
    </w:p>
    <w:p w14:paraId="28E84919" w14:textId="77777777" w:rsidR="002A6EBF" w:rsidRPr="008F40C4" w:rsidRDefault="002A6EBF" w:rsidP="002A6EBF">
      <w:pPr>
        <w:pStyle w:val="prastasiniatinklio"/>
        <w:shd w:val="clear" w:color="auto" w:fill="FFFFFF"/>
        <w:spacing w:before="0" w:beforeAutospacing="0" w:after="0" w:afterAutospacing="0"/>
        <w:ind w:firstLine="709"/>
        <w:jc w:val="both"/>
      </w:pPr>
    </w:p>
    <w:p w14:paraId="5050E8BD" w14:textId="44CF3373" w:rsidR="002A6EBF" w:rsidRPr="008F40C4" w:rsidRDefault="002A6EBF" w:rsidP="002A6EBF">
      <w:pPr>
        <w:pStyle w:val="prastasiniatinklio"/>
        <w:shd w:val="clear" w:color="auto" w:fill="FFFFFF"/>
        <w:spacing w:before="0" w:beforeAutospacing="0" w:after="0" w:afterAutospacing="0"/>
        <w:ind w:firstLine="709"/>
        <w:jc w:val="both"/>
        <w:rPr>
          <w:b/>
          <w:bCs/>
        </w:rPr>
      </w:pPr>
      <w:r w:rsidRPr="008F40C4">
        <w:rPr>
          <w:b/>
          <w:bCs/>
        </w:rPr>
        <w:t xml:space="preserve">Atsakymas. </w:t>
      </w:r>
      <w:r w:rsidR="00043927" w:rsidRPr="008F40C4">
        <w:t>Pirkimo sąlygų 7 priedo „Kvalifikacijos ir kiti reikalavimai tiekėjui“ 1 lentelės 2 p. 4 ir 5 pozicijose nurodytiems specialistams yra keliamas reikalavimas dėl vadovavimo patirties, kur objektas turi būti užbaigtas ir turėti statybos užbaigimo aktą.</w:t>
      </w:r>
    </w:p>
    <w:bookmarkEnd w:id="2"/>
    <w:p w14:paraId="64FCE063" w14:textId="77777777" w:rsidR="002A6EBF" w:rsidRPr="008F40C4" w:rsidRDefault="002A6EBF" w:rsidP="002A6EBF">
      <w:pPr>
        <w:pStyle w:val="prastasiniatinklio"/>
        <w:shd w:val="clear" w:color="auto" w:fill="FFFFFF"/>
        <w:spacing w:before="0" w:beforeAutospacing="0" w:after="0" w:afterAutospacing="0"/>
        <w:ind w:firstLine="709"/>
        <w:jc w:val="both"/>
      </w:pPr>
    </w:p>
    <w:p w14:paraId="643EC80C" w14:textId="33CBB86A" w:rsidR="00E64B1D" w:rsidRPr="008F40C4" w:rsidRDefault="00E64B1D" w:rsidP="002A6EBF">
      <w:pPr>
        <w:pStyle w:val="prastasiniatinklio"/>
        <w:shd w:val="clear" w:color="auto" w:fill="FFFFFF"/>
        <w:spacing w:before="0" w:beforeAutospacing="0" w:after="0" w:afterAutospacing="0"/>
        <w:ind w:firstLine="709"/>
        <w:jc w:val="both"/>
      </w:pPr>
      <w:r w:rsidRPr="008F40C4">
        <w:rPr>
          <w:b/>
          <w:bCs/>
        </w:rPr>
        <w:t xml:space="preserve">3. </w:t>
      </w:r>
      <w:bookmarkStart w:id="3" w:name="_Hlk215750511"/>
      <w:r w:rsidRPr="008F40C4">
        <w:rPr>
          <w:b/>
          <w:bCs/>
        </w:rPr>
        <w:t>Klausimas.</w:t>
      </w:r>
      <w:r w:rsidRPr="008F40C4">
        <w:t xml:space="preserve"> Ar Rangovas turi įsivertinti 0,4 kV oro linijos L104 ir apšvietimo tinklų demontavimo bei utilizavimo darbus?</w:t>
      </w:r>
    </w:p>
    <w:p w14:paraId="0F978A87" w14:textId="77777777" w:rsidR="00E64B1D" w:rsidRPr="008F40C4" w:rsidRDefault="00E64B1D" w:rsidP="002A6EBF">
      <w:pPr>
        <w:pStyle w:val="prastasiniatinklio"/>
        <w:shd w:val="clear" w:color="auto" w:fill="FFFFFF"/>
        <w:spacing w:before="0" w:beforeAutospacing="0" w:after="0" w:afterAutospacing="0"/>
        <w:ind w:firstLine="709"/>
        <w:jc w:val="both"/>
      </w:pPr>
    </w:p>
    <w:p w14:paraId="2AB6D3CD" w14:textId="78FF937D" w:rsidR="00E64B1D" w:rsidRPr="008F40C4" w:rsidRDefault="00E64B1D" w:rsidP="002A6EBF">
      <w:pPr>
        <w:pStyle w:val="prastasiniatinklio"/>
        <w:shd w:val="clear" w:color="auto" w:fill="FFFFFF"/>
        <w:spacing w:before="0" w:beforeAutospacing="0" w:after="0" w:afterAutospacing="0"/>
        <w:ind w:firstLine="709"/>
        <w:jc w:val="both"/>
      </w:pPr>
      <w:r w:rsidRPr="008F40C4">
        <w:rPr>
          <w:b/>
          <w:bCs/>
        </w:rPr>
        <w:t>Atsakymas.</w:t>
      </w:r>
      <w:r w:rsidRPr="008F40C4">
        <w:t xml:space="preserve"> Apšvietimo linijos L104 ir elektros oro linijos demontavimo ir utilizavimo darbus reikia įsivertinti.</w:t>
      </w:r>
    </w:p>
    <w:bookmarkEnd w:id="3"/>
    <w:p w14:paraId="1430AF53" w14:textId="77777777" w:rsidR="00E64B1D" w:rsidRPr="008F40C4" w:rsidRDefault="00E64B1D" w:rsidP="002A6EBF">
      <w:pPr>
        <w:pStyle w:val="prastasiniatinklio"/>
        <w:shd w:val="clear" w:color="auto" w:fill="FFFFFF"/>
        <w:spacing w:before="0" w:beforeAutospacing="0" w:after="0" w:afterAutospacing="0"/>
        <w:ind w:firstLine="709"/>
        <w:jc w:val="both"/>
      </w:pPr>
    </w:p>
    <w:p w14:paraId="0A3D6EB6" w14:textId="0E2CEDE8" w:rsidR="00E64B1D" w:rsidRPr="008F40C4" w:rsidRDefault="00E64B1D" w:rsidP="002A6EBF">
      <w:pPr>
        <w:pStyle w:val="prastasiniatinklio"/>
        <w:shd w:val="clear" w:color="auto" w:fill="FFFFFF"/>
        <w:spacing w:before="0" w:beforeAutospacing="0" w:after="0" w:afterAutospacing="0"/>
        <w:ind w:firstLine="709"/>
        <w:jc w:val="both"/>
      </w:pPr>
      <w:r w:rsidRPr="008F40C4">
        <w:rPr>
          <w:b/>
          <w:bCs/>
        </w:rPr>
        <w:t xml:space="preserve">4. </w:t>
      </w:r>
      <w:bookmarkStart w:id="4" w:name="_Hlk215750592"/>
      <w:r w:rsidRPr="008F40C4">
        <w:rPr>
          <w:b/>
          <w:bCs/>
        </w:rPr>
        <w:t>Klausimas.</w:t>
      </w:r>
      <w:r w:rsidRPr="008F40C4">
        <w:t xml:space="preserve"> </w:t>
      </w:r>
      <w:bookmarkStart w:id="5" w:name="_Hlk215750728"/>
      <w:r w:rsidR="008F40C4" w:rsidRPr="008F40C4">
        <w:t>Prašome šiam pirkimui pateikti ekspertuotos skaičiuojamosios kainos nustatymo dalies darbų kiekių žiniaraštį kaip techninės specifikacijos dalį. Tai yra esminė informacija, kurios reikia tiekėjams, kad galėtų parengti išsamų ir pagrįstą pasiūlymą (nustatyti reikalingų darbų apimtį ir apskaičiuoti kainą). Darbų kiekių žiniaraštis, ypač tas, kuris buvo naudotas skaičiuojamajai kainai nustatyti, yra pagrindinė priemonė, leidžianti detaliai apibrėžti perkamų darbų apimtį. jo pateikimas užtikrina skaidrumą ir vienodas sąlygas visiems tiekėjams. Viešųjų pirkimų tarnyba (VPT) rekomenduoja užsakovams, rengiant darbų pirkimą, atsižvelgti į turimą projektą ir jį kruopščiai įsivertinti. Pateikti darbų kiekių žiniaraštį yra įprastas ir rekomenduojamas elementas, ypač didelės apimties statybos darbų pirkimuose.</w:t>
      </w:r>
    </w:p>
    <w:bookmarkEnd w:id="5"/>
    <w:p w14:paraId="5BD283D8" w14:textId="77777777" w:rsidR="00E64B1D" w:rsidRPr="008F40C4" w:rsidRDefault="00E64B1D" w:rsidP="002A6EBF">
      <w:pPr>
        <w:pStyle w:val="prastasiniatinklio"/>
        <w:shd w:val="clear" w:color="auto" w:fill="FFFFFF"/>
        <w:spacing w:before="0" w:beforeAutospacing="0" w:after="0" w:afterAutospacing="0"/>
        <w:ind w:firstLine="709"/>
        <w:jc w:val="both"/>
      </w:pPr>
    </w:p>
    <w:p w14:paraId="4CA9FFF1" w14:textId="7369D929" w:rsidR="00E64B1D" w:rsidRPr="008F40C4" w:rsidRDefault="00E64B1D" w:rsidP="002A6EBF">
      <w:pPr>
        <w:pStyle w:val="prastasiniatinklio"/>
        <w:shd w:val="clear" w:color="auto" w:fill="FFFFFF"/>
        <w:spacing w:before="0" w:beforeAutospacing="0" w:after="0" w:afterAutospacing="0"/>
        <w:ind w:firstLine="709"/>
        <w:jc w:val="both"/>
      </w:pPr>
      <w:r w:rsidRPr="008F40C4">
        <w:rPr>
          <w:b/>
          <w:bCs/>
        </w:rPr>
        <w:t>Atsakymas.</w:t>
      </w:r>
      <w:r w:rsidRPr="008F40C4">
        <w:t xml:space="preserve"> Vadovaujantis statybos techninio reglamentu STR1.04.04:2017 „Statinio projektavimas, projekto ekspertizė“ statinio statybos skaičiuojamoji kainos dalis pateikiama tik statytojui ir ji yra komercinė paslaptis. Papildomai informuojame, kad visi darbų kiekiai surašyti projekto dalių sąnaudų kiekių žiniaraščiuose.</w:t>
      </w:r>
    </w:p>
    <w:bookmarkEnd w:id="4"/>
    <w:p w14:paraId="010CDAD9" w14:textId="77777777" w:rsidR="00E64B1D" w:rsidRPr="008F40C4" w:rsidRDefault="00E64B1D" w:rsidP="002A6EBF">
      <w:pPr>
        <w:pStyle w:val="prastasiniatinklio"/>
        <w:shd w:val="clear" w:color="auto" w:fill="FFFFFF"/>
        <w:spacing w:before="0" w:beforeAutospacing="0" w:after="0" w:afterAutospacing="0"/>
        <w:ind w:firstLine="709"/>
        <w:jc w:val="both"/>
      </w:pPr>
    </w:p>
    <w:p w14:paraId="28A56170" w14:textId="713370E1" w:rsidR="00E64B1D" w:rsidRPr="008F40C4" w:rsidRDefault="00E64B1D" w:rsidP="002A6EBF">
      <w:pPr>
        <w:pStyle w:val="prastasiniatinklio"/>
        <w:shd w:val="clear" w:color="auto" w:fill="FFFFFF"/>
        <w:spacing w:before="0" w:beforeAutospacing="0" w:after="0" w:afterAutospacing="0"/>
        <w:ind w:firstLine="709"/>
        <w:jc w:val="both"/>
      </w:pPr>
      <w:bookmarkStart w:id="6" w:name="_Hlk215749538"/>
      <w:r w:rsidRPr="008F40C4">
        <w:rPr>
          <w:b/>
          <w:bCs/>
        </w:rPr>
        <w:t>5. Klausimas.</w:t>
      </w:r>
      <w:r w:rsidRPr="008F40C4">
        <w:t xml:space="preserve"> Ar ūkio subjektai, kurių pajėgumais remsimės pirkime, privalo pildyti EBVPD?</w:t>
      </w:r>
    </w:p>
    <w:p w14:paraId="5032706C" w14:textId="77777777" w:rsidR="00E64B1D" w:rsidRPr="008F40C4" w:rsidRDefault="00E64B1D" w:rsidP="002A6EBF">
      <w:pPr>
        <w:pStyle w:val="prastasiniatinklio"/>
        <w:shd w:val="clear" w:color="auto" w:fill="FFFFFF"/>
        <w:spacing w:before="0" w:beforeAutospacing="0" w:after="0" w:afterAutospacing="0"/>
        <w:ind w:firstLine="709"/>
        <w:jc w:val="both"/>
      </w:pPr>
    </w:p>
    <w:p w14:paraId="0BC276F8" w14:textId="2500FB6B" w:rsidR="00E64B1D" w:rsidRPr="00E64B1D" w:rsidRDefault="00E64B1D" w:rsidP="002A6EBF">
      <w:pPr>
        <w:pStyle w:val="prastasiniatinklio"/>
        <w:shd w:val="clear" w:color="auto" w:fill="FFFFFF"/>
        <w:spacing w:before="0" w:beforeAutospacing="0" w:after="0" w:afterAutospacing="0"/>
        <w:ind w:firstLine="709"/>
        <w:jc w:val="both"/>
        <w:rPr>
          <w:i/>
          <w:iCs/>
        </w:rPr>
      </w:pPr>
      <w:r w:rsidRPr="008F40C4">
        <w:rPr>
          <w:b/>
          <w:bCs/>
        </w:rPr>
        <w:lastRenderedPageBreak/>
        <w:t>Atsakymas.</w:t>
      </w:r>
      <w:r w:rsidRPr="008F40C4">
        <w:t xml:space="preserve"> Pirkimo sąlygų 3.1. p. nurodyta, kad „&lt;..&gt; </w:t>
      </w:r>
      <w:r w:rsidRPr="008F40C4">
        <w:rPr>
          <w:i/>
          <w:iCs/>
          <w:color w:val="000000"/>
        </w:rPr>
        <w:t xml:space="preserve">Tiekėjas ir ūkio subjektai, kurių pajėgumais remiasi tiekėjas pagrįsdamas atitikimą pirkimo sąlygose nurodytiems kvalifikaciniams reikalavimams, kartu su pasiūlymu turi pateikti užpildytą pirkimo sąlygų </w:t>
      </w:r>
      <w:r w:rsidRPr="008F40C4">
        <w:rPr>
          <w:i/>
          <w:iCs/>
          <w:color w:val="4472C4" w:themeColor="accent1"/>
          <w:u w:val="single"/>
        </w:rPr>
        <w:t>5 priedą „Europos bendrasis viešųjų pirkimų dokumentas (EBVPD)“</w:t>
      </w:r>
      <w:r w:rsidRPr="008F40C4">
        <w:rPr>
          <w:i/>
          <w:iCs/>
          <w:color w:val="000000"/>
        </w:rPr>
        <w:t xml:space="preserve"> pagal VPĮ 50 straipsnyje nustatytus reikalavimus.&lt;..&gt;“.</w:t>
      </w:r>
    </w:p>
    <w:bookmarkEnd w:id="6"/>
    <w:p w14:paraId="5E96C9BA" w14:textId="77777777" w:rsidR="00E64B1D" w:rsidRDefault="00E64B1D" w:rsidP="002A6EBF">
      <w:pPr>
        <w:pStyle w:val="prastasiniatinklio"/>
        <w:shd w:val="clear" w:color="auto" w:fill="FFFFFF"/>
        <w:spacing w:before="0" w:beforeAutospacing="0" w:after="0" w:afterAutospacing="0"/>
        <w:ind w:firstLine="709"/>
        <w:jc w:val="both"/>
      </w:pPr>
    </w:p>
    <w:bookmarkEnd w:id="1"/>
    <w:p w14:paraId="055ACFF3" w14:textId="77777777" w:rsidR="00404693" w:rsidRPr="007D728C" w:rsidRDefault="00404693" w:rsidP="00BA286D">
      <w:pPr>
        <w:pStyle w:val="prastasiniatinklio"/>
        <w:shd w:val="clear" w:color="auto" w:fill="FFFFFF"/>
        <w:spacing w:before="0" w:beforeAutospacing="0" w:after="0" w:afterAutospacing="0"/>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014F31EE" w14:textId="354F81D3" w:rsidR="00105ED4" w:rsidRPr="007D728C" w:rsidRDefault="003C5EFB" w:rsidP="00D138FC">
      <w:pPr>
        <w:ind w:firstLine="709"/>
        <w:rPr>
          <w:sz w:val="24"/>
          <w:szCs w:val="24"/>
        </w:rPr>
      </w:pPr>
      <w:r w:rsidRPr="007D728C">
        <w:rPr>
          <w:sz w:val="24"/>
          <w:szCs w:val="24"/>
        </w:rPr>
        <w:t>Atkreipiame dėmesį, kad rengiant ir teikiant pasiūlymus prašome vadovautis pateikiamais pirkimo dokumentų paaiškinimais</w:t>
      </w:r>
      <w:r w:rsidR="005A6E06" w:rsidRPr="007D728C">
        <w:rPr>
          <w:sz w:val="24"/>
          <w:szCs w:val="24"/>
        </w:rPr>
        <w:t>.</w:t>
      </w: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4392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77A83"/>
    <w:rsid w:val="0018230A"/>
    <w:rsid w:val="001928FF"/>
    <w:rsid w:val="001965C8"/>
    <w:rsid w:val="0019714D"/>
    <w:rsid w:val="001A028E"/>
    <w:rsid w:val="001B18A8"/>
    <w:rsid w:val="001B42F2"/>
    <w:rsid w:val="001D015F"/>
    <w:rsid w:val="001D07B4"/>
    <w:rsid w:val="001D4471"/>
    <w:rsid w:val="001D47E5"/>
    <w:rsid w:val="001E00D3"/>
    <w:rsid w:val="001E4F7C"/>
    <w:rsid w:val="00214498"/>
    <w:rsid w:val="00220A3C"/>
    <w:rsid w:val="002255EB"/>
    <w:rsid w:val="00235F6C"/>
    <w:rsid w:val="002406EF"/>
    <w:rsid w:val="00241AC8"/>
    <w:rsid w:val="0024680C"/>
    <w:rsid w:val="00254779"/>
    <w:rsid w:val="002573A0"/>
    <w:rsid w:val="00262759"/>
    <w:rsid w:val="00262B9E"/>
    <w:rsid w:val="0027214F"/>
    <w:rsid w:val="0027468D"/>
    <w:rsid w:val="002773C1"/>
    <w:rsid w:val="0028291B"/>
    <w:rsid w:val="00282A40"/>
    <w:rsid w:val="002845E3"/>
    <w:rsid w:val="00287FCE"/>
    <w:rsid w:val="00292950"/>
    <w:rsid w:val="002A6EBF"/>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47006"/>
    <w:rsid w:val="003649F0"/>
    <w:rsid w:val="00365379"/>
    <w:rsid w:val="0036706F"/>
    <w:rsid w:val="00374A68"/>
    <w:rsid w:val="00390110"/>
    <w:rsid w:val="00395140"/>
    <w:rsid w:val="003A5702"/>
    <w:rsid w:val="003B72A3"/>
    <w:rsid w:val="003C47E1"/>
    <w:rsid w:val="003C5EFB"/>
    <w:rsid w:val="003D1DB4"/>
    <w:rsid w:val="003D4458"/>
    <w:rsid w:val="003E0323"/>
    <w:rsid w:val="003E4E28"/>
    <w:rsid w:val="003F208F"/>
    <w:rsid w:val="003F2F67"/>
    <w:rsid w:val="00403435"/>
    <w:rsid w:val="00404693"/>
    <w:rsid w:val="004073D0"/>
    <w:rsid w:val="00415632"/>
    <w:rsid w:val="00420A4B"/>
    <w:rsid w:val="004214F3"/>
    <w:rsid w:val="00422A19"/>
    <w:rsid w:val="00422CBF"/>
    <w:rsid w:val="004376F2"/>
    <w:rsid w:val="00443D7E"/>
    <w:rsid w:val="00443F46"/>
    <w:rsid w:val="00444BDF"/>
    <w:rsid w:val="0045692A"/>
    <w:rsid w:val="00460DC4"/>
    <w:rsid w:val="00461810"/>
    <w:rsid w:val="00462993"/>
    <w:rsid w:val="004676B8"/>
    <w:rsid w:val="004720CD"/>
    <w:rsid w:val="00485C40"/>
    <w:rsid w:val="00485F53"/>
    <w:rsid w:val="004D01F0"/>
    <w:rsid w:val="004D1488"/>
    <w:rsid w:val="004D74EE"/>
    <w:rsid w:val="004F5F36"/>
    <w:rsid w:val="004F7951"/>
    <w:rsid w:val="00500173"/>
    <w:rsid w:val="00507265"/>
    <w:rsid w:val="00525013"/>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74EC"/>
    <w:rsid w:val="00591041"/>
    <w:rsid w:val="005943B6"/>
    <w:rsid w:val="00595F26"/>
    <w:rsid w:val="005A0C0A"/>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3E6C"/>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8F40C4"/>
    <w:rsid w:val="00907A7E"/>
    <w:rsid w:val="00924FB9"/>
    <w:rsid w:val="00933043"/>
    <w:rsid w:val="0094168F"/>
    <w:rsid w:val="00946AA0"/>
    <w:rsid w:val="00971DAD"/>
    <w:rsid w:val="009730FC"/>
    <w:rsid w:val="0098050E"/>
    <w:rsid w:val="00982A2A"/>
    <w:rsid w:val="00983373"/>
    <w:rsid w:val="00997C7B"/>
    <w:rsid w:val="009A72CE"/>
    <w:rsid w:val="009B6EFB"/>
    <w:rsid w:val="009C2F33"/>
    <w:rsid w:val="009C499E"/>
    <w:rsid w:val="009D1F92"/>
    <w:rsid w:val="009D7D0A"/>
    <w:rsid w:val="009F1B1A"/>
    <w:rsid w:val="009F1E19"/>
    <w:rsid w:val="009F6939"/>
    <w:rsid w:val="009F7574"/>
    <w:rsid w:val="009F776D"/>
    <w:rsid w:val="00A0613B"/>
    <w:rsid w:val="00A069FC"/>
    <w:rsid w:val="00A12BEE"/>
    <w:rsid w:val="00A15D86"/>
    <w:rsid w:val="00A6236A"/>
    <w:rsid w:val="00A62BED"/>
    <w:rsid w:val="00A727B1"/>
    <w:rsid w:val="00AA090F"/>
    <w:rsid w:val="00AA0981"/>
    <w:rsid w:val="00AA2327"/>
    <w:rsid w:val="00AA2D9F"/>
    <w:rsid w:val="00AB1FAE"/>
    <w:rsid w:val="00AC6F15"/>
    <w:rsid w:val="00AD2181"/>
    <w:rsid w:val="00B03F95"/>
    <w:rsid w:val="00B11E75"/>
    <w:rsid w:val="00B15365"/>
    <w:rsid w:val="00B15C7D"/>
    <w:rsid w:val="00B2233A"/>
    <w:rsid w:val="00B26477"/>
    <w:rsid w:val="00B4534A"/>
    <w:rsid w:val="00B54B02"/>
    <w:rsid w:val="00B62A7B"/>
    <w:rsid w:val="00B772FC"/>
    <w:rsid w:val="00B85322"/>
    <w:rsid w:val="00B90A9C"/>
    <w:rsid w:val="00B96D6E"/>
    <w:rsid w:val="00BA251D"/>
    <w:rsid w:val="00BA286D"/>
    <w:rsid w:val="00BB2496"/>
    <w:rsid w:val="00BB522C"/>
    <w:rsid w:val="00BC540F"/>
    <w:rsid w:val="00BC56B5"/>
    <w:rsid w:val="00BF37EA"/>
    <w:rsid w:val="00BF721F"/>
    <w:rsid w:val="00C03F37"/>
    <w:rsid w:val="00C069C9"/>
    <w:rsid w:val="00C21C60"/>
    <w:rsid w:val="00C23176"/>
    <w:rsid w:val="00C26531"/>
    <w:rsid w:val="00C55B69"/>
    <w:rsid w:val="00C61097"/>
    <w:rsid w:val="00C64C1A"/>
    <w:rsid w:val="00C65650"/>
    <w:rsid w:val="00C65B07"/>
    <w:rsid w:val="00C70200"/>
    <w:rsid w:val="00C72BF2"/>
    <w:rsid w:val="00C85897"/>
    <w:rsid w:val="00C87C61"/>
    <w:rsid w:val="00C95C42"/>
    <w:rsid w:val="00CA4F10"/>
    <w:rsid w:val="00CA5DD5"/>
    <w:rsid w:val="00CB3032"/>
    <w:rsid w:val="00CE0933"/>
    <w:rsid w:val="00CE5F11"/>
    <w:rsid w:val="00D06BA2"/>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DF16C7"/>
    <w:rsid w:val="00E02469"/>
    <w:rsid w:val="00E10DCC"/>
    <w:rsid w:val="00E13E83"/>
    <w:rsid w:val="00E17150"/>
    <w:rsid w:val="00E2257E"/>
    <w:rsid w:val="00E27C1A"/>
    <w:rsid w:val="00E40F88"/>
    <w:rsid w:val="00E6354A"/>
    <w:rsid w:val="00E64B1D"/>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13F"/>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2208</Words>
  <Characters>1260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2025-12-04T05:56:00Z</dcterms:created>
  <dcterms:modified xsi:type="dcterms:W3CDTF">2025-12-04T14:04:00Z</dcterms:modified>
</cp:coreProperties>
</file>