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3D5CF6F1" w:rsidR="00B40422" w:rsidRPr="00B422F6" w:rsidRDefault="00EE17E2" w:rsidP="0024182A">
            <w:pPr>
              <w:jc w:val="center"/>
              <w:rPr>
                <w:b/>
                <w:kern w:val="2"/>
                <w:szCs w:val="24"/>
              </w:rPr>
            </w:pPr>
            <w:r w:rsidRPr="00B422F6">
              <w:rPr>
                <w:b/>
                <w:kern w:val="2"/>
                <w:szCs w:val="24"/>
              </w:rPr>
              <w:t>„</w:t>
            </w:r>
            <w:r w:rsidR="006E1859" w:rsidRPr="006E1859">
              <w:rPr>
                <w:b/>
                <w:kern w:val="2"/>
                <w:szCs w:val="24"/>
              </w:rPr>
              <w:t>SIUVIMO APARATAI IR PRIEMONĖS KOLOPROKTOLOGIJAI (NR. 9852-5)</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166289B3" w14:textId="7E008AD9" w:rsidR="007D6FD5" w:rsidRPr="0040338C" w:rsidRDefault="007D6FD5" w:rsidP="007D6FD5">
            <w:pPr>
              <w:pStyle w:val="Body2"/>
              <w:rPr>
                <w:color w:val="auto"/>
                <w:sz w:val="24"/>
                <w:szCs w:val="24"/>
                <w:lang w:val="lt-LT"/>
              </w:rPr>
            </w:pPr>
            <w:r w:rsidRPr="006C0A46">
              <w:rPr>
                <w:color w:val="auto"/>
                <w:sz w:val="24"/>
                <w:szCs w:val="24"/>
                <w:lang w:val="lt-LT"/>
              </w:rPr>
              <w:t xml:space="preserve">3.1.1. </w:t>
            </w:r>
            <w:r w:rsidRPr="00B31184">
              <w:rPr>
                <w:color w:val="auto"/>
                <w:sz w:val="24"/>
                <w:szCs w:val="24"/>
                <w:lang w:val="lt-LT"/>
              </w:rPr>
              <w:t>Tiekėjas įsipareigoja Sutartyje numatytomis sąlygomis perduoti Pirkėjui prekes</w:t>
            </w:r>
            <w:r w:rsidR="00DC0E1A">
              <w:rPr>
                <w:color w:val="auto"/>
                <w:sz w:val="24"/>
                <w:szCs w:val="24"/>
                <w:lang w:val="lt-LT"/>
              </w:rPr>
              <w:t xml:space="preserve"> </w:t>
            </w:r>
            <w:r w:rsidR="00643518">
              <w:rPr>
                <w:color w:val="auto"/>
                <w:sz w:val="24"/>
                <w:szCs w:val="24"/>
                <w:lang w:val="lt-LT"/>
              </w:rPr>
              <w:t>–</w:t>
            </w:r>
            <w:r w:rsidR="00DC0E1A">
              <w:rPr>
                <w:color w:val="auto"/>
                <w:sz w:val="24"/>
                <w:szCs w:val="24"/>
                <w:lang w:val="lt-LT"/>
              </w:rPr>
              <w:t xml:space="preserve"> </w:t>
            </w:r>
            <w:r w:rsidR="00643518">
              <w:rPr>
                <w:rFonts w:cs="Times New Roman"/>
                <w:b/>
                <w:bCs/>
                <w:i/>
                <w:iCs/>
                <w:color w:val="auto"/>
                <w:sz w:val="24"/>
                <w:szCs w:val="24"/>
                <w:lang w:val="lt-LT"/>
              </w:rPr>
              <w:t>lapar</w:t>
            </w:r>
            <w:r w:rsidR="00E10FD9">
              <w:rPr>
                <w:rFonts w:cs="Times New Roman"/>
                <w:b/>
                <w:bCs/>
                <w:i/>
                <w:iCs/>
                <w:color w:val="auto"/>
                <w:sz w:val="24"/>
                <w:szCs w:val="24"/>
                <w:lang w:val="lt-LT"/>
              </w:rPr>
              <w:t>o</w:t>
            </w:r>
            <w:r w:rsidR="00643518">
              <w:rPr>
                <w:rFonts w:cs="Times New Roman"/>
                <w:b/>
                <w:bCs/>
                <w:i/>
                <w:iCs/>
                <w:color w:val="auto"/>
                <w:sz w:val="24"/>
                <w:szCs w:val="24"/>
                <w:lang w:val="lt-LT"/>
              </w:rPr>
              <w:t>skopinius diskus</w:t>
            </w:r>
            <w:r w:rsidR="00C57316" w:rsidRPr="00C57316">
              <w:rPr>
                <w:rFonts w:cs="Times New Roman"/>
                <w:b/>
                <w:bCs/>
                <w:i/>
                <w:iCs/>
                <w:color w:val="auto"/>
                <w:sz w:val="24"/>
                <w:szCs w:val="24"/>
                <w:lang w:val="lt-LT"/>
              </w:rPr>
              <w:t xml:space="preserve"> </w:t>
            </w:r>
            <w:r w:rsidRPr="00B31184">
              <w:rPr>
                <w:color w:val="auto"/>
                <w:sz w:val="24"/>
                <w:szCs w:val="24"/>
                <w:lang w:val="lt-LT"/>
              </w:rPr>
              <w:t xml:space="preserve">(toliau – prekės), nurodytas Sutarties priede Nr.1 „Techninė specifikacija ir pasiūlymo kaina“. </w:t>
            </w:r>
            <w:r w:rsidRPr="00741610">
              <w:rPr>
                <w:kern w:val="2"/>
                <w:sz w:val="24"/>
                <w:szCs w:val="24"/>
                <w:lang w:val="lt-LT"/>
              </w:rPr>
              <w:t xml:space="preserve">Išsamus </w:t>
            </w:r>
            <w:r>
              <w:rPr>
                <w:kern w:val="2"/>
                <w:sz w:val="24"/>
                <w:szCs w:val="24"/>
                <w:lang w:val="lt-LT"/>
              </w:rPr>
              <w:t>prekių</w:t>
            </w:r>
            <w:r w:rsidRPr="00741610">
              <w:rPr>
                <w:kern w:val="2"/>
                <w:sz w:val="24"/>
                <w:szCs w:val="24"/>
                <w:lang w:val="lt-LT"/>
              </w:rPr>
              <w:t xml:space="preserve"> aprašymas ir kiti reikalavimai tiekiamoms </w:t>
            </w:r>
            <w:r>
              <w:rPr>
                <w:kern w:val="2"/>
                <w:sz w:val="24"/>
                <w:szCs w:val="24"/>
                <w:lang w:val="lt-LT"/>
              </w:rPr>
              <w:lastRenderedPageBreak/>
              <w:t>p</w:t>
            </w:r>
            <w:r w:rsidRPr="00741610">
              <w:rPr>
                <w:kern w:val="2"/>
                <w:sz w:val="24"/>
                <w:szCs w:val="24"/>
                <w:lang w:val="lt-LT"/>
              </w:rPr>
              <w:t xml:space="preserve">rekėms nustatyti </w:t>
            </w:r>
            <w:r w:rsidRPr="00B31184">
              <w:rPr>
                <w:color w:val="auto"/>
                <w:sz w:val="24"/>
                <w:szCs w:val="24"/>
                <w:lang w:val="lt-LT"/>
              </w:rPr>
              <w:t>Sutarties priede Nr.1 „Techninė specifikacija ir pasiūlymo kaina“</w:t>
            </w:r>
            <w:r>
              <w:rPr>
                <w:kern w:val="2"/>
                <w:sz w:val="24"/>
                <w:szCs w:val="24"/>
                <w:lang w:val="lt-LT"/>
              </w:rPr>
              <w:t>.</w:t>
            </w:r>
          </w:p>
          <w:p w14:paraId="46B2DEBA" w14:textId="576BA45C" w:rsidR="003B1674" w:rsidRPr="003215BE" w:rsidRDefault="003B1674" w:rsidP="00365438">
            <w:pPr>
              <w:pStyle w:val="Body2"/>
              <w:rPr>
                <w:rFonts w:cs="Times New Roman"/>
                <w:kern w:val="2"/>
                <w:sz w:val="24"/>
                <w:szCs w:val="24"/>
                <w:lang w:val="lt-LT"/>
              </w:rPr>
            </w:pPr>
            <w:r>
              <w:rPr>
                <w:rFonts w:cs="Times New Roman"/>
                <w:kern w:val="2"/>
                <w:sz w:val="24"/>
                <w:szCs w:val="24"/>
                <w:lang w:val="lt-LT"/>
              </w:rPr>
              <w:t>3.1.</w:t>
            </w:r>
            <w:r w:rsidR="00D269FA">
              <w:rPr>
                <w:rFonts w:cs="Times New Roman"/>
                <w:kern w:val="2"/>
                <w:sz w:val="24"/>
                <w:szCs w:val="24"/>
                <w:lang w:val="lt-LT"/>
              </w:rPr>
              <w:t>2</w:t>
            </w:r>
            <w:r>
              <w:rPr>
                <w:rFonts w:cs="Times New Roman"/>
                <w:kern w:val="2"/>
                <w:sz w:val="24"/>
                <w:szCs w:val="24"/>
                <w:lang w:val="lt-LT"/>
              </w:rPr>
              <w:t xml:space="preserve">. </w:t>
            </w:r>
            <w:r w:rsidRPr="00051B2C">
              <w:rPr>
                <w:szCs w:val="24"/>
                <w:lang w:val="lt-LT"/>
              </w:rPr>
              <w:t xml:space="preserve">Prekių pagal Sutartį tiekimo terminas: </w:t>
            </w:r>
            <w:r w:rsidR="00163C4C" w:rsidRPr="00163C4C">
              <w:rPr>
                <w:szCs w:val="24"/>
                <w:lang w:val="lt-LT"/>
              </w:rPr>
              <w:t xml:space="preserve">12 mėnesių </w:t>
            </w:r>
            <w:r w:rsidRPr="00051B2C">
              <w:rPr>
                <w:szCs w:val="24"/>
                <w:lang w:val="lt-LT"/>
              </w:rPr>
              <w:t>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1E5EE080" w:rsidR="00B40422" w:rsidRPr="00DC0E1A" w:rsidRDefault="00163C4C" w:rsidP="00257967">
            <w:pPr>
              <w:rPr>
                <w:b/>
                <w:bCs/>
                <w:color w:val="8EAADB" w:themeColor="accent1" w:themeTint="99"/>
                <w:kern w:val="2"/>
                <w:szCs w:val="24"/>
              </w:rPr>
            </w:pPr>
            <w:r w:rsidRPr="00601734">
              <w:rPr>
                <w:b/>
                <w:kern w:val="2"/>
                <w:szCs w:val="24"/>
              </w:rPr>
              <w:t xml:space="preserve">Siuvimo aparatai ir priemonės </w:t>
            </w:r>
            <w:proofErr w:type="spellStart"/>
            <w:r w:rsidRPr="00601734">
              <w:rPr>
                <w:b/>
                <w:kern w:val="2"/>
                <w:szCs w:val="24"/>
              </w:rPr>
              <w:t>koloproktologijai</w:t>
            </w:r>
            <w:proofErr w:type="spellEnd"/>
            <w:r w:rsidRPr="00601734">
              <w:rPr>
                <w:b/>
                <w:kern w:val="2"/>
                <w:szCs w:val="24"/>
              </w:rPr>
              <w:t xml:space="preserve"> </w:t>
            </w:r>
            <w:r w:rsidRPr="00791893">
              <w:rPr>
                <w:b/>
                <w:kern w:val="2"/>
                <w:szCs w:val="24"/>
              </w:rPr>
              <w:t>(Nr. 9852-</w:t>
            </w:r>
            <w:r>
              <w:rPr>
                <w:b/>
                <w:kern w:val="2"/>
                <w:szCs w:val="24"/>
              </w:rPr>
              <w:t>5</w:t>
            </w:r>
            <w:r w:rsidRPr="00791893">
              <w:rPr>
                <w:b/>
                <w:kern w:val="2"/>
                <w:szCs w:val="24"/>
              </w:rPr>
              <w:t>)</w:t>
            </w:r>
            <w:r w:rsidR="00EC5F3D" w:rsidRPr="00DC0E1A">
              <w:rPr>
                <w:b/>
                <w:bCs/>
              </w:rPr>
              <w:t xml:space="preserve">, CVP IS ID </w:t>
            </w:r>
            <w:r w:rsidR="00495ED5" w:rsidRPr="00495ED5">
              <w:rPr>
                <w:b/>
                <w:bCs/>
              </w:rPr>
              <w:t>5739756</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01ECD09B" w14:textId="34F33628" w:rsidR="007E28E1" w:rsidRPr="00C0747D" w:rsidRDefault="007E28E1" w:rsidP="00705F89">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7A8ABFBA" w14:textId="77777777" w:rsidR="003B3ADA" w:rsidRPr="007B2F2A" w:rsidRDefault="003B3ADA" w:rsidP="003B3ADA">
            <w:r w:rsidRPr="007B2F2A">
              <w:rPr>
                <w:kern w:val="2"/>
                <w:szCs w:val="24"/>
              </w:rPr>
              <w:t xml:space="preserve">4.4.1. Kiekvieno Prekių užsakymo vertė turi būti ne mažesnė kaip </w:t>
            </w:r>
            <w:r>
              <w:rPr>
                <w:kern w:val="2"/>
                <w:szCs w:val="24"/>
              </w:rPr>
              <w:t>150</w:t>
            </w:r>
            <w:r w:rsidRPr="007B2F2A">
              <w:rPr>
                <w:kern w:val="2"/>
                <w:szCs w:val="24"/>
              </w:rPr>
              <w:t xml:space="preserve"> (</w:t>
            </w:r>
            <w:r>
              <w:rPr>
                <w:kern w:val="2"/>
                <w:szCs w:val="24"/>
              </w:rPr>
              <w:t>vienas</w:t>
            </w:r>
            <w:r w:rsidRPr="007B2F2A">
              <w:rPr>
                <w:kern w:val="2"/>
                <w:szCs w:val="24"/>
              </w:rPr>
              <w:t xml:space="preserve"> šimta</w:t>
            </w:r>
            <w:r>
              <w:rPr>
                <w:kern w:val="2"/>
                <w:szCs w:val="24"/>
              </w:rPr>
              <w:t>s</w:t>
            </w:r>
            <w:r w:rsidRPr="007B2F2A">
              <w:rPr>
                <w:kern w:val="2"/>
                <w:szCs w:val="24"/>
              </w:rPr>
              <w:t xml:space="preserve"> penkiasdešimt) Eur be PVM, </w:t>
            </w:r>
            <w:r w:rsidRPr="007B2F2A">
              <w:t>išskyrus šiuos atvejus:</w:t>
            </w:r>
          </w:p>
          <w:p w14:paraId="37EA3B95" w14:textId="77777777" w:rsidR="003B3ADA" w:rsidRPr="007B2F2A" w:rsidRDefault="003B3ADA" w:rsidP="003B3ADA">
            <w:pPr>
              <w:rPr>
                <w:kern w:val="2"/>
                <w:szCs w:val="24"/>
              </w:rPr>
            </w:pPr>
            <w:r w:rsidRPr="007B2F2A">
              <w:t>4.4.1.1. kai atliekamas paskutinis užsakymas</w:t>
            </w:r>
            <w:r w:rsidRPr="007B2F2A">
              <w:rPr>
                <w:kern w:val="2"/>
                <w:szCs w:val="24"/>
              </w:rPr>
              <w:t>;</w:t>
            </w:r>
          </w:p>
          <w:p w14:paraId="69F861A2" w14:textId="2FFC8418" w:rsidR="007E28E1" w:rsidRPr="00B422F6" w:rsidRDefault="003B3ADA" w:rsidP="003B3ADA">
            <w:pPr>
              <w:rPr>
                <w:kern w:val="2"/>
                <w:szCs w:val="24"/>
              </w:rPr>
            </w:pPr>
            <w:r w:rsidRPr="007B2F2A">
              <w:rPr>
                <w:kern w:val="2"/>
                <w:szCs w:val="24"/>
              </w:rPr>
              <w:t xml:space="preserve">4.4.1.2. </w:t>
            </w:r>
            <w:r w:rsidRPr="007B2F2A">
              <w:t xml:space="preserve">kai dėl mažesnės nei </w:t>
            </w:r>
            <w:r>
              <w:t>150</w:t>
            </w:r>
            <w:r w:rsidRPr="007B2F2A">
              <w:t xml:space="preserve"> (</w:t>
            </w:r>
            <w:r>
              <w:t>vienas</w:t>
            </w:r>
            <w:r w:rsidRPr="007B2F2A">
              <w:t xml:space="preserve"> šimta</w:t>
            </w:r>
            <w:r>
              <w:t>s</w:t>
            </w:r>
            <w:r w:rsidRPr="007B2F2A">
              <w:t xml:space="preserve"> penkiasdešimt) be PVM užsakymo vertės Šalys susitaria abipusiu sutarimu.</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17EAC4" w14:textId="6A03C52B" w:rsidR="007E28E1" w:rsidRPr="00A95CE8" w:rsidRDefault="007E28E1" w:rsidP="00256749">
            <w:pPr>
              <w:pStyle w:val="NoSpacing"/>
              <w:jc w:val="both"/>
              <w:rPr>
                <w:kern w:val="2"/>
                <w:highlight w:val="yellow"/>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w:t>
            </w:r>
            <w:r w:rsidRPr="00B31184">
              <w:rPr>
                <w:lang w:val="lt-LT"/>
              </w:rPr>
              <w:lastRenderedPageBreak/>
              <w:t>kriterijų ir Aplinkos apsaugos kriterijų, kuriuos perkančiosios organizacijos ir perkantieji subjektai turi taikyti pirkdami prekes, paslaugas ar darbus, taikymo tvarkos aprašo patvirtinimo“.</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lastRenderedPageBreak/>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xml:space="preserve">)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lastRenderedPageBreak/>
              <w:t>5.3.3.2. Sutarties įkainis (-</w:t>
            </w:r>
            <w:proofErr w:type="spellStart"/>
            <w:r w:rsidRPr="008B0C20">
              <w:rPr>
                <w:kern w:val="2"/>
                <w:szCs w:val="24"/>
              </w:rPr>
              <w:t>iai</w:t>
            </w:r>
            <w:proofErr w:type="spellEnd"/>
            <w:r w:rsidRPr="008B0C20">
              <w:rPr>
                <w:kern w:val="2"/>
                <w:szCs w:val="24"/>
              </w:rPr>
              <w:t>)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 xml:space="preserve">K = </w:t>
            </w:r>
            <w:proofErr w:type="spellStart"/>
            <w:r w:rsidRPr="008B0C20">
              <w:rPr>
                <w:kern w:val="2"/>
                <w:szCs w:val="24"/>
              </w:rPr>
              <w:t>IPb</w:t>
            </w:r>
            <w:proofErr w:type="spellEnd"/>
            <w:r w:rsidRPr="008B0C20">
              <w:rPr>
                <w:kern w:val="2"/>
                <w:szCs w:val="24"/>
              </w:rPr>
              <w:t xml:space="preserve"> / </w:t>
            </w:r>
            <w:proofErr w:type="spellStart"/>
            <w:r w:rsidRPr="008B0C20">
              <w:rPr>
                <w:kern w:val="2"/>
                <w:szCs w:val="24"/>
              </w:rPr>
              <w:t>IPr</w:t>
            </w:r>
            <w:proofErr w:type="spellEnd"/>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IPr</w:t>
            </w:r>
            <w:proofErr w:type="spellEnd"/>
            <w:r w:rsidRPr="008B0C20">
              <w:rPr>
                <w:kern w:val="2"/>
                <w:szCs w:val="24"/>
              </w:rPr>
              <w:t xml:space="preserve">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proofErr w:type="spellStart"/>
            <w:r w:rsidRPr="008B0C20">
              <w:rPr>
                <w:kern w:val="2"/>
                <w:szCs w:val="24"/>
              </w:rPr>
              <w:t>IPb</w:t>
            </w:r>
            <w:proofErr w:type="spellEnd"/>
            <w:r w:rsidRPr="008B0C20">
              <w:rPr>
                <w:kern w:val="2"/>
                <w:szCs w:val="24"/>
              </w:rPr>
              <w:t xml:space="preserve">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lastRenderedPageBreak/>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7756A61E" w14:textId="01AB6410"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sidR="00256749">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lastRenderedPageBreak/>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lastRenderedPageBreak/>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8BFDF80" w14:textId="77777777" w:rsidTr="00257967">
        <w:trPr>
          <w:trHeight w:val="300"/>
        </w:trPr>
        <w:tc>
          <w:tcPr>
            <w:tcW w:w="2704" w:type="dxa"/>
            <w:gridSpan w:val="2"/>
          </w:tcPr>
          <w:p w14:paraId="79273496" w14:textId="12E03D4D" w:rsidR="007E28E1" w:rsidRPr="00B422F6" w:rsidRDefault="007E28E1" w:rsidP="007E28E1">
            <w:pPr>
              <w:rPr>
                <w:b/>
                <w:bCs/>
                <w:kern w:val="2"/>
                <w:szCs w:val="24"/>
              </w:rPr>
            </w:pPr>
            <w:r>
              <w:rPr>
                <w:b/>
                <w:bCs/>
                <w:kern w:val="2"/>
                <w:szCs w:val="24"/>
              </w:rPr>
              <w:t>8</w:t>
            </w:r>
            <w:r w:rsidRPr="00365C27">
              <w:rPr>
                <w:b/>
                <w:bCs/>
                <w:kern w:val="2"/>
                <w:szCs w:val="24"/>
              </w:rPr>
              <w:t>.</w:t>
            </w:r>
            <w:r w:rsidR="00A95CE8">
              <w:rPr>
                <w:b/>
                <w:bCs/>
                <w:kern w:val="2"/>
                <w:szCs w:val="24"/>
              </w:rPr>
              <w:t>2</w:t>
            </w:r>
            <w:r w:rsidRPr="00365C27">
              <w:rPr>
                <w:b/>
                <w:bCs/>
                <w:kern w:val="2"/>
                <w:szCs w:val="24"/>
              </w:rPr>
              <w:t>.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w:t>
            </w:r>
            <w:r w:rsidRPr="00B422F6">
              <w:rPr>
                <w:b/>
                <w:bCs/>
                <w:kern w:val="2"/>
                <w:szCs w:val="24"/>
              </w:rPr>
              <w:lastRenderedPageBreak/>
              <w:t xml:space="preserve">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lastRenderedPageBreak/>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4EDF9691"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 xml:space="preserve">Sutartis </w:t>
            </w:r>
            <w:r w:rsidRPr="00DC0E1A">
              <w:rPr>
                <w:b/>
                <w:bCs/>
                <w:kern w:val="2"/>
                <w:szCs w:val="24"/>
              </w:rPr>
              <w:t xml:space="preserve">galioja </w:t>
            </w:r>
            <w:r w:rsidR="00A9237D">
              <w:rPr>
                <w:b/>
                <w:bCs/>
                <w:kern w:val="2"/>
                <w:szCs w:val="24"/>
              </w:rPr>
              <w:t>13</w:t>
            </w:r>
            <w:r w:rsidRPr="00DC0E1A">
              <w:rPr>
                <w:b/>
                <w:bCs/>
                <w:kern w:val="2"/>
                <w:szCs w:val="24"/>
              </w:rPr>
              <w:t xml:space="preserve"> mėnes</w:t>
            </w:r>
            <w:r w:rsidR="00A9237D">
              <w:rPr>
                <w:b/>
                <w:bCs/>
                <w:kern w:val="2"/>
                <w:szCs w:val="24"/>
              </w:rPr>
              <w:t>ių</w:t>
            </w:r>
            <w:r>
              <w:rPr>
                <w:kern w:val="2"/>
                <w:szCs w:val="24"/>
              </w:rPr>
              <w:t xml:space="preserve">, </w:t>
            </w:r>
            <w:r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77D3E7" w14:textId="26A2695B" w:rsidR="00310316" w:rsidRPr="00B422F6" w:rsidRDefault="00310316" w:rsidP="00310316">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p w14:paraId="0521DED8" w14:textId="3FB092EA" w:rsidR="00310316" w:rsidRDefault="00310316" w:rsidP="00310316">
            <w:pPr>
              <w:jc w:val="both"/>
              <w:rPr>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DC6A81E" w14:textId="647CD4E2" w:rsidR="00122C14" w:rsidRPr="00C045BA" w:rsidRDefault="00310316" w:rsidP="00310316">
            <w:pPr>
              <w:jc w:val="both"/>
              <w:rPr>
                <w:color w:val="000000"/>
                <w:kern w:val="2"/>
                <w:szCs w:val="24"/>
                <w:shd w:val="clear" w:color="auto" w:fill="FFFFFF"/>
              </w:rPr>
            </w:pP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lastRenderedPageBreak/>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5BF52FB5" w14:textId="77777777" w:rsidTr="001574ED">
        <w:trPr>
          <w:trHeight w:val="300"/>
        </w:trPr>
        <w:tc>
          <w:tcPr>
            <w:tcW w:w="2689" w:type="dxa"/>
          </w:tcPr>
          <w:p w14:paraId="517FBAC6" w14:textId="65A85A42" w:rsidR="007E28E1" w:rsidRPr="00B422F6" w:rsidRDefault="007E28E1" w:rsidP="007E28E1">
            <w:pPr>
              <w:rPr>
                <w:b/>
                <w:bCs/>
                <w:kern w:val="2"/>
                <w:szCs w:val="24"/>
              </w:rPr>
            </w:pPr>
            <w:r w:rsidRPr="009F56D5">
              <w:rPr>
                <w:b/>
                <w:bCs/>
                <w:kern w:val="2"/>
                <w:szCs w:val="24"/>
              </w:rPr>
              <w:t>14.</w:t>
            </w:r>
            <w:r w:rsidR="0024432B">
              <w:rPr>
                <w:b/>
                <w:bCs/>
                <w:kern w:val="2"/>
                <w:szCs w:val="24"/>
              </w:rPr>
              <w:t>2</w:t>
            </w:r>
            <w:r w:rsidRPr="009F56D5">
              <w:rPr>
                <w:b/>
                <w:bCs/>
                <w:kern w:val="2"/>
                <w:szCs w:val="24"/>
              </w:rPr>
              <w:t>.</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626B99AF" w14:textId="77777777" w:rsidR="00C60F69" w:rsidRPr="00B422F6" w:rsidRDefault="00C60F69" w:rsidP="00C60F69">
            <w:pPr>
              <w:rPr>
                <w:kern w:val="2"/>
                <w:szCs w:val="24"/>
              </w:rPr>
            </w:pPr>
            <w:r w:rsidRPr="00B422F6">
              <w:rPr>
                <w:kern w:val="2"/>
                <w:szCs w:val="24"/>
              </w:rPr>
              <w:t>6.2.3.2. punktą;</w:t>
            </w:r>
          </w:p>
          <w:p w14:paraId="54F3BF91" w14:textId="77777777" w:rsidR="00C60F69" w:rsidRPr="00B422F6" w:rsidRDefault="00C60F69" w:rsidP="00C60F69">
            <w:pPr>
              <w:rPr>
                <w:kern w:val="2"/>
                <w:szCs w:val="24"/>
              </w:rPr>
            </w:pPr>
          </w:p>
          <w:p w14:paraId="2608F438" w14:textId="77777777" w:rsidR="00C60F69" w:rsidRPr="00B422F6" w:rsidRDefault="00C60F69" w:rsidP="00C60F69">
            <w:pPr>
              <w:rPr>
                <w:rFonts w:eastAsia="Arial"/>
                <w:szCs w:val="24"/>
              </w:rPr>
            </w:pPr>
            <w:r w:rsidRPr="00B422F6">
              <w:rPr>
                <w:rFonts w:eastAsia="Arial"/>
                <w:szCs w:val="24"/>
              </w:rPr>
              <w:t>6.2.6. punktą;</w:t>
            </w:r>
          </w:p>
          <w:p w14:paraId="408DDA51" w14:textId="77777777" w:rsidR="00C60F69" w:rsidRPr="00B422F6" w:rsidRDefault="00C60F69" w:rsidP="00C60F69">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16707BD4"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sidR="0024432B">
              <w:rPr>
                <w:b/>
                <w:bCs/>
                <w:kern w:val="2"/>
                <w:szCs w:val="24"/>
              </w:rPr>
              <w:t>3</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06898CA9" w:rsidR="007E28E1" w:rsidRPr="00B422F6" w:rsidRDefault="007E28E1" w:rsidP="007E28E1">
            <w:pPr>
              <w:rPr>
                <w:b/>
                <w:bCs/>
                <w:kern w:val="2"/>
                <w:szCs w:val="24"/>
              </w:rPr>
            </w:pPr>
            <w:r>
              <w:rPr>
                <w:b/>
                <w:bCs/>
                <w:kern w:val="2"/>
                <w:szCs w:val="24"/>
              </w:rPr>
              <w:t>14.</w:t>
            </w:r>
            <w:r w:rsidR="0024432B">
              <w:rPr>
                <w:b/>
                <w:bCs/>
                <w:kern w:val="2"/>
                <w:szCs w:val="24"/>
              </w:rPr>
              <w:t>4</w:t>
            </w:r>
            <w:r>
              <w:rPr>
                <w:b/>
                <w:bCs/>
                <w:kern w:val="2"/>
                <w:szCs w:val="24"/>
              </w:rPr>
              <w:t>.</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05007947" w:rsidR="00CC135E" w:rsidRPr="00D70014" w:rsidRDefault="00F958E9" w:rsidP="00291DBD">
      <w:pPr>
        <w:pStyle w:val="Body2"/>
        <w:pBdr>
          <w:top w:val="none" w:sz="0" w:space="0" w:color="auto"/>
          <w:left w:val="none" w:sz="0" w:space="0" w:color="auto"/>
          <w:bottom w:val="none" w:sz="0" w:space="0" w:color="auto"/>
          <w:right w:val="none" w:sz="0" w:space="0" w:color="auto"/>
        </w:pBdr>
        <w:jc w:val="right"/>
        <w:rPr>
          <w:szCs w:val="24"/>
          <w:lang w:val="lt-LT"/>
        </w:rPr>
      </w:pPr>
      <w:r w:rsidRPr="00051B2C">
        <w:rPr>
          <w:szCs w:val="24"/>
          <w:lang w:val="lt-LT"/>
        </w:rPr>
        <w:t>Techninė specifikacija ir pasiūlymo kaina</w:t>
      </w:r>
      <w:r w:rsidR="00CC010D" w:rsidRPr="00051B2C">
        <w:rPr>
          <w:szCs w:val="24"/>
          <w:lang w:val="lt-LT"/>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lastRenderedPageBreak/>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4DF583E" w14:textId="77777777" w:rsidR="00C67C63" w:rsidRDefault="00C67C63" w:rsidP="00C67C63">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lastRenderedPageBreak/>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lastRenderedPageBreak/>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lastRenderedPageBreak/>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0CF4" w14:textId="77777777" w:rsidR="003D26B1" w:rsidRDefault="003D26B1">
      <w:r>
        <w:separator/>
      </w:r>
    </w:p>
  </w:endnote>
  <w:endnote w:type="continuationSeparator" w:id="0">
    <w:p w14:paraId="6879F74B" w14:textId="77777777" w:rsidR="003D26B1" w:rsidRDefault="003D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0387" w14:textId="77777777" w:rsidR="003D26B1" w:rsidRDefault="003D26B1">
      <w:r>
        <w:separator/>
      </w:r>
    </w:p>
  </w:footnote>
  <w:footnote w:type="continuationSeparator" w:id="0">
    <w:p w14:paraId="1F00DCA1" w14:textId="77777777" w:rsidR="003D26B1" w:rsidRDefault="003D2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06CA"/>
    <w:rsid w:val="00122C14"/>
    <w:rsid w:val="00122CEA"/>
    <w:rsid w:val="00130E94"/>
    <w:rsid w:val="001330CC"/>
    <w:rsid w:val="00141B13"/>
    <w:rsid w:val="00143BFB"/>
    <w:rsid w:val="00144479"/>
    <w:rsid w:val="001534AA"/>
    <w:rsid w:val="001566C1"/>
    <w:rsid w:val="001574ED"/>
    <w:rsid w:val="00157EB3"/>
    <w:rsid w:val="00163C4C"/>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0017"/>
    <w:rsid w:val="0024182A"/>
    <w:rsid w:val="0024432B"/>
    <w:rsid w:val="00247C58"/>
    <w:rsid w:val="00250BCA"/>
    <w:rsid w:val="002514A8"/>
    <w:rsid w:val="0025380A"/>
    <w:rsid w:val="00255047"/>
    <w:rsid w:val="00256749"/>
    <w:rsid w:val="00257967"/>
    <w:rsid w:val="00262820"/>
    <w:rsid w:val="00262C14"/>
    <w:rsid w:val="0026383F"/>
    <w:rsid w:val="0027301F"/>
    <w:rsid w:val="002731A1"/>
    <w:rsid w:val="00275236"/>
    <w:rsid w:val="002776FC"/>
    <w:rsid w:val="0028380B"/>
    <w:rsid w:val="00287377"/>
    <w:rsid w:val="002875FA"/>
    <w:rsid w:val="00291DBD"/>
    <w:rsid w:val="002952CA"/>
    <w:rsid w:val="002A6016"/>
    <w:rsid w:val="002B362D"/>
    <w:rsid w:val="002C0D50"/>
    <w:rsid w:val="002D4395"/>
    <w:rsid w:val="002E0A4A"/>
    <w:rsid w:val="002E107F"/>
    <w:rsid w:val="002E1F49"/>
    <w:rsid w:val="002E5007"/>
    <w:rsid w:val="002F63F7"/>
    <w:rsid w:val="002F766A"/>
    <w:rsid w:val="00303337"/>
    <w:rsid w:val="00310316"/>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3ADA"/>
    <w:rsid w:val="003B5030"/>
    <w:rsid w:val="003C3043"/>
    <w:rsid w:val="003C35B2"/>
    <w:rsid w:val="003D0298"/>
    <w:rsid w:val="003D26B1"/>
    <w:rsid w:val="003E0F79"/>
    <w:rsid w:val="003E3D32"/>
    <w:rsid w:val="003E45F7"/>
    <w:rsid w:val="003E660F"/>
    <w:rsid w:val="003F1F3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95ED5"/>
    <w:rsid w:val="004A1789"/>
    <w:rsid w:val="004A2832"/>
    <w:rsid w:val="004B0CC9"/>
    <w:rsid w:val="004B0CD6"/>
    <w:rsid w:val="004C112A"/>
    <w:rsid w:val="004C1948"/>
    <w:rsid w:val="004C7783"/>
    <w:rsid w:val="004D156D"/>
    <w:rsid w:val="004E065E"/>
    <w:rsid w:val="004E2050"/>
    <w:rsid w:val="004F1935"/>
    <w:rsid w:val="004F3E7A"/>
    <w:rsid w:val="004F4F98"/>
    <w:rsid w:val="004F6DD7"/>
    <w:rsid w:val="00501386"/>
    <w:rsid w:val="0051387B"/>
    <w:rsid w:val="00520C83"/>
    <w:rsid w:val="0052411E"/>
    <w:rsid w:val="0053687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B7AC1"/>
    <w:rsid w:val="005D13F4"/>
    <w:rsid w:val="005E224D"/>
    <w:rsid w:val="006003F7"/>
    <w:rsid w:val="006013FD"/>
    <w:rsid w:val="0060301A"/>
    <w:rsid w:val="00604396"/>
    <w:rsid w:val="006064F8"/>
    <w:rsid w:val="00610049"/>
    <w:rsid w:val="00611E76"/>
    <w:rsid w:val="00630631"/>
    <w:rsid w:val="0063101E"/>
    <w:rsid w:val="00643518"/>
    <w:rsid w:val="0064523D"/>
    <w:rsid w:val="00653B10"/>
    <w:rsid w:val="00654A2A"/>
    <w:rsid w:val="00655FD6"/>
    <w:rsid w:val="00663ED1"/>
    <w:rsid w:val="00671FD2"/>
    <w:rsid w:val="006755F1"/>
    <w:rsid w:val="00676257"/>
    <w:rsid w:val="00687886"/>
    <w:rsid w:val="006B0675"/>
    <w:rsid w:val="006B0974"/>
    <w:rsid w:val="006B68B6"/>
    <w:rsid w:val="006C0648"/>
    <w:rsid w:val="006C58D4"/>
    <w:rsid w:val="006D0666"/>
    <w:rsid w:val="006E1859"/>
    <w:rsid w:val="006E2AF4"/>
    <w:rsid w:val="006E3AE2"/>
    <w:rsid w:val="006F1428"/>
    <w:rsid w:val="006F1B1F"/>
    <w:rsid w:val="006F2788"/>
    <w:rsid w:val="006F4ED1"/>
    <w:rsid w:val="006F4FD6"/>
    <w:rsid w:val="006F727F"/>
    <w:rsid w:val="00705F89"/>
    <w:rsid w:val="00706BD7"/>
    <w:rsid w:val="007079F2"/>
    <w:rsid w:val="007100E9"/>
    <w:rsid w:val="00721F57"/>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956A6"/>
    <w:rsid w:val="008B0C20"/>
    <w:rsid w:val="008B2328"/>
    <w:rsid w:val="008D0F7F"/>
    <w:rsid w:val="008D1866"/>
    <w:rsid w:val="008E0299"/>
    <w:rsid w:val="008F04BC"/>
    <w:rsid w:val="008F2D91"/>
    <w:rsid w:val="008F7CD0"/>
    <w:rsid w:val="009209B1"/>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9237D"/>
    <w:rsid w:val="00A943D9"/>
    <w:rsid w:val="00A95CE8"/>
    <w:rsid w:val="00AA27F4"/>
    <w:rsid w:val="00AA2914"/>
    <w:rsid w:val="00AB7803"/>
    <w:rsid w:val="00AC24D0"/>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28E1"/>
    <w:rsid w:val="00C045BA"/>
    <w:rsid w:val="00C0747D"/>
    <w:rsid w:val="00C114BA"/>
    <w:rsid w:val="00C302CD"/>
    <w:rsid w:val="00C33531"/>
    <w:rsid w:val="00C411BF"/>
    <w:rsid w:val="00C456FA"/>
    <w:rsid w:val="00C46BEA"/>
    <w:rsid w:val="00C51589"/>
    <w:rsid w:val="00C57316"/>
    <w:rsid w:val="00C60E52"/>
    <w:rsid w:val="00C60F69"/>
    <w:rsid w:val="00C67C63"/>
    <w:rsid w:val="00C72CDB"/>
    <w:rsid w:val="00C7607A"/>
    <w:rsid w:val="00C80FC1"/>
    <w:rsid w:val="00C816EF"/>
    <w:rsid w:val="00C81BBB"/>
    <w:rsid w:val="00C926C9"/>
    <w:rsid w:val="00C950EC"/>
    <w:rsid w:val="00CA251D"/>
    <w:rsid w:val="00CB1F87"/>
    <w:rsid w:val="00CB27D4"/>
    <w:rsid w:val="00CB6321"/>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269FA"/>
    <w:rsid w:val="00D37D6A"/>
    <w:rsid w:val="00D40F6D"/>
    <w:rsid w:val="00D42F9D"/>
    <w:rsid w:val="00D43907"/>
    <w:rsid w:val="00D4489C"/>
    <w:rsid w:val="00D50E2A"/>
    <w:rsid w:val="00D53BE3"/>
    <w:rsid w:val="00D5648C"/>
    <w:rsid w:val="00D57FEC"/>
    <w:rsid w:val="00D60E0C"/>
    <w:rsid w:val="00D64702"/>
    <w:rsid w:val="00D65156"/>
    <w:rsid w:val="00D6645D"/>
    <w:rsid w:val="00D70014"/>
    <w:rsid w:val="00D77284"/>
    <w:rsid w:val="00D83B8F"/>
    <w:rsid w:val="00D90825"/>
    <w:rsid w:val="00D94658"/>
    <w:rsid w:val="00DA226E"/>
    <w:rsid w:val="00DB16CD"/>
    <w:rsid w:val="00DB5CF6"/>
    <w:rsid w:val="00DC0E1A"/>
    <w:rsid w:val="00DC62A1"/>
    <w:rsid w:val="00DD6A99"/>
    <w:rsid w:val="00DE5707"/>
    <w:rsid w:val="00DF74D7"/>
    <w:rsid w:val="00E032DF"/>
    <w:rsid w:val="00E10FD9"/>
    <w:rsid w:val="00E151B5"/>
    <w:rsid w:val="00E400A7"/>
    <w:rsid w:val="00E412E4"/>
    <w:rsid w:val="00E42042"/>
    <w:rsid w:val="00E46D0A"/>
    <w:rsid w:val="00E52197"/>
    <w:rsid w:val="00E60125"/>
    <w:rsid w:val="00E72192"/>
    <w:rsid w:val="00E73818"/>
    <w:rsid w:val="00E74F70"/>
    <w:rsid w:val="00E9231D"/>
    <w:rsid w:val="00EA2CC7"/>
    <w:rsid w:val="00EA7750"/>
    <w:rsid w:val="00EB2CB9"/>
    <w:rsid w:val="00EB62B0"/>
    <w:rsid w:val="00EB71FF"/>
    <w:rsid w:val="00EC3D0A"/>
    <w:rsid w:val="00EC5F3D"/>
    <w:rsid w:val="00EE17E2"/>
    <w:rsid w:val="00EF055A"/>
    <w:rsid w:val="00EF2BB5"/>
    <w:rsid w:val="00EF3C8B"/>
    <w:rsid w:val="00EF4CFE"/>
    <w:rsid w:val="00EF58C9"/>
    <w:rsid w:val="00F02DEB"/>
    <w:rsid w:val="00F079B9"/>
    <w:rsid w:val="00F10495"/>
    <w:rsid w:val="00F16CE5"/>
    <w:rsid w:val="00F17024"/>
    <w:rsid w:val="00F23EC9"/>
    <w:rsid w:val="00F3367A"/>
    <w:rsid w:val="00F33687"/>
    <w:rsid w:val="00F34207"/>
    <w:rsid w:val="00F41446"/>
    <w:rsid w:val="00F435F4"/>
    <w:rsid w:val="00F444FD"/>
    <w:rsid w:val="00F46F92"/>
    <w:rsid w:val="00F474E0"/>
    <w:rsid w:val="00F51B83"/>
    <w:rsid w:val="00F5557C"/>
    <w:rsid w:val="00F56633"/>
    <w:rsid w:val="00F61DE4"/>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 w:type="paragraph" w:styleId="ListParagraph">
    <w:name w:val="List Paragraph"/>
    <w:basedOn w:val="Normal"/>
    <w:rsid w:val="005B7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66642</Words>
  <Characters>37987</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Aurelija Jokimčienė</cp:lastModifiedBy>
  <cp:revision>10</cp:revision>
  <cp:lastPrinted>2024-03-12T12:16:00Z</cp:lastPrinted>
  <dcterms:created xsi:type="dcterms:W3CDTF">2025-12-05T06:49:00Z</dcterms:created>
  <dcterms:modified xsi:type="dcterms:W3CDTF">2025-12-05T07:46:00Z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