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F5FC" w14:textId="77777777" w:rsidR="006A32A1" w:rsidRPr="009A0F5D" w:rsidRDefault="006A32A1" w:rsidP="006A32A1">
      <w:pPr>
        <w:spacing w:line="240" w:lineRule="auto"/>
        <w:jc w:val="left"/>
        <w:rPr>
          <w:b/>
          <w:bCs/>
          <w:szCs w:val="24"/>
        </w:rPr>
      </w:pPr>
      <w:r w:rsidRPr="009A0F5D">
        <w:rPr>
          <w:b/>
          <w:bCs/>
          <w:szCs w:val="24"/>
        </w:rPr>
        <w:t>ATSAKYMAS Į GAUTĄ TIEKĖJO PAKLAUSIMĄ</w:t>
      </w:r>
    </w:p>
    <w:p w14:paraId="3D316E22" w14:textId="77777777" w:rsidR="006A32A1" w:rsidRPr="009A0F5D" w:rsidRDefault="006A32A1" w:rsidP="006A32A1">
      <w:pPr>
        <w:spacing w:line="240" w:lineRule="auto"/>
        <w:jc w:val="left"/>
        <w:rPr>
          <w:szCs w:val="24"/>
        </w:rPr>
      </w:pPr>
    </w:p>
    <w:p w14:paraId="2C5AE0ED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i/>
          <w:szCs w:val="24"/>
          <w:lang w:eastAsia="lt-LT"/>
        </w:rPr>
      </w:pPr>
      <w:r w:rsidRPr="00F728B1">
        <w:rPr>
          <w:rFonts w:eastAsia="Times New Roman"/>
          <w:i/>
          <w:szCs w:val="24"/>
          <w:lang w:eastAsia="lt-LT"/>
        </w:rPr>
        <w:t>„</w:t>
      </w:r>
      <w:bookmarkStart w:id="0" w:name="_Hlk110947536"/>
      <w:r w:rsidRPr="00F728B1">
        <w:rPr>
          <w:rFonts w:eastAsia="Times New Roman"/>
          <w:i/>
          <w:szCs w:val="24"/>
          <w:lang w:eastAsia="lt-LT"/>
        </w:rPr>
        <w:t>UAB „Litesko“ (toliau – Bendrovė) 2025-12-02 paskelbė pirkimą dėl „</w:t>
      </w:r>
      <w:sdt>
        <w:sdtPr>
          <w:rPr>
            <w:rFonts w:eastAsia="Times New Roman"/>
            <w:i/>
            <w:szCs w:val="24"/>
            <w:lang w:eastAsia="lt-LT"/>
          </w:rPr>
          <w:alias w:val="Pirkimo objektas"/>
          <w:tag w:val="Pirkimo objektas"/>
          <w:id w:val="2084406771"/>
        </w:sdtPr>
        <w:sdtContent>
          <w:sdt>
            <w:sdtPr>
              <w:rPr>
                <w:rFonts w:eastAsia="Times New Roman"/>
                <w:b/>
                <w:i/>
                <w:szCs w:val="24"/>
                <w:lang w:eastAsia="lt-LT"/>
              </w:rPr>
              <w:alias w:val="Pirkimo objektas"/>
              <w:tag w:val="Pirkimo objektas"/>
              <w:id w:val="-661083688"/>
              <w:placeholder>
                <w:docPart w:val="3A707FFBB5524E878DBE0CB0C55BA73E"/>
              </w:placeholder>
            </w:sdtPr>
            <w:sdtContent>
              <w:sdt>
                <w:sdtPr>
                  <w:rPr>
                    <w:rFonts w:eastAsia="Times New Roman"/>
                    <w:b/>
                    <w:i/>
                    <w:szCs w:val="24"/>
                    <w:lang w:eastAsia="lt-LT"/>
                  </w:rPr>
                  <w:alias w:val="Pirkimo objektas"/>
                  <w:tag w:val="Pirkimo objektas"/>
                  <w:id w:val="1116026971"/>
                  <w:placeholder>
                    <w:docPart w:val="E17CF265202A4930AC31B44AB077359D"/>
                  </w:placeholder>
                </w:sdtPr>
                <w:sdtContent>
                  <w:sdt>
                    <w:sdtPr>
                      <w:rPr>
                        <w:rFonts w:eastAsia="Times New Roman"/>
                        <w:b/>
                        <w:bCs/>
                        <w:i/>
                        <w:iCs/>
                        <w:szCs w:val="24"/>
                        <w:lang w:eastAsia="lt-LT"/>
                      </w:rPr>
                      <w:alias w:val="Pirkimo objektas"/>
                      <w:tag w:val="Pirkimo objektas"/>
                      <w:id w:val="360707653"/>
                      <w:placeholder>
                        <w:docPart w:val="734075189E194925B422067C463501C7"/>
                      </w:placeholder>
                    </w:sdtPr>
                    <w:sdtContent>
                      <w:r w:rsidRPr="00F728B1">
                        <w:rPr>
                          <w:rFonts w:eastAsia="Times New Roman"/>
                          <w:b/>
                          <w:bCs/>
                          <w:i/>
                          <w:iCs/>
                          <w:szCs w:val="24"/>
                          <w:lang w:eastAsia="lt-LT"/>
                        </w:rPr>
                        <w:t>Tinklo siurblių sklendės su el. pavaromis</w:t>
                      </w:r>
                    </w:sdtContent>
                  </w:sdt>
                </w:sdtContent>
              </w:sdt>
            </w:sdtContent>
          </w:sdt>
        </w:sdtContent>
      </w:sdt>
      <w:r w:rsidRPr="00F728B1">
        <w:rPr>
          <w:rFonts w:eastAsia="Times New Roman"/>
          <w:i/>
          <w:szCs w:val="24"/>
          <w:lang w:eastAsia="lt-LT"/>
        </w:rPr>
        <w:t>“ prekių  pirkimo (Pirkimo numeris: 5693982) tiekėjų skelbiant būdu (toliau – Pirkimas). Apie Pirkimą skelbta Centrinėje viešųjų pirkimų informacinėje sistemoje.</w:t>
      </w:r>
      <w:bookmarkEnd w:id="0"/>
    </w:p>
    <w:p w14:paraId="35739E05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i/>
          <w:szCs w:val="24"/>
          <w:lang w:eastAsia="lt-LT"/>
        </w:rPr>
      </w:pPr>
      <w:r w:rsidRPr="009A0F5D">
        <w:rPr>
          <w:rFonts w:eastAsia="Times New Roman"/>
          <w:i/>
          <w:szCs w:val="24"/>
          <w:lang w:eastAsia="lt-LT"/>
        </w:rPr>
        <w:t>Informuojame kad buvo gautas tiekėjo paklausimas.</w:t>
      </w:r>
    </w:p>
    <w:p w14:paraId="2F81E8F4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i/>
          <w:szCs w:val="24"/>
          <w:lang w:eastAsia="lt-LT"/>
        </w:rPr>
      </w:pPr>
    </w:p>
    <w:p w14:paraId="25D2A8E4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b/>
          <w:bCs/>
          <w:i/>
          <w:szCs w:val="24"/>
          <w:u w:val="single"/>
          <w:lang w:eastAsia="lt-LT"/>
        </w:rPr>
      </w:pPr>
      <w:r w:rsidRPr="009A0F5D">
        <w:rPr>
          <w:rFonts w:eastAsia="Times New Roman"/>
          <w:b/>
          <w:bCs/>
          <w:i/>
          <w:szCs w:val="24"/>
          <w:u w:val="single"/>
          <w:lang w:eastAsia="lt-LT"/>
        </w:rPr>
        <w:t>Tiekėjo paklausimas:</w:t>
      </w:r>
    </w:p>
    <w:p w14:paraId="1DA5FAE9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b/>
          <w:bCs/>
          <w:i/>
          <w:szCs w:val="24"/>
          <w:u w:val="single"/>
          <w:lang w:eastAsia="lt-LT"/>
        </w:rPr>
      </w:pPr>
    </w:p>
    <w:p w14:paraId="03978C72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szCs w:val="24"/>
        </w:rPr>
      </w:pPr>
      <w:r w:rsidRPr="009A0F5D">
        <w:rPr>
          <w:szCs w:val="24"/>
        </w:rPr>
        <w:t xml:space="preserve">Pirkimo sąlygų Priede Nr. 1 - Techninė specifikacija nurodyta: 6.1. Tiekėjui pateikus Produktą, neatitinkantį užsakyme nurodytų specifikacijų, kiekio arba su defektais, Pirkėjas turi teisę Produkto nepriimti, o priėmus, grąžinti. Pirkėjas įsipareigoja per 20 (dvidešimt) darbo dienų Tiekėjui pranešti apie </w:t>
      </w:r>
      <w:proofErr w:type="spellStart"/>
      <w:r w:rsidRPr="009A0F5D">
        <w:rPr>
          <w:szCs w:val="24"/>
        </w:rPr>
        <w:t>defektuotą</w:t>
      </w:r>
      <w:proofErr w:type="spellEnd"/>
      <w:r w:rsidRPr="009A0F5D">
        <w:rPr>
          <w:szCs w:val="24"/>
        </w:rPr>
        <w:t xml:space="preserve"> Produktą. Tiekėjas įsipareigoja pakeisti Produktą per 30 (trisdešimt) darbo dienų nuo Pirkėjo pranešimo. </w:t>
      </w:r>
    </w:p>
    <w:p w14:paraId="67F3B60C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szCs w:val="24"/>
        </w:rPr>
      </w:pPr>
      <w:r w:rsidRPr="009A0F5D">
        <w:rPr>
          <w:szCs w:val="24"/>
        </w:rPr>
        <w:t>Tačiau Priede Nr. 3 - Sutarties projekte nurodyta: 7.1.9. Jei priimant Prekes nustatoma, kad pateiktos Prekės neatitinka Sutarties reikalavimų, yra nekokybiškos, apie tai pažymima priėmimo-perdavimo akte ir tokios Prekės grąžinamos Pardavėjui. Pardavėjas privalo pakeisti šią (-</w:t>
      </w:r>
      <w:proofErr w:type="spellStart"/>
      <w:r w:rsidRPr="009A0F5D">
        <w:rPr>
          <w:szCs w:val="24"/>
        </w:rPr>
        <w:t>ias</w:t>
      </w:r>
      <w:proofErr w:type="spellEnd"/>
      <w:r w:rsidRPr="009A0F5D">
        <w:rPr>
          <w:szCs w:val="24"/>
        </w:rPr>
        <w:t>) Prekę (-</w:t>
      </w:r>
      <w:proofErr w:type="spellStart"/>
      <w:r w:rsidRPr="009A0F5D">
        <w:rPr>
          <w:szCs w:val="24"/>
        </w:rPr>
        <w:t>es</w:t>
      </w:r>
      <w:proofErr w:type="spellEnd"/>
      <w:r w:rsidRPr="009A0F5D">
        <w:rPr>
          <w:szCs w:val="24"/>
        </w:rPr>
        <w:t xml:space="preserve">) per Šalių tarpusavyje suderintą protingą terminą, kuris visais atvejais negali būti ilgesnis nei 3 (trys) darbo dienos. Šių Prekių priėmimas ir perdavimas bei atsiskaitymas už jas vykdomas vadovaujantis šios Sutarties nuostatomis. </w:t>
      </w:r>
    </w:p>
    <w:p w14:paraId="0B9BD2E3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szCs w:val="24"/>
        </w:rPr>
      </w:pPr>
      <w:r w:rsidRPr="009A0F5D">
        <w:rPr>
          <w:szCs w:val="24"/>
        </w:rPr>
        <w:t>Prašome pakoreguoti Sutarties projektą (7.1.9 punktą) pagal Techninės specifikacijos 6.1 punktą - terminą pakeisti į 30 (trisdešimt) darbo dienų.</w:t>
      </w:r>
    </w:p>
    <w:p w14:paraId="73F610D9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szCs w:val="24"/>
        </w:rPr>
      </w:pPr>
    </w:p>
    <w:p w14:paraId="41F1527D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b/>
          <w:bCs/>
          <w:i/>
          <w:iCs/>
          <w:szCs w:val="24"/>
          <w:u w:val="single"/>
        </w:rPr>
      </w:pPr>
      <w:r w:rsidRPr="009A0F5D">
        <w:rPr>
          <w:b/>
          <w:bCs/>
          <w:i/>
          <w:iCs/>
          <w:szCs w:val="24"/>
          <w:u w:val="single"/>
        </w:rPr>
        <w:t>Komisijos atsakymas:</w:t>
      </w:r>
    </w:p>
    <w:p w14:paraId="61F65069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b/>
          <w:bCs/>
          <w:i/>
          <w:iCs/>
          <w:szCs w:val="24"/>
          <w:u w:val="single"/>
        </w:rPr>
      </w:pPr>
    </w:p>
    <w:p w14:paraId="4177C587" w14:textId="77777777" w:rsidR="006A32A1" w:rsidRPr="00F728B1" w:rsidRDefault="006A32A1" w:rsidP="006A32A1">
      <w:pPr>
        <w:shd w:val="clear" w:color="auto" w:fill="FFFFFF"/>
        <w:spacing w:after="160" w:line="224" w:lineRule="atLeast"/>
        <w:ind w:firstLine="567"/>
        <w:rPr>
          <w:rFonts w:eastAsia="Times New Roman"/>
          <w:color w:val="222222"/>
          <w:szCs w:val="24"/>
          <w:lang w:eastAsia="lt-LT"/>
        </w:rPr>
      </w:pPr>
      <w:r w:rsidRPr="00F728B1">
        <w:rPr>
          <w:rFonts w:eastAsia="Times New Roman"/>
          <w:color w:val="222222"/>
          <w:szCs w:val="24"/>
          <w:lang w:eastAsia="lt-LT"/>
        </w:rPr>
        <w:t>Pirkimo dokumentų Techninės specifikacijos 6.1 punktas ir Sutarties projekto 7.1.9 punktas nėra vienas kitam prieštaraujantys – jie reguliuoja skirtingas situacijas ir vienas kitą papildo.</w:t>
      </w:r>
    </w:p>
    <w:p w14:paraId="2AE1AFC6" w14:textId="77777777" w:rsidR="006A32A1" w:rsidRPr="00F728B1" w:rsidRDefault="006A32A1" w:rsidP="006A32A1">
      <w:pPr>
        <w:shd w:val="clear" w:color="auto" w:fill="FFFFFF"/>
        <w:spacing w:after="160" w:line="224" w:lineRule="atLeast"/>
        <w:ind w:firstLine="567"/>
        <w:rPr>
          <w:rFonts w:eastAsia="Times New Roman"/>
          <w:color w:val="222222"/>
          <w:szCs w:val="24"/>
          <w:lang w:eastAsia="lt-LT"/>
        </w:rPr>
      </w:pPr>
      <w:r w:rsidRPr="00F728B1">
        <w:rPr>
          <w:rFonts w:eastAsia="Times New Roman"/>
          <w:color w:val="222222"/>
          <w:szCs w:val="24"/>
          <w:lang w:eastAsia="lt-LT"/>
        </w:rPr>
        <w:t>Sutarties 7.1.9 punktas taikomas prekės priėmimo metu, kai neatitikimai ar nekokybiškumas nustatomi iš karto, priėmimo–perdavimo akte aiškiai fiksuojami, o tokios prekės nedelsiant grąžinamos pardavėjui. Tokiu atveju procedūra: pardavėjas privalo pakeisti prekes per protingą, bet ne ilgesnį kaip 3 darbo dienų terminą. Ši nuostata užtikrina operatyvų reagavimą.</w:t>
      </w:r>
    </w:p>
    <w:p w14:paraId="2F210FB4" w14:textId="77777777" w:rsidR="006A32A1" w:rsidRPr="00F728B1" w:rsidRDefault="006A32A1" w:rsidP="006A32A1">
      <w:pPr>
        <w:shd w:val="clear" w:color="auto" w:fill="FFFFFF"/>
        <w:spacing w:after="160" w:line="224" w:lineRule="atLeast"/>
        <w:ind w:firstLine="567"/>
        <w:rPr>
          <w:rFonts w:eastAsia="Times New Roman"/>
          <w:color w:val="222222"/>
          <w:szCs w:val="24"/>
          <w:lang w:eastAsia="lt-LT"/>
        </w:rPr>
      </w:pPr>
      <w:r w:rsidRPr="00F728B1">
        <w:rPr>
          <w:rFonts w:eastAsia="Times New Roman"/>
          <w:color w:val="222222"/>
          <w:szCs w:val="24"/>
          <w:lang w:eastAsia="lt-LT"/>
        </w:rPr>
        <w:t xml:space="preserve">Techninės specifikacijos 6.1 punktas taikomas plačiau – jis nustato atvejį, kai tiekėjas pateikia neatitinkantį ar </w:t>
      </w:r>
      <w:proofErr w:type="spellStart"/>
      <w:r w:rsidRPr="00F728B1">
        <w:rPr>
          <w:rFonts w:eastAsia="Times New Roman"/>
          <w:color w:val="222222"/>
          <w:szCs w:val="24"/>
          <w:lang w:eastAsia="lt-LT"/>
        </w:rPr>
        <w:t>defektuotą</w:t>
      </w:r>
      <w:proofErr w:type="spellEnd"/>
      <w:r w:rsidRPr="00F728B1">
        <w:rPr>
          <w:rFonts w:eastAsia="Times New Roman"/>
          <w:color w:val="222222"/>
          <w:szCs w:val="24"/>
          <w:lang w:eastAsia="lt-LT"/>
        </w:rPr>
        <w:t xml:space="preserve"> produktą, įskaitant tuos atvejus, kai defektai paaiškėja jau po priėmimo (pvz., paslėpti trūkumai, veikimo sutrikimai, išryškėję naudojimo metu). Šiuo atveju pirkėjas per 20 darbo dienų nuo defekto nustatymo turi pranešti tiekėjui, o tiekėjas per 30 darbo dienų nuo pranešimo privalo produktą pakeisti.</w:t>
      </w:r>
    </w:p>
    <w:p w14:paraId="22643EE4" w14:textId="77777777" w:rsidR="006A32A1" w:rsidRPr="00F728B1" w:rsidRDefault="006A32A1" w:rsidP="006A32A1">
      <w:pPr>
        <w:shd w:val="clear" w:color="auto" w:fill="FFFFFF"/>
        <w:spacing w:after="160" w:line="224" w:lineRule="atLeast"/>
        <w:ind w:firstLine="567"/>
        <w:rPr>
          <w:rFonts w:eastAsia="Times New Roman"/>
          <w:color w:val="222222"/>
          <w:szCs w:val="24"/>
          <w:lang w:eastAsia="lt-LT"/>
        </w:rPr>
      </w:pPr>
      <w:r w:rsidRPr="00F728B1">
        <w:rPr>
          <w:rFonts w:eastAsia="Times New Roman"/>
          <w:color w:val="222222"/>
          <w:szCs w:val="24"/>
          <w:lang w:eastAsia="lt-LT"/>
        </w:rPr>
        <w:t>Apibendrinus, 7.1.9 punktas yra speciali norma, reglamentuojanti akivaizdžių trūkumų nustatymą ir šalinimą priėmimo momentu, o 6.1 punktas –  trūkumai paaiškėja po priėmimo. </w:t>
      </w:r>
    </w:p>
    <w:p w14:paraId="7ACD63C7" w14:textId="77777777" w:rsidR="006A32A1" w:rsidRPr="00F728B1" w:rsidRDefault="006A32A1" w:rsidP="006A32A1">
      <w:pPr>
        <w:shd w:val="clear" w:color="auto" w:fill="FFFFFF"/>
        <w:spacing w:after="160" w:line="224" w:lineRule="atLeast"/>
        <w:ind w:firstLine="567"/>
        <w:rPr>
          <w:rFonts w:eastAsia="Times New Roman"/>
          <w:color w:val="222222"/>
          <w:szCs w:val="24"/>
          <w:lang w:eastAsia="lt-LT"/>
        </w:rPr>
      </w:pPr>
      <w:r w:rsidRPr="00F728B1">
        <w:rPr>
          <w:rFonts w:eastAsia="Times New Roman"/>
          <w:color w:val="222222"/>
          <w:szCs w:val="24"/>
          <w:lang w:eastAsia="lt-LT"/>
        </w:rPr>
        <w:t>Sistemiškai aiškinant pirkimo sąlygas ir sutartį, šios nuostatos sudaro vientisą defektų valdymo mechanizmą: pirma – kaip elgtis priimant prekes, antra – kaip elgtis tada, kai jau priimta prekė vėliau pasirodo esanti su defektais. Atitinkamai, informuojame, kad nėra pagrindo keisti sutarties 7.1.9 punkto.</w:t>
      </w:r>
    </w:p>
    <w:p w14:paraId="3479B6EA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szCs w:val="24"/>
          <w:lang w:eastAsia="lt-LT"/>
        </w:rPr>
      </w:pPr>
    </w:p>
    <w:p w14:paraId="3C6AFEF5" w14:textId="77777777" w:rsidR="006A32A1" w:rsidRPr="009A0F5D" w:rsidRDefault="006A32A1" w:rsidP="006A32A1">
      <w:pPr>
        <w:tabs>
          <w:tab w:val="right" w:leader="underscore" w:pos="8505"/>
        </w:tabs>
        <w:spacing w:line="240" w:lineRule="auto"/>
        <w:ind w:firstLine="567"/>
        <w:rPr>
          <w:szCs w:val="24"/>
        </w:rPr>
      </w:pPr>
      <w:r w:rsidRPr="009A0F5D">
        <w:rPr>
          <w:szCs w:val="24"/>
        </w:rPr>
        <w:t xml:space="preserve">Be to, atsižvelgiant į tai, kad paaiškinimai bus pateikiami vėliau kaip likus 1 darbo dienai iki pasiūlymų pateikimo dienos, vadovaujantis Pirkimo Bendrųjų sąlygų 10.3. punktu </w:t>
      </w:r>
      <w:r w:rsidRPr="009A0F5D">
        <w:rPr>
          <w:i/>
          <w:iCs/>
          <w:szCs w:val="24"/>
        </w:rPr>
        <w:t xml:space="preserve">(„10.3. Atsakydamas į kiekvieną Tiekėjo CVP IS priemonėmis pateiktą prašymą paaiškinti Pirkimo sąlygas, jeigu jis buvo pateiktas nepasibaigus šių Pirkimo sąlygų 10.1 punkte nurodytam terminui, arba </w:t>
      </w:r>
      <w:r w:rsidRPr="009A0F5D">
        <w:rPr>
          <w:i/>
          <w:iCs/>
          <w:szCs w:val="24"/>
        </w:rPr>
        <w:lastRenderedPageBreak/>
        <w:t xml:space="preserve">aiškindamas, tikslindamas Pirkimo sąlygas savo iniciatyva, Perkantysis subjektas turi paaiškinimus, patikslinimus paskelbti CVP IS priemonėmis ne vėliau kaip likus </w:t>
      </w:r>
      <w:r w:rsidRPr="009A0F5D">
        <w:rPr>
          <w:b/>
          <w:i/>
          <w:iCs/>
          <w:szCs w:val="24"/>
        </w:rPr>
        <w:t>1 darbo dienoms</w:t>
      </w:r>
      <w:r w:rsidRPr="009A0F5D">
        <w:rPr>
          <w:i/>
          <w:iCs/>
          <w:szCs w:val="24"/>
        </w:rPr>
        <w:t xml:space="preserve"> iki Pasiūlymų pateikimo termino pabaigos. Į laiku gautą Tiekėjo prašymą paaiškinti Pirkimo sąlygas Perkantysis subjektas atsako ne vėliau kaip per </w:t>
      </w:r>
      <w:r w:rsidRPr="009A0F5D">
        <w:rPr>
          <w:b/>
          <w:i/>
          <w:iCs/>
          <w:szCs w:val="24"/>
        </w:rPr>
        <w:t>2 darbo dienas</w:t>
      </w:r>
      <w:r w:rsidRPr="009A0F5D">
        <w:rPr>
          <w:i/>
          <w:iCs/>
          <w:szCs w:val="24"/>
        </w:rPr>
        <w:t xml:space="preserve"> nuo jo gavimo dienos.</w:t>
      </w:r>
      <w:r w:rsidRPr="009A0F5D">
        <w:rPr>
          <w:szCs w:val="24"/>
        </w:rPr>
        <w:t>), tikslinga pasiūlymų pateikimo terminą nukelti iš 2025 m. gruodžio 8 d. 10 val. 00 min. į 2025 m. gruodžio 9 d. 10 val. 00 min., atitinkamai patikslinant Pirkimo dokumentų specialiųjų sąlygų 1.3. ir 1.4. punktus išdėstant juos taip:</w:t>
      </w:r>
    </w:p>
    <w:p w14:paraId="6FC3CF93" w14:textId="77777777" w:rsidR="006A32A1" w:rsidRPr="009A0F5D" w:rsidRDefault="006A32A1" w:rsidP="006A32A1">
      <w:pPr>
        <w:overflowPunct w:val="0"/>
        <w:autoSpaceDE w:val="0"/>
        <w:autoSpaceDN w:val="0"/>
        <w:adjustRightInd w:val="0"/>
        <w:spacing w:line="240" w:lineRule="auto"/>
        <w:ind w:firstLine="567"/>
        <w:rPr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551"/>
      </w:tblGrid>
      <w:tr w:rsidR="006A32A1" w:rsidRPr="009A0F5D" w14:paraId="78F9AA05" w14:textId="77777777" w:rsidTr="00F07147">
        <w:tc>
          <w:tcPr>
            <w:tcW w:w="4077" w:type="dxa"/>
            <w:vAlign w:val="center"/>
          </w:tcPr>
          <w:p w14:paraId="45FF1AAF" w14:textId="77777777" w:rsidR="006A32A1" w:rsidRPr="009A0F5D" w:rsidRDefault="006A32A1" w:rsidP="00F07147">
            <w:pPr>
              <w:spacing w:line="240" w:lineRule="auto"/>
              <w:jc w:val="left"/>
              <w:rPr>
                <w:i/>
                <w:szCs w:val="24"/>
              </w:rPr>
            </w:pPr>
            <w:r w:rsidRPr="009A0F5D">
              <w:rPr>
                <w:i/>
                <w:szCs w:val="24"/>
              </w:rPr>
              <w:t>1.3. Pirminių pasiūlymų pateikimo terminas</w:t>
            </w:r>
          </w:p>
        </w:tc>
        <w:tc>
          <w:tcPr>
            <w:tcW w:w="5551" w:type="dxa"/>
            <w:vAlign w:val="center"/>
          </w:tcPr>
          <w:p w14:paraId="66AF9525" w14:textId="77777777" w:rsidR="006A32A1" w:rsidRPr="009A0F5D" w:rsidRDefault="006A32A1" w:rsidP="00F07147">
            <w:pPr>
              <w:spacing w:line="240" w:lineRule="auto"/>
              <w:jc w:val="left"/>
              <w:rPr>
                <w:i/>
                <w:szCs w:val="24"/>
              </w:rPr>
            </w:pPr>
            <w:r w:rsidRPr="009A0F5D">
              <w:rPr>
                <w:rStyle w:val="Stilius9"/>
                <w:i/>
                <w:szCs w:val="24"/>
              </w:rPr>
              <w:t xml:space="preserve">2025 m. gruodžio 9 d. 10 val. 00 min. </w:t>
            </w:r>
          </w:p>
        </w:tc>
      </w:tr>
      <w:tr w:rsidR="006A32A1" w:rsidRPr="009A0F5D" w14:paraId="56816B98" w14:textId="77777777" w:rsidTr="00F07147">
        <w:tc>
          <w:tcPr>
            <w:tcW w:w="4077" w:type="dxa"/>
            <w:vAlign w:val="center"/>
          </w:tcPr>
          <w:p w14:paraId="1CFC6C24" w14:textId="77777777" w:rsidR="006A32A1" w:rsidRPr="009A0F5D" w:rsidRDefault="006A32A1" w:rsidP="00F07147">
            <w:pPr>
              <w:spacing w:line="240" w:lineRule="auto"/>
              <w:jc w:val="left"/>
              <w:rPr>
                <w:i/>
                <w:szCs w:val="24"/>
              </w:rPr>
            </w:pPr>
            <w:r w:rsidRPr="009A0F5D">
              <w:rPr>
                <w:i/>
                <w:szCs w:val="24"/>
              </w:rPr>
              <w:t>1.4. Susipažinimo su Tiekėjų pirminiais pasiūlymais data</w:t>
            </w:r>
          </w:p>
        </w:tc>
        <w:tc>
          <w:tcPr>
            <w:tcW w:w="5551" w:type="dxa"/>
            <w:vAlign w:val="center"/>
          </w:tcPr>
          <w:p w14:paraId="1ACD7154" w14:textId="77777777" w:rsidR="006A32A1" w:rsidRPr="009A0F5D" w:rsidRDefault="006A32A1" w:rsidP="00F07147">
            <w:pPr>
              <w:spacing w:line="240" w:lineRule="auto"/>
              <w:jc w:val="left"/>
              <w:rPr>
                <w:b/>
                <w:i/>
                <w:szCs w:val="24"/>
              </w:rPr>
            </w:pPr>
            <w:r w:rsidRPr="009A0F5D">
              <w:rPr>
                <w:rStyle w:val="Palatinobold"/>
                <w:i/>
                <w:szCs w:val="24"/>
              </w:rPr>
              <w:t>2025 m. gruodžio 9 d.</w:t>
            </w:r>
          </w:p>
        </w:tc>
      </w:tr>
    </w:tbl>
    <w:p w14:paraId="3E099C62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i/>
          <w:szCs w:val="24"/>
          <w:lang w:eastAsia="lt-LT"/>
        </w:rPr>
      </w:pPr>
    </w:p>
    <w:p w14:paraId="11C1203D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ind w:firstLine="567"/>
        <w:rPr>
          <w:rFonts w:eastAsia="Times New Roman"/>
          <w:i/>
          <w:szCs w:val="24"/>
          <w:lang w:eastAsia="lt-LT"/>
        </w:rPr>
      </w:pPr>
      <w:r w:rsidRPr="009A0F5D">
        <w:rPr>
          <w:rFonts w:eastAsia="Times New Roman"/>
          <w:i/>
          <w:szCs w:val="24"/>
          <w:lang w:eastAsia="lt-LT"/>
        </w:rPr>
        <w:t>PRIDEDAMA:</w:t>
      </w:r>
    </w:p>
    <w:p w14:paraId="38FE8653" w14:textId="77777777" w:rsidR="006A32A1" w:rsidRPr="009A0F5D" w:rsidRDefault="006A32A1" w:rsidP="006A32A1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rPr>
          <w:i/>
          <w:iCs/>
          <w:szCs w:val="24"/>
          <w:lang w:eastAsia="lt-LT"/>
        </w:rPr>
      </w:pPr>
      <w:r w:rsidRPr="009A0F5D">
        <w:rPr>
          <w:i/>
          <w:iCs/>
          <w:szCs w:val="24"/>
        </w:rPr>
        <w:t>Pirkimo dokumentų Specialiosios sąlygos (aktuali redakcija)</w:t>
      </w:r>
    </w:p>
    <w:p w14:paraId="1773E08B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rPr>
          <w:i/>
          <w:iCs/>
          <w:szCs w:val="24"/>
          <w:lang w:eastAsia="lt-LT"/>
        </w:rPr>
      </w:pPr>
    </w:p>
    <w:p w14:paraId="5379E56C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rPr>
          <w:i/>
          <w:iCs/>
          <w:szCs w:val="24"/>
          <w:lang w:eastAsia="lt-LT"/>
        </w:rPr>
      </w:pPr>
    </w:p>
    <w:p w14:paraId="06635188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rPr>
          <w:i/>
          <w:iCs/>
          <w:szCs w:val="24"/>
          <w:lang w:eastAsia="lt-LT"/>
        </w:rPr>
      </w:pPr>
    </w:p>
    <w:p w14:paraId="2B3B7419" w14:textId="77777777" w:rsidR="006A32A1" w:rsidRPr="009A0F5D" w:rsidRDefault="006A32A1" w:rsidP="006A32A1">
      <w:pPr>
        <w:tabs>
          <w:tab w:val="left" w:pos="851"/>
          <w:tab w:val="left" w:pos="993"/>
          <w:tab w:val="left" w:pos="1134"/>
          <w:tab w:val="left" w:pos="1276"/>
        </w:tabs>
        <w:spacing w:line="240" w:lineRule="auto"/>
        <w:jc w:val="right"/>
        <w:rPr>
          <w:i/>
          <w:iCs/>
          <w:szCs w:val="24"/>
          <w:lang w:eastAsia="lt-LT"/>
        </w:rPr>
      </w:pPr>
      <w:r w:rsidRPr="009A0F5D">
        <w:rPr>
          <w:i/>
          <w:iCs/>
          <w:szCs w:val="24"/>
          <w:lang w:eastAsia="lt-LT"/>
        </w:rPr>
        <w:t>Pirkimų komisija</w:t>
      </w:r>
    </w:p>
    <w:p w14:paraId="777A09E7" w14:textId="77777777" w:rsidR="004D09E0" w:rsidRPr="004D09E0" w:rsidRDefault="004D09E0" w:rsidP="004D09E0"/>
    <w:sectPr w:rsidR="004D09E0" w:rsidRPr="004D09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5C63"/>
    <w:multiLevelType w:val="hybridMultilevel"/>
    <w:tmpl w:val="743819DA"/>
    <w:lvl w:ilvl="0" w:tplc="56542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794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7"/>
    <w:rsid w:val="00011E57"/>
    <w:rsid w:val="00286476"/>
    <w:rsid w:val="003D4679"/>
    <w:rsid w:val="004D09E0"/>
    <w:rsid w:val="00533DE0"/>
    <w:rsid w:val="006A32A1"/>
    <w:rsid w:val="007E5533"/>
    <w:rsid w:val="00AC2D87"/>
    <w:rsid w:val="00D15137"/>
    <w:rsid w:val="00DB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CEBD"/>
  <w15:chartTrackingRefBased/>
  <w15:docId w15:val="{F3B5A00C-7194-4710-AC40-E09C601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2A1"/>
    <w:pPr>
      <w:spacing w:after="0" w:line="36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D87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1,Bullet EY"/>
    <w:basedOn w:val="Normal"/>
    <w:link w:val="ListParagraphChar"/>
    <w:uiPriority w:val="34"/>
    <w:qFormat/>
    <w:rsid w:val="00AC2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D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D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1 Char,Bullet EY Char"/>
    <w:basedOn w:val="DefaultParagraphFont"/>
    <w:link w:val="ListParagraph"/>
    <w:uiPriority w:val="34"/>
    <w:locked/>
    <w:rsid w:val="006A32A1"/>
  </w:style>
  <w:style w:type="character" w:customStyle="1" w:styleId="Stilius9">
    <w:name w:val="Stilius9"/>
    <w:basedOn w:val="DefaultParagraphFont"/>
    <w:uiPriority w:val="1"/>
    <w:rsid w:val="006A32A1"/>
    <w:rPr>
      <w:rFonts w:ascii="Times New Roman" w:hAnsi="Times New Roman"/>
      <w:b/>
      <w:sz w:val="22"/>
    </w:rPr>
  </w:style>
  <w:style w:type="character" w:customStyle="1" w:styleId="Palatinobold">
    <w:name w:val="Palatino bold"/>
    <w:basedOn w:val="DefaultParagraphFont"/>
    <w:uiPriority w:val="1"/>
    <w:qFormat/>
    <w:rsid w:val="006A32A1"/>
    <w:rPr>
      <w:rFonts w:ascii="Palatino Linotype" w:hAnsi="Palatino Linotype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707FFBB5524E878DBE0CB0C55B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C357-BFAC-4305-ABFD-62F438CE2448}"/>
      </w:docPartPr>
      <w:docPartBody>
        <w:p w:rsidR="00430FE2" w:rsidRDefault="00430FE2" w:rsidP="00430FE2">
          <w:pPr>
            <w:pStyle w:val="3A707FFBB5524E878DBE0CB0C55BA73E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E17CF265202A4930AC31B44AB0773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70E4-BAAE-4DF7-9AF0-F9160F98358D}"/>
      </w:docPartPr>
      <w:docPartBody>
        <w:p w:rsidR="00430FE2" w:rsidRDefault="00430FE2" w:rsidP="00430FE2">
          <w:pPr>
            <w:pStyle w:val="E17CF265202A4930AC31B44AB077359D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  <w:docPart>
      <w:docPartPr>
        <w:name w:val="734075189E194925B422067C46350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ED12-EC27-452D-A680-C9502882E8EB}"/>
      </w:docPartPr>
      <w:docPartBody>
        <w:p w:rsidR="00430FE2" w:rsidRDefault="00430FE2" w:rsidP="00430FE2">
          <w:pPr>
            <w:pStyle w:val="734075189E194925B422067C463501C7"/>
          </w:pPr>
          <w:r w:rsidRPr="005659AB">
            <w:rPr>
              <w:rStyle w:val="PlaceholderText"/>
              <w:rFonts w:ascii="Palatino Linotype" w:hAnsi="Palatino Linotype" w:cs="Times New Roman"/>
              <w:color w:val="FF0000"/>
            </w:rPr>
            <w:t>Nurodykite Pirkimo objektą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2"/>
    <w:rsid w:val="00430FE2"/>
    <w:rsid w:val="0053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30FE2"/>
    <w:rPr>
      <w:color w:val="808080"/>
    </w:rPr>
  </w:style>
  <w:style w:type="paragraph" w:customStyle="1" w:styleId="3A707FFBB5524E878DBE0CB0C55BA73E">
    <w:name w:val="3A707FFBB5524E878DBE0CB0C55BA73E"/>
    <w:rsid w:val="00430FE2"/>
  </w:style>
  <w:style w:type="paragraph" w:customStyle="1" w:styleId="E17CF265202A4930AC31B44AB077359D">
    <w:name w:val="E17CF265202A4930AC31B44AB077359D"/>
    <w:rsid w:val="00430FE2"/>
  </w:style>
  <w:style w:type="paragraph" w:customStyle="1" w:styleId="734075189E194925B422067C463501C7">
    <w:name w:val="734075189E194925B422067C463501C7"/>
    <w:rsid w:val="00430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2676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VIRVIČIENĖ</dc:creator>
  <cp:keywords/>
  <dc:description/>
  <cp:lastModifiedBy>Karolina VIRVIČIENĖ</cp:lastModifiedBy>
  <cp:revision>3</cp:revision>
  <dcterms:created xsi:type="dcterms:W3CDTF">2025-11-26T12:53:00Z</dcterms:created>
  <dcterms:modified xsi:type="dcterms:W3CDTF">2025-12-05T13:29:00Z</dcterms:modified>
</cp:coreProperties>
</file>