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A54B" w14:textId="77777777" w:rsidR="003A14CF" w:rsidRDefault="003A14CF">
      <w:pPr>
        <w:jc w:val="center"/>
        <w:rPr>
          <w:rFonts w:ascii="Times New Roman" w:hAnsi="Times New Roman"/>
          <w:sz w:val="24"/>
          <w:szCs w:val="24"/>
        </w:rPr>
      </w:pPr>
    </w:p>
    <w:p w14:paraId="13790E4F" w14:textId="77777777" w:rsidR="003A14CF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TECHNINĖ SPECIFIKACIJA</w:t>
      </w:r>
    </w:p>
    <w:p w14:paraId="26269AEF" w14:textId="77777777" w:rsidR="003A14CF" w:rsidRDefault="003A14C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127913" w14:textId="77777777" w:rsidR="003A14CF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Panoraminis rentgeno aparatas, 1 vnt.</w:t>
      </w:r>
    </w:p>
    <w:p w14:paraId="09BB94DD" w14:textId="77777777" w:rsidR="003A14CF" w:rsidRDefault="003A14C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4A9648" w14:textId="77777777" w:rsidR="003A14CF" w:rsidRDefault="00000000">
      <w:pPr>
        <w:ind w:firstLine="567"/>
        <w:jc w:val="both"/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  <w:t xml:space="preserve">Tiekėjo pareiga yra įrodyti siūlomų medžiagų ar standartų lygiavertiškumą (jei siūlomas lygiavertis sprendimas tam, ką nurodė perkančioji organizacija). Lygiavertiškumą įrodantys dokumentai turi būti pateikti kartu su pasiūlymu. </w:t>
      </w:r>
    </w:p>
    <w:p w14:paraId="54744A9B" w14:textId="77777777" w:rsidR="003A14CF" w:rsidRDefault="00000000">
      <w:pPr>
        <w:numPr>
          <w:ilvl w:val="0"/>
          <w:numId w:val="5"/>
        </w:numPr>
        <w:tabs>
          <w:tab w:val="left" w:pos="142"/>
        </w:tabs>
        <w:ind w:firstLine="567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Visos prekės turi būti naujos. Kartu su Preke Tiekėjas Pirkėjui pateikia:</w:t>
      </w:r>
    </w:p>
    <w:p w14:paraId="0C5EFF4B" w14:textId="77777777" w:rsidR="003A14CF" w:rsidRDefault="00000000">
      <w:pPr>
        <w:pStyle w:val="ListParagraph"/>
        <w:numPr>
          <w:ilvl w:val="0"/>
          <w:numId w:val="2"/>
        </w:numPr>
        <w:tabs>
          <w:tab w:val="left" w:pos="142"/>
        </w:tabs>
        <w:ind w:left="0" w:firstLine="985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prekės priežiūros ir naudojimosi instrukcijas lietuvių kalba;</w:t>
      </w:r>
    </w:p>
    <w:p w14:paraId="337491B3" w14:textId="77777777" w:rsidR="003A14CF" w:rsidRDefault="00000000">
      <w:pPr>
        <w:pStyle w:val="ListParagraph"/>
        <w:numPr>
          <w:ilvl w:val="0"/>
          <w:numId w:val="2"/>
        </w:numPr>
        <w:tabs>
          <w:tab w:val="left" w:pos="142"/>
        </w:tabs>
        <w:ind w:left="0" w:firstLine="985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t</w:t>
      </w:r>
      <w:r>
        <w:rPr>
          <w:rFonts w:ascii="Times New Roman" w:hAnsi="Times New Roman"/>
          <w:sz w:val="24"/>
          <w:szCs w:val="24"/>
        </w:rPr>
        <w:t>echninę bylą (</w:t>
      </w:r>
      <w:r>
        <w:rPr>
          <w:rFonts w:ascii="Times New Roman" w:hAnsi="Times New Roman"/>
          <w:color w:val="000000"/>
          <w:sz w:val="24"/>
          <w:szCs w:val="24"/>
        </w:rPr>
        <w:t>medicinos prietaiso pasą);</w:t>
      </w:r>
    </w:p>
    <w:p w14:paraId="1A065560" w14:textId="77777777" w:rsidR="003A14CF" w:rsidRDefault="00000000">
      <w:pPr>
        <w:pStyle w:val="ListParagraph"/>
        <w:numPr>
          <w:ilvl w:val="0"/>
          <w:numId w:val="2"/>
        </w:numPr>
        <w:tabs>
          <w:tab w:val="left" w:pos="142"/>
        </w:tabs>
        <w:ind w:left="0" w:firstLine="985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000000"/>
          <w:sz w:val="24"/>
          <w:szCs w:val="24"/>
        </w:rPr>
        <w:t>dokumentus įrodančius</w:t>
      </w:r>
      <w:r>
        <w:rPr>
          <w:rFonts w:ascii="Times New Roman" w:hAnsi="Times New Roman"/>
          <w:sz w:val="24"/>
          <w:szCs w:val="24"/>
        </w:rPr>
        <w:t xml:space="preserve"> atitikimą Lietuvos higienos normoje HN 73:2018 (arba lygiavertis) nurodytiems reikalavimams medicinos radiologijos įrangai ir dokumentacijai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05F316" w14:textId="77777777" w:rsidR="003A14CF" w:rsidRDefault="00000000">
      <w:pPr>
        <w:pStyle w:val="ListParagraph"/>
        <w:numPr>
          <w:ilvl w:val="0"/>
          <w:numId w:val="2"/>
        </w:numPr>
        <w:tabs>
          <w:tab w:val="left" w:pos="142"/>
        </w:tabs>
        <w:ind w:left="0" w:firstLine="985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>dokumentus įrodančius atitikimą Lietuvos higienos normoje HN 31:2021  (arba lygiavertį) numatytiems radiacinės saugos reikalavimams medicininėje radio diagnostikoje;</w:t>
      </w:r>
    </w:p>
    <w:p w14:paraId="7F4B30BC" w14:textId="77777777" w:rsidR="003A14CF" w:rsidRDefault="00000000">
      <w:pPr>
        <w:pStyle w:val="ListParagraph"/>
        <w:numPr>
          <w:ilvl w:val="0"/>
          <w:numId w:val="2"/>
        </w:numPr>
        <w:tabs>
          <w:tab w:val="left" w:pos="142"/>
        </w:tabs>
        <w:ind w:left="0" w:firstLine="985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>rentgeno aparato kokybės kontrolės priėmimo bandymus pagal LR teisės aktus (HN 78:2009) (arba lygiavertį);</w:t>
      </w:r>
    </w:p>
    <w:p w14:paraId="0299A0C7" w14:textId="77777777" w:rsidR="003A14CF" w:rsidRDefault="00000000">
      <w:pPr>
        <w:pStyle w:val="ListParagraph"/>
        <w:numPr>
          <w:ilvl w:val="0"/>
          <w:numId w:val="2"/>
        </w:numPr>
        <w:tabs>
          <w:tab w:val="left" w:pos="142"/>
        </w:tabs>
        <w:ind w:left="0" w:firstLine="985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 xml:space="preserve"> bandymų protokolus atlikus lygiavertės dozės galios matavimus ir kitas reikalingas procedūras pagal RSC direktoriaus 2007. 11.16d. įsakymą Nr. 63;</w:t>
      </w:r>
    </w:p>
    <w:p w14:paraId="5AB992BC" w14:textId="77777777" w:rsidR="003A14CF" w:rsidRDefault="00000000">
      <w:pPr>
        <w:pStyle w:val="ListParagraph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dokumentus įrodančius atitiktį radiacinės saugos paruošimo, ekspertizės ir paruošimo eksploatacijai pagal HN 32:2021 (arba lygiavertį);</w:t>
      </w:r>
    </w:p>
    <w:p w14:paraId="1C3F2918" w14:textId="77777777" w:rsidR="003A14CF" w:rsidRDefault="00000000">
      <w:pPr>
        <w:pStyle w:val="ListParagraph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>Neribotas licencijų skaičius panoraminių nuotraukų peržiūrai.</w:t>
      </w:r>
    </w:p>
    <w:p w14:paraId="3E182C53" w14:textId="77777777" w:rsidR="003A14CF" w:rsidRDefault="003A14CF">
      <w:pPr>
        <w:pStyle w:val="ListParagraph"/>
        <w:tabs>
          <w:tab w:val="left" w:pos="142"/>
        </w:tabs>
        <w:ind w:left="1345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069453E" w14:textId="77777777" w:rsidR="003A14CF" w:rsidRDefault="00000000">
      <w:pPr>
        <w:numPr>
          <w:ilvl w:val="0"/>
          <w:numId w:val="6"/>
        </w:numPr>
        <w:ind w:firstLine="567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Prekėms suteikiama privaloma 24 mėnesių garantija.</w:t>
      </w:r>
    </w:p>
    <w:p w14:paraId="2192343E" w14:textId="77777777" w:rsidR="003A14CF" w:rsidRDefault="00000000">
      <w:pPr>
        <w:numPr>
          <w:ilvl w:val="0"/>
          <w:numId w:val="7"/>
        </w:numPr>
        <w:ind w:firstLine="567"/>
        <w:jc w:val="both"/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/>
          <w:b/>
          <w:iCs/>
          <w:kern w:val="2"/>
          <w:sz w:val="24"/>
          <w:szCs w:val="24"/>
          <w:u w:val="single"/>
          <w14:ligatures w14:val="standardContextual"/>
        </w:rPr>
        <w:t xml:space="preserve">Papildoma Prietaiso ar jo atskirų dalių garantinio termino trukmė, viršijanti minimalų reikalaujamą 24 mėnesių garantinį terminą, </w:t>
      </w:r>
      <w:r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  <w:t xml:space="preserve">         </w:t>
      </w:r>
      <w:r>
        <w:rPr>
          <w:rFonts w:ascii="Times New Roman" w:hAnsi="Times New Roman"/>
          <w:i/>
          <w:iCs/>
          <w:color w:val="FF0000"/>
          <w:kern w:val="2"/>
          <w:sz w:val="24"/>
          <w:szCs w:val="24"/>
          <w:u w:val="single"/>
          <w14:ligatures w14:val="standardContextual"/>
        </w:rPr>
        <w:t>(įrašyti tiekėjo pasiūlyme nurodytą papildomą garantinį terminą</w:t>
      </w:r>
      <w:r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  <w:t>). Papildomo garantinio termino laikotarpiu remonto išlaidas turi padengti tiekėjas.</w:t>
      </w:r>
    </w:p>
    <w:p w14:paraId="00EAE467" w14:textId="77777777" w:rsidR="003A14CF" w:rsidRDefault="00000000">
      <w:pPr>
        <w:numPr>
          <w:ilvl w:val="0"/>
          <w:numId w:val="8"/>
        </w:numPr>
        <w:ind w:firstLine="567"/>
        <w:contextualSpacing/>
        <w:jc w:val="both"/>
        <w:rPr>
          <w:rFonts w:ascii="Times New Roman" w:eastAsia="Arial" w:hAnsi="Times New Roman"/>
          <w:color w:val="000000"/>
          <w:kern w:val="2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Visos Prekės turės būti pristatytos, sumontuotos ir vartotojai apmokyti dirbti su Prekėmis:</w:t>
      </w:r>
    </w:p>
    <w:p w14:paraId="4E48E788" w14:textId="77777777" w:rsidR="003A14CF" w:rsidRDefault="00000000">
      <w:pPr>
        <w:pStyle w:val="ListParagraph"/>
        <w:numPr>
          <w:ilvl w:val="0"/>
          <w:numId w:val="9"/>
        </w:numPr>
        <w:ind w:left="720" w:firstLine="567"/>
        <w:jc w:val="both"/>
        <w:rPr>
          <w:rFonts w:ascii="Times New Roman" w:eastAsia="Arial" w:hAnsi="Times New Roman"/>
          <w:color w:val="000000"/>
          <w:kern w:val="2"/>
          <w:sz w:val="24"/>
          <w:szCs w:val="24"/>
          <w:u w:val="single"/>
          <w14:ligatures w14:val="standardContextual"/>
        </w:rPr>
      </w:pPr>
      <w:bookmarkStart w:id="0" w:name="_Hlk193712209"/>
      <w:r>
        <w:rPr>
          <w:rFonts w:ascii="Times New Roman" w:hAnsi="Times New Roman"/>
          <w:sz w:val="24"/>
          <w:szCs w:val="24"/>
        </w:rPr>
        <w:t>Ne mažiau nei 4 (keturi) specialistai turi būti apmokyti dirbti su Preke. Turi vykti kontaktiniai specialistų mokymai, kurie turi būti įforminti mokymo protokolu.</w:t>
      </w:r>
      <w:bookmarkEnd w:id="0"/>
    </w:p>
    <w:p w14:paraId="5DE73B60" w14:textId="77777777" w:rsidR="003A14CF" w:rsidRDefault="00000000">
      <w:pPr>
        <w:numPr>
          <w:ilvl w:val="0"/>
          <w:numId w:val="10"/>
        </w:numPr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Tiekėjas, pildydamas techninę specifikaciją privalo nurodyti </w:t>
      </w:r>
      <w:r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tikslius siūlomų prekių parametrus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</w:t>
      </w:r>
      <w:r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matmenis, medžiagas, aprašymus ir t.t.,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 kad perkančioji organizacija galėtų įsitikinti, jog tiekėjo siūlomos prekės atitinka </w:t>
      </w:r>
      <w:r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visus 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prekėms keliamus reikalavimus. Pildant techninę specifikaciją </w:t>
      </w:r>
      <w:r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  <w:t>būtina nurodyti atitikimą būtiniems reikalavimams: tikslūs duomenys, kiekiai ir t.t. su nuoroda į pridėtą katalogą, techninius duomenų lapus, kitus lygiaverčius gamintojų dokumentus, įrodančius siūlomos prekės atitikimą techninės specifikacijos reikalavimams.</w:t>
      </w:r>
    </w:p>
    <w:p w14:paraId="0ADDB78E" w14:textId="77777777" w:rsidR="003A14CF" w:rsidRDefault="003A14C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40" w:type="dxa"/>
        <w:tblLayout w:type="fixed"/>
        <w:tblLook w:val="00A0" w:firstRow="1" w:lastRow="0" w:firstColumn="1" w:lastColumn="0" w:noHBand="0" w:noVBand="0"/>
      </w:tblPr>
      <w:tblGrid>
        <w:gridCol w:w="694"/>
        <w:gridCol w:w="2394"/>
        <w:gridCol w:w="2129"/>
        <w:gridCol w:w="1984"/>
        <w:gridCol w:w="2139"/>
      </w:tblGrid>
      <w:tr w:rsidR="003A14CF" w14:paraId="5B2B65B9" w14:textId="77777777">
        <w:trPr>
          <w:trHeight w:val="442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788B7" w14:textId="77777777" w:rsidR="003A14CF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4D548" w14:textId="77777777" w:rsidR="003A14CF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2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70E49" w14:textId="77777777" w:rsidR="003A14CF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Reikalaujama parametro reikšmė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10BEC46" w14:textId="77777777" w:rsidR="003A14CF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Atitikimas keliamiems parametrams ir parametrų reikšmėms (tikslias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parametrų reikšmes įrašo tiekėjas)</w:t>
            </w:r>
          </w:p>
        </w:tc>
        <w:tc>
          <w:tcPr>
            <w:tcW w:w="21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1740689" w14:textId="77777777" w:rsidR="003A14CF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Nuoroda į gamintojo internetinį puslapį,  pridedamą gamintojo dokumentą ir pan.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(nurodant informacijos vietą tinklapyje, dokumento puslapį, numerį ir pan.)</w:t>
            </w:r>
          </w:p>
        </w:tc>
      </w:tr>
      <w:tr w:rsidR="003A14CF" w14:paraId="742CC360" w14:textId="77777777">
        <w:trPr>
          <w:trHeight w:val="226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A4DA4" w14:textId="77777777" w:rsidR="003A14CF" w:rsidRDefault="0000000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lastRenderedPageBreak/>
              <w:t>1</w:t>
            </w:r>
          </w:p>
        </w:tc>
        <w:tc>
          <w:tcPr>
            <w:tcW w:w="2394" w:type="dxa"/>
            <w:tcBorders>
              <w:bottom w:val="single" w:sz="8" w:space="0" w:color="000000"/>
              <w:right w:val="single" w:sz="8" w:space="0" w:color="000000"/>
            </w:tcBorders>
          </w:tcPr>
          <w:p w14:paraId="79B14CF0" w14:textId="77777777" w:rsidR="003A14CF" w:rsidRDefault="0000000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21E19484" w14:textId="77777777" w:rsidR="003A14CF" w:rsidRDefault="0000000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660B5335" w14:textId="77777777" w:rsidR="003A14CF" w:rsidRDefault="0000000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B840E7D" w14:textId="77777777" w:rsidR="003A14CF" w:rsidRDefault="003A14C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3A14CF" w14:paraId="5004A2A2" w14:textId="77777777">
        <w:trPr>
          <w:trHeight w:val="226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501E47" w14:textId="77777777" w:rsidR="003A14CF" w:rsidRDefault="00000000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507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0A672EB" w14:textId="77777777" w:rsidR="003A14CF" w:rsidRDefault="0000000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lt-LT"/>
              </w:rPr>
              <w:t xml:space="preserve"> Panoraminis rentgenas (1 vnt):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C937537" w14:textId="77777777" w:rsidR="003A14CF" w:rsidRDefault="003A14CF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3A14CF" w14:paraId="260BD558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E01105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9C370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Gamintojas</w:t>
            </w:r>
          </w:p>
          <w:p w14:paraId="7ACB5243" w14:textId="77777777" w:rsidR="003A14CF" w:rsidRDefault="003A1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51FC57B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Nurodyti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EE7E451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12EA8BA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43A6E73C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04487E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DD41A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Modelis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49ECA79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Nurodyti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ACA8CC8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17877BD9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08060EE2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01B37F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D501302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Jonizuojančios spinduliuotės generatorius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63F627F0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Aukšto dažnio nuolatinės srovės arba lygiavertis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56717D2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F09DA3D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6CE6442D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75BAD5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E8D6934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Fokusavimo židinio taškas pagal IEC 60336/2005 (arba lygiavertį)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3209B20E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Ne didesnis nei 0,5 mm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39008579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640D4A3F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4A464E20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8D264C3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7074C5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Bendras filtravimas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673C5A91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ne mažiau 2mm Al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116B64F0" w14:textId="77777777" w:rsidR="003A14CF" w:rsidRDefault="003A14CF">
            <w:pPr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600C131E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0939EF5D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2FEE81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DD8C46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Anodinė įtampa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095B493A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ne daugiau kaip 70 kV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E14E9D9" w14:textId="77777777" w:rsidR="003A14CF" w:rsidRDefault="003A14CF">
            <w:pPr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35BF103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755F5CA9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EA06C26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61AB79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Maksimali anodinė srovė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2CFC073E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  <w:lang w:val="en-US"/>
              </w:rPr>
              <w:t>≤ 7,1 mA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BAE9789" w14:textId="77777777" w:rsidR="003A14CF" w:rsidRDefault="003A14CF">
            <w:pPr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3F83D95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7F0EC0F0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672AFEF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8D45D6F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Nominali įtampa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66113D98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Nuo 220 iki 240 VAC ± 1 %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3E74DAFE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240215E5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557AC6A0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0CB3B7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6576F7D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Automatinis stuburo kompensavimas kV ir mA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035CD991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Būtina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1C134A46" w14:textId="77777777" w:rsidR="003A14CF" w:rsidRDefault="003A1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2B15148E" w14:textId="77777777" w:rsidR="003A14CF" w:rsidRDefault="003A14CF">
            <w:pPr>
              <w:rPr>
                <w:rFonts w:ascii="Times New Roman" w:eastAsia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  <w:p w14:paraId="62C25D1B" w14:textId="77777777" w:rsidR="003A14CF" w:rsidRDefault="003A14CF">
            <w:pPr>
              <w:rPr>
                <w:rFonts w:ascii="Times New Roman" w:eastAsia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10E327E3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22BE97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F69838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Sensoriaus pikselio dydis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343A95BB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Ne didesnis nei 99 μm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68EE44D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2D92EBE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4241C271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7DE27D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66C9FF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Nuotraukos lauko aukštis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77602DC0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Ne mažesnis nei 152 mm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3FC8112A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947602E" w14:textId="77777777" w:rsidR="003A14CF" w:rsidRDefault="00000000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156082" w:themeColor="accent1"/>
                <w:sz w:val="24"/>
                <w:szCs w:val="24"/>
                <w:lang w:eastAsia="lt-LT"/>
              </w:rPr>
              <w:t>.</w:t>
            </w:r>
          </w:p>
        </w:tc>
      </w:tr>
      <w:tr w:rsidR="003A14CF" w14:paraId="1387C439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FCD3B18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6103F4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Aktyvus sensoriaus paviršius (aukštis x plotis)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37E16169" w14:textId="77777777" w:rsidR="003A14CF" w:rsidRDefault="00000000">
            <w:pPr>
              <w:pStyle w:val="NoSpacing"/>
              <w:snapToGrid w:val="0"/>
              <w:rPr>
                <w:szCs w:val="24"/>
                <w:vertAlign w:val="superscript"/>
              </w:rPr>
            </w:pPr>
            <w:r>
              <w:rPr>
                <w:szCs w:val="24"/>
              </w:rPr>
              <w:t>Ne mažesnis nei 1018 mm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C62D4B5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686FC3E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782ABA55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A7F6F2F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D94BEB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Sensoriaus technologija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5C425B26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CMOS arba lygiavertė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8AFA668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58FC950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13324F00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B3888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CF47160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Šaltinio-sensoriaus atstumas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78AE6403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500 mm ±10 mm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53FB5E8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8327800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04881402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C0D72EB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FE5285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Didinimo faktorius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09B0BE84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Ne didesnis nei 1.3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C898DB7" w14:textId="77777777" w:rsidR="003A14CF" w:rsidRDefault="003A14CF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40E956D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E87384F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5D187018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3743404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FC6C7F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Ekspozicijos laikas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2DDB2578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≤ 14 sek. suaugusiems</w:t>
            </w:r>
          </w:p>
          <w:p w14:paraId="4B39448F" w14:textId="77777777" w:rsidR="003A14CF" w:rsidRDefault="00000000">
            <w:pPr>
              <w:pStyle w:val="NoSpacing"/>
              <w:snapToGrid w:val="0"/>
              <w:rPr>
                <w:strike/>
                <w:szCs w:val="24"/>
              </w:rPr>
            </w:pPr>
            <w:r>
              <w:rPr>
                <w:szCs w:val="24"/>
              </w:rPr>
              <w:t>≤ 13 sek. vaikams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6F08053A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21BD75C3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C5B7EB2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7CAD6005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912542" w14:textId="77777777" w:rsidR="003A14CF" w:rsidRDefault="0000000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4F14F8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Automatinis ryškiausio panoraminės nuotraukos sluoksnio nustatymas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38E42637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Būtina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239AE7B2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8B757BB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4013C5CF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499DC6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367571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Suaugusių skenavimo režimas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2D4458F4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Būtina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32154782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56508E9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201B9778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987715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1D3525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Vaikų skenavimo režimas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388CC873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Būtina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BF2AEDC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82AE18B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10227E9F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8EA7BD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4C5F2FF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Sukandiminės nuotraukos skenavimo režimas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79080BB5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Būtina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4B60E3F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174D6B85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03F3C7AB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60612C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A7C8C6F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Segmento skenavimo režimas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672441AF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Būtina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74F8BBB9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546B0A8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580572B7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A3FAC29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7BC6DD9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Sąnarių skenavimo režimas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52CEE636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Būtina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6662914A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6E6C9E65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56F88BCC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0EB137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B189E9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Ekspozicijos nustatymai atliekami kompiuteryje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10047DF3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Būtina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17607FA3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6C0D5812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51DE9AD2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17E242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74FCCF3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Dozės prognozė mGycm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7B767159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Būtina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9E752D4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0A614D49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5D40C8AB" w14:textId="77777777">
        <w:trPr>
          <w:trHeight w:val="419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E6580F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1.25.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CD1543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lazerių sistema paciento galvos pozicionavimui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54B56EB3" w14:textId="77777777" w:rsidR="003A14CF" w:rsidRDefault="00000000">
            <w:pPr>
              <w:pStyle w:val="NoSpacing"/>
              <w:snapToGrid w:val="0"/>
              <w:rPr>
                <w:szCs w:val="24"/>
              </w:rPr>
            </w:pPr>
            <w:r>
              <w:rPr>
                <w:szCs w:val="24"/>
              </w:rPr>
              <w:t>Būtina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F64AE2E" w14:textId="77777777" w:rsidR="003A14CF" w:rsidRDefault="003A14C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647AFCCA" w14:textId="77777777" w:rsidR="003A14CF" w:rsidRDefault="003A14CF">
            <w:pPr>
              <w:rPr>
                <w:rFonts w:ascii="Times New Roman" w:hAnsi="Times New Roman"/>
                <w:strike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14007768" w14:textId="77777777">
        <w:trPr>
          <w:trHeight w:val="1114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5F288E" w14:textId="77777777" w:rsidR="003A14C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1.26.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2A3A0A8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Programinė įranga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</w:tcPr>
          <w:p w14:paraId="0A573B67" w14:textId="77777777" w:rsidR="003A14CF" w:rsidRDefault="00000000">
            <w:pPr>
              <w:pStyle w:val="NoSpacing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Neribotas kiekis vartotojo licencijų panoraminių nuotraukų peržiūrai. Turi PACS serverio funkciją.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F8EA753" w14:textId="77777777" w:rsidR="003A14CF" w:rsidRDefault="003A14CF">
            <w:pPr>
              <w:pStyle w:val="NoSpacing"/>
              <w:snapToGrid w:val="0"/>
              <w:rPr>
                <w:szCs w:val="24"/>
              </w:rPr>
            </w:pP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2EB5EAE1" w14:textId="77777777" w:rsidR="003A14CF" w:rsidRDefault="003A14CF">
            <w:pPr>
              <w:rPr>
                <w:rFonts w:ascii="Times New Roman" w:hAnsi="Times New Roman"/>
                <w:strike/>
                <w:color w:val="156082" w:themeColor="accent1"/>
                <w:sz w:val="24"/>
                <w:szCs w:val="24"/>
                <w:lang w:eastAsia="lt-LT"/>
              </w:rPr>
            </w:pPr>
          </w:p>
        </w:tc>
      </w:tr>
      <w:tr w:rsidR="003A14CF" w14:paraId="5EC631B7" w14:textId="77777777">
        <w:trPr>
          <w:trHeight w:val="1988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F19710" w14:textId="77777777" w:rsidR="003A14CF" w:rsidRDefault="0000000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1.27.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F3D292F" w14:textId="77777777" w:rsidR="003A14CF" w:rsidRDefault="0000000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Pateikti CE sertifikato ir gamintojo EB atitikties deklaracijos kopiją pagal Europos Parlamento ir Tarybos reglamentą (ES) 2017/745 originalo ir lietuvių kalba, jei taikoma. (Jei netaikoma, privaloma pateikti įrodymus apie netaikymą)</w:t>
            </w:r>
          </w:p>
        </w:tc>
        <w:tc>
          <w:tcPr>
            <w:tcW w:w="2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1F153" w14:textId="77777777" w:rsidR="003A14CF" w:rsidRDefault="00000000">
            <w:pPr>
              <w:pStyle w:val="NoSpacing"/>
              <w:snapToGrid w:val="0"/>
              <w:rPr>
                <w:szCs w:val="24"/>
                <w:highlight w:val="yellow"/>
              </w:rPr>
            </w:pPr>
            <w:r>
              <w:rPr>
                <w:szCs w:val="24"/>
              </w:rPr>
              <w:t>Būtina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1073E3BB" w14:textId="77777777" w:rsidR="003A14CF" w:rsidRDefault="003A14CF">
            <w:pPr>
              <w:rPr>
                <w:rFonts w:ascii="Times New Roman" w:hAnsi="Times New Roman"/>
                <w:strike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1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48F449F6" w14:textId="77777777" w:rsidR="003A14CF" w:rsidRDefault="003A14CF">
            <w:pPr>
              <w:rPr>
                <w:rFonts w:ascii="Times New Roman" w:hAnsi="Times New Roman"/>
                <w:color w:val="156082" w:themeColor="accent1"/>
                <w:sz w:val="24"/>
                <w:szCs w:val="24"/>
                <w:lang w:val="en-US" w:eastAsia="lt-LT"/>
              </w:rPr>
            </w:pPr>
          </w:p>
        </w:tc>
      </w:tr>
    </w:tbl>
    <w:p w14:paraId="746E2107" w14:textId="77777777" w:rsidR="003A14CF" w:rsidRDefault="003A14CF">
      <w:pPr>
        <w:rPr>
          <w:rFonts w:ascii="Times New Roman" w:hAnsi="Times New Roman"/>
          <w:sz w:val="24"/>
          <w:szCs w:val="24"/>
        </w:rPr>
      </w:pPr>
    </w:p>
    <w:p w14:paraId="3FF60ACB" w14:textId="77777777" w:rsidR="003A14CF" w:rsidRDefault="003A14CF"/>
    <w:sectPr w:rsidR="003A14CF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7B36"/>
    <w:multiLevelType w:val="multilevel"/>
    <w:tmpl w:val="3C5057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61C0C"/>
    <w:multiLevelType w:val="multilevel"/>
    <w:tmpl w:val="5562F50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2" w15:restartNumberingAfterBreak="0">
    <w:nsid w:val="28A5033F"/>
    <w:multiLevelType w:val="multilevel"/>
    <w:tmpl w:val="E2D47F0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3" w15:restartNumberingAfterBreak="0">
    <w:nsid w:val="73D57535"/>
    <w:multiLevelType w:val="multilevel"/>
    <w:tmpl w:val="9C74A4A4"/>
    <w:lvl w:ilvl="0">
      <w:start w:val="1"/>
      <w:numFmt w:val="bullet"/>
      <w:lvlText w:val=""/>
      <w:lvlJc w:val="left"/>
      <w:pPr>
        <w:tabs>
          <w:tab w:val="num" w:pos="0"/>
        </w:tabs>
        <w:ind w:left="13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05" w:hanging="360"/>
      </w:pPr>
      <w:rPr>
        <w:rFonts w:ascii="Wingdings" w:hAnsi="Wingdings" w:cs="Wingdings" w:hint="default"/>
      </w:rPr>
    </w:lvl>
  </w:abstractNum>
  <w:num w:numId="1" w16cid:durableId="604459249">
    <w:abstractNumId w:val="2"/>
  </w:num>
  <w:num w:numId="2" w16cid:durableId="189072708">
    <w:abstractNumId w:val="3"/>
  </w:num>
  <w:num w:numId="3" w16cid:durableId="1130824558">
    <w:abstractNumId w:val="1"/>
  </w:num>
  <w:num w:numId="4" w16cid:durableId="33234939">
    <w:abstractNumId w:val="0"/>
  </w:num>
  <w:num w:numId="5" w16cid:durableId="497385133">
    <w:abstractNumId w:val="1"/>
    <w:lvlOverride w:ilvl="0">
      <w:startOverride w:val="1"/>
    </w:lvlOverride>
  </w:num>
  <w:num w:numId="6" w16cid:durableId="1365208013">
    <w:abstractNumId w:val="1"/>
  </w:num>
  <w:num w:numId="7" w16cid:durableId="1814102315">
    <w:abstractNumId w:val="1"/>
  </w:num>
  <w:num w:numId="8" w16cid:durableId="1154025389">
    <w:abstractNumId w:val="1"/>
  </w:num>
  <w:num w:numId="9" w16cid:durableId="735277639">
    <w:abstractNumId w:val="1"/>
  </w:num>
  <w:num w:numId="10" w16cid:durableId="275217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CF"/>
    <w:rsid w:val="003A14CF"/>
    <w:rsid w:val="00B03981"/>
    <w:rsid w:val="00FD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3400"/>
  <w15:docId w15:val="{06113856-38EF-4D3F-B947-E070C458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B5D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1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1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1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1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67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267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67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67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67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67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67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67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6716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2671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67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26716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67160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67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16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99"/>
    <w:qFormat/>
    <w:locked/>
    <w:rsid w:val="00E11B5D"/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rsid w:val="002671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160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rsid w:val="0026716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Spacing">
    <w:name w:val="No Spacing"/>
    <w:uiPriority w:val="99"/>
    <w:qFormat/>
    <w:rsid w:val="00E11B5D"/>
    <w:rPr>
      <w:rFonts w:ascii="Times New Roman" w:eastAsia="Times New Roman" w:hAnsi="Times New Roman" w:cs="Times New Roman"/>
      <w:szCs w:val="20"/>
      <w:lang w:val="lt-LT" w:eastAsia="ar-SA"/>
      <w14:ligatures w14:val="none"/>
    </w:rPr>
  </w:style>
  <w:style w:type="paragraph" w:customStyle="1" w:styleId="Kadroturinys">
    <w:name w:val="Kadro turiny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Lauros-PC</dc:creator>
  <dc:description/>
  <cp:lastModifiedBy>Brigita Šerkšnaitė</cp:lastModifiedBy>
  <cp:revision>2</cp:revision>
  <dcterms:created xsi:type="dcterms:W3CDTF">2025-12-08T11:54:00Z</dcterms:created>
  <dcterms:modified xsi:type="dcterms:W3CDTF">2025-12-08T11:54:00Z</dcterms:modified>
  <dc:language>lt-LT</dc:language>
</cp:coreProperties>
</file>