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28" w:rsidRDefault="00445028" w:rsidP="00445028">
      <w:pPr>
        <w:pStyle w:val="Betarp"/>
        <w:ind w:left="2494" w:firstLine="1247"/>
        <w:jc w:val="center"/>
        <w:rPr>
          <w:b/>
          <w:szCs w:val="24"/>
        </w:rPr>
      </w:pPr>
      <w:r>
        <w:rPr>
          <w:b/>
          <w:szCs w:val="24"/>
        </w:rPr>
        <w:t xml:space="preserve">Pirkimo sąlygų 3 priedas </w:t>
      </w:r>
    </w:p>
    <w:p w:rsidR="00445028" w:rsidRDefault="00445028" w:rsidP="00445028">
      <w:pPr>
        <w:pStyle w:val="Betarp"/>
        <w:jc w:val="center"/>
        <w:rPr>
          <w:b/>
          <w:szCs w:val="24"/>
        </w:rPr>
      </w:pPr>
    </w:p>
    <w:p w:rsidR="00445028" w:rsidRDefault="00445028" w:rsidP="00445028">
      <w:pPr>
        <w:pStyle w:val="Betarp"/>
        <w:jc w:val="center"/>
        <w:rPr>
          <w:b/>
          <w:szCs w:val="24"/>
        </w:rPr>
      </w:pPr>
    </w:p>
    <w:p w:rsidR="00445028" w:rsidRPr="00601511" w:rsidRDefault="00445028" w:rsidP="00445028">
      <w:pPr>
        <w:pStyle w:val="Betarp"/>
        <w:jc w:val="center"/>
        <w:rPr>
          <w:b/>
          <w:szCs w:val="24"/>
        </w:rPr>
      </w:pPr>
      <w:r w:rsidRPr="00601511">
        <w:rPr>
          <w:b/>
          <w:szCs w:val="24"/>
        </w:rPr>
        <w:t>NAUDOTO UGNIAGESIŲ  AUTOMOBILIO</w:t>
      </w:r>
    </w:p>
    <w:p w:rsidR="00445028" w:rsidRPr="00601511" w:rsidRDefault="00445028" w:rsidP="00445028">
      <w:pPr>
        <w:pStyle w:val="Betarp"/>
        <w:jc w:val="center"/>
        <w:rPr>
          <w:b/>
          <w:szCs w:val="24"/>
        </w:rPr>
      </w:pPr>
      <w:r w:rsidRPr="00601511">
        <w:rPr>
          <w:b/>
          <w:szCs w:val="24"/>
        </w:rPr>
        <w:t>TECHNINĖ SPECIFIKACIJA</w:t>
      </w:r>
    </w:p>
    <w:p w:rsidR="00445028" w:rsidRDefault="00445028" w:rsidP="00445028">
      <w:pPr>
        <w:spacing w:after="160" w:line="256" w:lineRule="auto"/>
        <w:rPr>
          <w:rFonts w:asciiTheme="majorBidi" w:hAnsiTheme="majorBidi" w:cstheme="majorBidi"/>
          <w:b/>
        </w:rPr>
      </w:pPr>
    </w:p>
    <w:p w:rsidR="00445028" w:rsidRDefault="00445028" w:rsidP="00445028">
      <w:pPr>
        <w:spacing w:after="0" w:line="36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ab/>
      </w:r>
      <w:r w:rsidRPr="00DA7BCF">
        <w:rPr>
          <w:rFonts w:asciiTheme="majorBidi" w:hAnsiTheme="majorBidi" w:cstheme="majorBidi"/>
        </w:rPr>
        <w:t xml:space="preserve">Ukmergės rajono priešgaisrinė gelbėjimo tarnyba ketina įsigyti naudotą gaisrinę automobilinę cisterną (toliau – AC). </w:t>
      </w:r>
    </w:p>
    <w:p w:rsidR="00445028" w:rsidRPr="00486C9A" w:rsidRDefault="00445028" w:rsidP="00445028">
      <w:pPr>
        <w:spacing w:after="0" w:line="360" w:lineRule="auto"/>
        <w:ind w:firstLine="1247"/>
        <w:jc w:val="both"/>
        <w:rPr>
          <w:rFonts w:asciiTheme="majorBidi" w:hAnsiTheme="majorBidi" w:cstheme="majorBidi"/>
          <w:b/>
        </w:rPr>
      </w:pPr>
      <w:r w:rsidRPr="00BE6831">
        <w:t>AC yra gaisrų gesinimo ir gelbėjimo automobilis su cisterna ir stacionariai įrengtu gaisriniu siurbliu, galin</w:t>
      </w:r>
      <w:r>
        <w:t xml:space="preserve">čiu </w:t>
      </w:r>
      <w:r w:rsidRPr="00BE6831">
        <w:t>vežti gaisrų gesinimo ir gelbėjimo įrangą ir ne mažiau kaip 1 ugniagesį gelbėtoją (neįskaitant vairuotojo), skirt</w:t>
      </w:r>
      <w:r>
        <w:t>ą</w:t>
      </w:r>
      <w:r w:rsidRPr="00BE6831">
        <w:t xml:space="preserve"> gesinimo ir gelbėjimo darbams  atlikti. Ji  turi atitikti šiuos reikalavimus: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4553"/>
        <w:gridCol w:w="4372"/>
      </w:tblGrid>
      <w:tr w:rsidR="00445028" w:rsidRPr="00486C9A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5028" w:rsidRPr="00486C9A" w:rsidRDefault="00445028" w:rsidP="00D45A2B">
            <w:pPr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kern w:val="2"/>
              </w:rPr>
            </w:pPr>
            <w:bookmarkStart w:id="0" w:name="_Hlk140057909"/>
            <w:r w:rsidRPr="00486C9A">
              <w:rPr>
                <w:rFonts w:asciiTheme="majorBidi" w:hAnsiTheme="majorBidi" w:cstheme="majorBidi"/>
                <w:b/>
                <w:bCs/>
                <w:kern w:val="2"/>
              </w:rPr>
              <w:t>Eil. Nr.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5028" w:rsidRPr="00486C9A" w:rsidRDefault="00445028" w:rsidP="00D45A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2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</w:rPr>
              <w:t>Techniniai reikalavimai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486C9A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kern w:val="2"/>
              </w:rPr>
            </w:pPr>
            <w:r w:rsidRPr="00486C9A">
              <w:rPr>
                <w:rFonts w:asciiTheme="majorBidi" w:hAnsiTheme="majorBidi" w:cstheme="majorBidi"/>
                <w:bCs/>
                <w:kern w:val="2"/>
              </w:rPr>
              <w:t xml:space="preserve">Tiekėjas nurodo konkrečius siūlomo </w:t>
            </w:r>
            <w:r>
              <w:rPr>
                <w:rFonts w:asciiTheme="majorBidi" w:hAnsiTheme="majorBidi" w:cstheme="majorBidi"/>
                <w:bCs/>
                <w:kern w:val="2"/>
              </w:rPr>
              <w:t xml:space="preserve">AC </w:t>
            </w:r>
            <w:r w:rsidRPr="00486C9A">
              <w:rPr>
                <w:rFonts w:asciiTheme="majorBidi" w:hAnsiTheme="majorBidi" w:cstheme="majorBidi"/>
                <w:bCs/>
                <w:kern w:val="2"/>
              </w:rPr>
              <w:t xml:space="preserve">parametrus – būtina detalizuoti </w:t>
            </w:r>
            <w:r w:rsidRPr="00486C9A">
              <w:rPr>
                <w:rFonts w:asciiTheme="majorBidi" w:hAnsiTheme="majorBidi" w:cstheme="majorBidi"/>
                <w:b/>
                <w:bCs/>
                <w:kern w:val="2"/>
              </w:rPr>
              <w:t xml:space="preserve">(išvardyti reikalingus parametrų atitikimą reikalavimams, vengiant taip, atitinka). </w:t>
            </w: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rPr>
                <w:rFonts w:asciiTheme="majorBidi" w:hAnsiTheme="majorBidi" w:cstheme="majorBidi"/>
                <w:bCs/>
                <w:kern w:val="2"/>
              </w:rPr>
            </w:pPr>
            <w:r w:rsidRPr="00795481">
              <w:rPr>
                <w:rFonts w:asciiTheme="majorBidi" w:hAnsiTheme="majorBidi" w:cstheme="majorBidi"/>
                <w:bCs/>
                <w:kern w:val="2"/>
              </w:rPr>
              <w:t>1.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bCs/>
                <w:kern w:val="2"/>
              </w:rPr>
            </w:pPr>
            <w:r>
              <w:rPr>
                <w:rFonts w:asciiTheme="majorBidi" w:hAnsiTheme="majorBidi" w:cstheme="majorBidi"/>
                <w:bCs/>
                <w:kern w:val="2"/>
              </w:rPr>
              <w:t>Europos Sąjungoje pagamintas AC;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bCs/>
                <w:kern w:val="2"/>
              </w:rPr>
            </w:pPr>
          </w:p>
        </w:tc>
      </w:tr>
      <w:bookmarkEnd w:id="0"/>
      <w:tr w:rsidR="00445028" w:rsidRPr="00795481" w:rsidTr="00D45A2B">
        <w:trPr>
          <w:trHeight w:val="889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 w:rsidRPr="00795481">
              <w:rPr>
                <w:rFonts w:asciiTheme="majorBidi" w:hAnsiTheme="majorBidi" w:cstheme="majorBidi"/>
                <w:bCs/>
                <w:iCs/>
                <w:kern w:val="2"/>
              </w:rPr>
              <w:t>1.1.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360" w:lineRule="auto"/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</w:pPr>
            <w:r w:rsidRPr="00795481">
              <w:t>AC turi būti varoma dyzeliniu varikliu, ne senesn</w:t>
            </w:r>
            <w:r>
              <w:t>ė</w:t>
            </w:r>
            <w:r w:rsidRPr="00795481">
              <w:t xml:space="preserve"> kaip 1990 metų</w:t>
            </w:r>
            <w:r>
              <w:t>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822401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i/>
                <w:kern w:val="2"/>
              </w:rPr>
            </w:pPr>
          </w:p>
        </w:tc>
      </w:tr>
      <w:tr w:rsidR="00445028" w:rsidRPr="00795481" w:rsidTr="00D45A2B">
        <w:trPr>
          <w:trHeight w:val="889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 w:rsidRPr="00680050">
              <w:rPr>
                <w:rFonts w:asciiTheme="majorBidi" w:hAnsiTheme="majorBidi" w:cstheme="majorBidi"/>
                <w:bCs/>
                <w:iCs/>
                <w:kern w:val="2"/>
              </w:rPr>
              <w:t>1.2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360" w:lineRule="auto"/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</w:pPr>
            <w:r w:rsidRPr="00795481"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  <w:t>Automobilio markė, modelis</w:t>
            </w:r>
            <w:r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  <w:t>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i/>
                <w:kern w:val="2"/>
              </w:rPr>
            </w:pPr>
          </w:p>
          <w:p w:rsidR="00445028" w:rsidRPr="00795481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  <w:r>
              <w:rPr>
                <w:rFonts w:asciiTheme="majorBidi" w:hAnsiTheme="majorBidi" w:cstheme="majorBidi"/>
                <w:b/>
                <w:i/>
                <w:kern w:val="2"/>
              </w:rPr>
              <w:t>*</w:t>
            </w:r>
            <w:r w:rsidRPr="00822401">
              <w:rPr>
                <w:rFonts w:asciiTheme="majorBidi" w:hAnsiTheme="majorBidi" w:cstheme="majorBidi"/>
                <w:b/>
                <w:i/>
                <w:kern w:val="2"/>
              </w:rPr>
              <w:t>Kartu su pasiūlymu pateikiama techninio paso kopija</w:t>
            </w:r>
            <w:r>
              <w:rPr>
                <w:rFonts w:asciiTheme="majorBidi" w:hAnsiTheme="majorBidi" w:cstheme="majorBidi"/>
                <w:b/>
                <w:i/>
                <w:kern w:val="2"/>
              </w:rPr>
              <w:t xml:space="preserve">. </w:t>
            </w:r>
          </w:p>
        </w:tc>
      </w:tr>
      <w:tr w:rsidR="00445028" w:rsidRPr="00795481" w:rsidTr="00D45A2B">
        <w:trPr>
          <w:trHeight w:val="889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028" w:rsidRPr="007B4CDE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 w:rsidRPr="007B4CDE">
              <w:rPr>
                <w:rFonts w:asciiTheme="majorBidi" w:hAnsiTheme="majorBidi" w:cstheme="majorBidi"/>
                <w:bCs/>
                <w:iCs/>
                <w:kern w:val="2"/>
              </w:rPr>
              <w:t>1.3.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  <w:t xml:space="preserve">AC </w:t>
            </w:r>
            <w:r w:rsidRPr="007B4CDE"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  <w:t>turi būti be vizualių kėbulo ir važiuoklės pažeidimų, techniškai tvarkingas;</w:t>
            </w:r>
          </w:p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  <w:r w:rsidRPr="007B4CDE">
              <w:rPr>
                <w:rFonts w:asciiTheme="majorBidi" w:hAnsiTheme="majorBidi" w:cstheme="majorBidi"/>
                <w:b/>
                <w:i/>
                <w:kern w:val="2"/>
              </w:rPr>
              <w:t>Turi būti sudaryta automobilio apžiūros galimybė, Lietuvos Respublikos teritorijoje, prieš pasirašant pirkimo-pardavimo sutartį pateiktos informacijos tikslingumui nustatyti</w:t>
            </w:r>
            <w:r w:rsidRPr="007B4CDE">
              <w:rPr>
                <w:rFonts w:asciiTheme="majorBidi" w:hAnsiTheme="majorBidi" w:cstheme="majorBidi"/>
                <w:i/>
                <w:kern w:val="2"/>
              </w:rPr>
              <w:t>.</w:t>
            </w:r>
          </w:p>
          <w:p w:rsidR="00445028" w:rsidRPr="007B4CDE" w:rsidRDefault="00445028" w:rsidP="00D45A2B">
            <w:pPr>
              <w:spacing w:after="0" w:line="360" w:lineRule="auto"/>
              <w:rPr>
                <w:rFonts w:asciiTheme="majorBidi" w:eastAsia="Times New Roman" w:hAnsiTheme="majorBidi" w:cstheme="majorBidi"/>
                <w:kern w:val="2"/>
                <w:bdr w:val="none" w:sz="0" w:space="0" w:color="auto" w:frame="1"/>
                <w:lang w:eastAsia="lt-LT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Pr="007B4CDE" w:rsidRDefault="00445028" w:rsidP="00D45A2B">
            <w:pPr>
              <w:spacing w:after="0" w:line="36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  <w:r w:rsidRPr="007B4CDE">
              <w:rPr>
                <w:rFonts w:asciiTheme="majorBidi" w:hAnsiTheme="majorBidi" w:cstheme="majorBidi"/>
                <w:b/>
                <w:i/>
                <w:kern w:val="2"/>
              </w:rPr>
              <w:t>Kartu su pasiūlymu pateikiama vaizdinė medžiaga (automobilio nuotrauka iš priekio, iš galo, iš abiejų šonų, kabinos nuotrauka, gaisrinio antstato vidaus vaizdo nuotraukos).</w:t>
            </w: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1.4.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išvežamas vandens kiekis turi būti ne mažesnis kaip 2000 l  ir ne didesnis kaip 8 000 l</w:t>
            </w:r>
            <w:r>
              <w:t>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lastRenderedPageBreak/>
              <w:t>1.5.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 xml:space="preserve">AC gali būti </w:t>
            </w:r>
            <w:r>
              <w:t xml:space="preserve">montuojamos </w:t>
            </w:r>
            <w:r w:rsidRPr="00795481">
              <w:t>stacionarios putokšlio talpos nuo 50 iki 200 l;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1.6.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gaisrinio siurblio našumas turi būti nuo 1 500 iki 4 000 l/min;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1.7.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Gaisriniai siurbliai gali būti sumontuot</w:t>
            </w:r>
            <w:r>
              <w:t>i</w:t>
            </w:r>
            <w:r w:rsidRPr="00795481">
              <w:t xml:space="preserve"> AC priekyje, šone arba gale</w:t>
            </w:r>
            <w:r>
              <w:t>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1.8.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Gaisrinis siurblys gali būti kombinuotas, normalaus (10 bar) ir (ar) aukšto (40 bar) slėgio, varomas automobilio varikliu per papildomą pavarą</w:t>
            </w:r>
            <w:r>
              <w:t>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1.9.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Turi būti užtikrintas siurblio ir vandens komunikacijų darbas, esant žemoms temperatūroms (iki - 30° C);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1.10.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važiuoklė turi būti su visais varomais ratais (ratų formulė 4x4 nuolatos ar su priekinio tilto pajungimu, ratų formulė 6x6 nuolatos ar su priekinio tilto pajungimu);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1.11.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sėdimų vietų kiekis turėtų būti ne mažesnis kaip 2 (vairuotojas ir 1 ugniagesys);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1.12.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 xml:space="preserve">Įsigyjama AC turi būti techniškai tvarkinga, </w:t>
            </w:r>
            <w:r>
              <w:t xml:space="preserve"> turi </w:t>
            </w:r>
            <w:r w:rsidRPr="00795481">
              <w:t>būti registruojama kaip gaisrinis automobilis pagal pateikimo metu nustatytą kelių transporto priemonių atitikties įvertinimo ir registravimo tvarką</w:t>
            </w:r>
            <w:r>
              <w:t xml:space="preserve">; 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1.13.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 xml:space="preserve">AC skyrių tūris gaisrų gesinimo ir gelbėjimo įrangai gabenti turi būti toks, kad tilptų Priešgaisrinės apsaugos ir gelbėjimo departamento prie Vidaus reikalų ministerijos direktoriaus įsakymu nustatytas minimalus gaisrų gesinimo ir gelbėjimo </w:t>
            </w:r>
            <w:r w:rsidRPr="00795481">
              <w:lastRenderedPageBreak/>
              <w:t>įrangos kiekis. Tačiau įsigyjamos AC skyrių tūris gaisrų gesinimo ir gelbėjimo įrangai gabenti turi būti ne mažesnis kaip 3 m</w:t>
            </w:r>
            <w:r w:rsidRPr="00795481">
              <w:rPr>
                <w:vertAlign w:val="superscript"/>
              </w:rPr>
              <w:t>3</w:t>
            </w:r>
            <w:r w:rsidRPr="00795481">
              <w:t>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1.14.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turi būti įrengti tvirtinimai nemažiau kaip 2 vnt. suslėgtojo oro kvėpavimo aparatams ir jų 2 vnt.  rezerviniams balionams;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1.15.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turi būti įrengti vandens išmetimo atvamzdžiai iš gaisrinio siurblio slėginėms gaisrinėms žarnoms prijungti su raudonai nudažytomis sujungimo movomis (</w:t>
            </w:r>
            <w:r w:rsidRPr="00795481">
              <w:rPr>
                <w:bCs/>
              </w:rPr>
              <w:t xml:space="preserve">STORZ B75), atitinkančiomis </w:t>
            </w:r>
            <w:r w:rsidRPr="00795481">
              <w:t>GTC/TS 11:2023 „Aliumininio lydinio slėginė tiekimo ir siurbimo stacionariai tvirtinama mova PN 16“ techninės specifikacijos arba lygiaverčio standarto nurodytiems reikalavimams,</w:t>
            </w:r>
            <w:r w:rsidRPr="00795481">
              <w:rPr>
                <w:bCs/>
              </w:rPr>
              <w:t xml:space="preserve"> ir </w:t>
            </w:r>
            <w:proofErr w:type="spellStart"/>
            <w:r w:rsidRPr="00795481">
              <w:rPr>
                <w:bCs/>
              </w:rPr>
              <w:t>aklėmis</w:t>
            </w:r>
            <w:proofErr w:type="spellEnd"/>
            <w:r w:rsidRPr="00795481">
              <w:rPr>
                <w:bCs/>
              </w:rPr>
              <w:t xml:space="preserve">, (STORZ B75) atitinkančiomis </w:t>
            </w:r>
            <w:r w:rsidRPr="00795481">
              <w:t>GTC/TS 12:2024 „ Aliumininio lydinio slėginių tiekimo ir siurbimo movų PN 16 aklės“ techninės specifikacijos arba lygiaverčio standarto nurodytiems reikalavimams;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1.16.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turi būti įrengtos vandens užpylimo angos, kurios turi turėti mėlynai nudažytas sujungimo movas (</w:t>
            </w:r>
            <w:r w:rsidRPr="00795481">
              <w:rPr>
                <w:bCs/>
              </w:rPr>
              <w:t xml:space="preserve">STORZ B75), atitinkančias </w:t>
            </w:r>
            <w:r w:rsidRPr="00795481">
              <w:t xml:space="preserve">GTC/TS 11:2023 „Aliumininio lydinio slėginė tiekimo ir siurbimo stacionariai tvirtinama mova PN 16“ techninės specifikacijos arba lygiaverčio standarto nurodytiems reikalavimams, </w:t>
            </w:r>
            <w:r w:rsidRPr="00795481">
              <w:rPr>
                <w:bCs/>
              </w:rPr>
              <w:t xml:space="preserve">ir aklės (STORZ B75), atitinkančias </w:t>
            </w:r>
            <w:r w:rsidRPr="00795481">
              <w:t xml:space="preserve">GTC/TS 12:2024 „Aliumininio lydinio slėginių tiekimo ir siurbimo movų PN 16 aklės“ </w:t>
            </w:r>
            <w:r w:rsidRPr="00795481">
              <w:lastRenderedPageBreak/>
              <w:t>techninės specifikacijos arba lygiaverčio standarto nurodytiems reikalavimams;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1.17.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160" w:line="360" w:lineRule="auto"/>
              <w:jc w:val="both"/>
            </w:pPr>
            <w:r w:rsidRPr="00795481">
              <w:t>AC turi būti gofruotos gaisrinės įsiurbiamosios žarnos su vandens koštuvu ir plūduru, vandens paėmimui iš atviro vandens šaltinio. Gaisrinės įsiurbiamosios žarnos, jas sujungus, turėtu būti ne trumpesnės kaip 8 m. Žarnos gali būti 2 vnt. po 4 m arba 4 vnt. po 2 m</w:t>
            </w:r>
            <w:r>
              <w:t>;</w:t>
            </w:r>
            <w:r w:rsidRPr="00795481">
              <w:t xml:space="preserve">   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1.18.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Default="00445028" w:rsidP="00D45A2B">
            <w:pPr>
              <w:spacing w:after="160" w:line="360" w:lineRule="auto"/>
              <w:jc w:val="both"/>
            </w:pPr>
            <w:r w:rsidRPr="00795481">
              <w:t>AC turi būti pateikta įgaliotos Lietuvos Respublikoje veikiančios įstaigos (Gaisrinių tyrimų centro) išvada dėl atitikties Lietuvos Respublikos vidaus reikalų ministro 2019 m. birželio 11 d. įsakymu Nr.1V-535 patvirtintiems privalomiesiems saugos ir eksploatacinių savybių reikalavimams;</w:t>
            </w:r>
          </w:p>
          <w:p w:rsidR="00445028" w:rsidRPr="00445028" w:rsidRDefault="00445028" w:rsidP="00D45A2B">
            <w:pPr>
              <w:spacing w:after="160" w:line="360" w:lineRule="auto"/>
              <w:jc w:val="both"/>
              <w:rPr>
                <w:b/>
              </w:rPr>
            </w:pPr>
            <w:r w:rsidRPr="00445028">
              <w:rPr>
                <w:b/>
              </w:rPr>
              <w:t xml:space="preserve">Kartu su pasiūlymu Tiekėjas turi pateikti Gaisrinių tyrimo centro privalomus saugos ir eksploatacinių savybių reikalavimams patvirtinančius dokumentus. 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iCs/>
                <w:kern w:val="2"/>
              </w:rPr>
            </w:pPr>
            <w:r>
              <w:rPr>
                <w:rFonts w:asciiTheme="majorBidi" w:hAnsiTheme="majorBidi" w:cstheme="majorBidi"/>
                <w:bCs/>
                <w:iCs/>
                <w:kern w:val="2"/>
              </w:rPr>
              <w:t>1.19.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A8A" w:rsidRPr="00795481" w:rsidRDefault="00445028" w:rsidP="00EE5A8A">
            <w:pPr>
              <w:spacing w:after="160" w:line="360" w:lineRule="auto"/>
              <w:jc w:val="both"/>
            </w:pPr>
            <w:r w:rsidRPr="00795481">
              <w:t>AC turi būti nudažyta raudona (RAL 3000 arba lygiaverte) spalva, kontrastiška spalva – balta, pažymėtos skiriamaisiais ženklais bei specialiaisiais šviesos ir garso signalais, kaip nurodyta  GTC/TS 07:2019 techninės specifikacijos „Valstybines priešgaisrines gelbėjimo tarnybos specialiosios transporto priemonės. Dažymas, skiriamieji ženklai, specialieji šviesos ir garso signalai. Techniniai reikalavimai“</w:t>
            </w:r>
            <w:r>
              <w:t>;</w:t>
            </w:r>
            <w:bookmarkStart w:id="1" w:name="_GoBack"/>
            <w:bookmarkEnd w:id="1"/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5028" w:rsidRPr="00795481" w:rsidRDefault="00445028" w:rsidP="00D45A2B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bCs/>
                <w:kern w:val="2"/>
              </w:rPr>
            </w:pPr>
            <w:r>
              <w:rPr>
                <w:rFonts w:asciiTheme="majorBidi" w:hAnsiTheme="majorBidi" w:cstheme="majorBidi"/>
                <w:bCs/>
                <w:kern w:val="2"/>
              </w:rPr>
              <w:t>2.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kern w:val="2"/>
              </w:rPr>
            </w:pPr>
            <w:r w:rsidRPr="00795481">
              <w:rPr>
                <w:rFonts w:asciiTheme="majorBidi" w:hAnsiTheme="majorBidi" w:cstheme="majorBidi"/>
                <w:kern w:val="2"/>
              </w:rPr>
              <w:t>Papildomi reikalavimai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kern w:val="2"/>
              </w:rPr>
            </w:pPr>
          </w:p>
        </w:tc>
      </w:tr>
      <w:tr w:rsidR="00445028" w:rsidRPr="00795481" w:rsidTr="00D45A2B">
        <w:trPr>
          <w:trHeight w:val="2856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5028" w:rsidRPr="00795481" w:rsidRDefault="00445028" w:rsidP="00D45A2B">
            <w:pPr>
              <w:tabs>
                <w:tab w:val="left" w:pos="142"/>
              </w:tabs>
              <w:suppressAutoHyphens/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kern w:val="2"/>
              </w:rPr>
            </w:pPr>
            <w:r>
              <w:rPr>
                <w:rFonts w:asciiTheme="majorBidi" w:hAnsiTheme="majorBidi" w:cstheme="majorBidi"/>
                <w:kern w:val="2"/>
              </w:rPr>
              <w:lastRenderedPageBreak/>
              <w:t>2.</w:t>
            </w:r>
            <w:r w:rsidRPr="00795481">
              <w:rPr>
                <w:rFonts w:asciiTheme="majorBidi" w:hAnsiTheme="majorBidi" w:cstheme="majorBidi"/>
                <w:kern w:val="2"/>
              </w:rPr>
              <w:t>1.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028" w:rsidRPr="00795481" w:rsidRDefault="00445028" w:rsidP="00D45A2B">
            <w:pPr>
              <w:spacing w:after="0" w:line="360" w:lineRule="auto"/>
              <w:rPr>
                <w:rFonts w:asciiTheme="majorBidi" w:hAnsiTheme="majorBidi" w:cstheme="majorBidi"/>
                <w:kern w:val="2"/>
              </w:rPr>
            </w:pPr>
            <w:r w:rsidRPr="00795481">
              <w:rPr>
                <w:rFonts w:asciiTheme="majorBidi" w:hAnsiTheme="majorBidi" w:cstheme="majorBidi"/>
                <w:kern w:val="2"/>
              </w:rPr>
              <w:t xml:space="preserve">Pirkimo-pardavimo sutarties pasirašymo metu automobilis turi būti įregistruotas </w:t>
            </w:r>
            <w:r>
              <w:rPr>
                <w:rFonts w:asciiTheme="majorBidi" w:hAnsiTheme="majorBidi" w:cstheme="majorBidi"/>
                <w:kern w:val="2"/>
              </w:rPr>
              <w:t xml:space="preserve">perkančiosios organizacijos vardu, </w:t>
            </w:r>
            <w:r w:rsidRPr="00795481">
              <w:rPr>
                <w:rFonts w:asciiTheme="majorBidi" w:hAnsiTheme="majorBidi" w:cstheme="majorBidi"/>
                <w:kern w:val="2"/>
              </w:rPr>
              <w:t>techniškai tvarkingas, pateikiamas su galiojančia technine apžiūra ne trumpesne kaip  9 mėnesių po pirkimo-pardavimo sutarties pasirašymo dienos ir civiliniu transporto priemonių draudimu galiojančiu ne trumpiau kaip 1 mėnesį nuo pirkimo-pardavimo sutarties pasirašymo dienos</w:t>
            </w:r>
            <w:r>
              <w:rPr>
                <w:rFonts w:asciiTheme="majorBidi" w:hAnsiTheme="majorBidi" w:cstheme="majorBidi"/>
                <w:kern w:val="2"/>
              </w:rPr>
              <w:t>;</w:t>
            </w:r>
          </w:p>
          <w:p w:rsidR="00445028" w:rsidRPr="00795481" w:rsidRDefault="00445028" w:rsidP="00D45A2B">
            <w:pPr>
              <w:spacing w:after="0" w:line="360" w:lineRule="auto"/>
              <w:rPr>
                <w:rFonts w:asciiTheme="majorBidi" w:hAnsiTheme="majorBidi" w:cstheme="majorBidi"/>
                <w:kern w:val="2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  <w:r w:rsidRPr="00795481">
              <w:rPr>
                <w:rFonts w:asciiTheme="majorBidi" w:hAnsiTheme="majorBidi" w:cstheme="majorBidi"/>
                <w:i/>
                <w:kern w:val="2"/>
              </w:rPr>
              <w:t>Siūlomi parametrai:</w:t>
            </w:r>
          </w:p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  <w:r w:rsidRPr="00795481">
              <w:rPr>
                <w:rFonts w:asciiTheme="majorBidi" w:hAnsiTheme="majorBidi" w:cstheme="majorBidi"/>
                <w:i/>
                <w:kern w:val="2"/>
              </w:rPr>
              <w:t>Registracija: __________ m.</w:t>
            </w:r>
          </w:p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  <w:r w:rsidRPr="00795481">
              <w:rPr>
                <w:rFonts w:asciiTheme="majorBidi" w:hAnsiTheme="majorBidi" w:cstheme="majorBidi"/>
                <w:i/>
                <w:kern w:val="2"/>
              </w:rPr>
              <w:t xml:space="preserve">Techninė apžiūra galioja iki: ______ </w:t>
            </w:r>
          </w:p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  <w:r w:rsidRPr="00795481">
              <w:rPr>
                <w:rFonts w:asciiTheme="majorBidi" w:hAnsiTheme="majorBidi" w:cstheme="majorBidi"/>
                <w:i/>
                <w:kern w:val="2"/>
              </w:rPr>
              <w:t xml:space="preserve">Civilinis draudimas galioja iki: _____ </w:t>
            </w:r>
          </w:p>
        </w:tc>
      </w:tr>
      <w:tr w:rsidR="00445028" w:rsidRPr="00795481" w:rsidTr="00D45A2B">
        <w:trPr>
          <w:trHeight w:val="684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5028" w:rsidRDefault="00445028" w:rsidP="00D45A2B">
            <w:pPr>
              <w:tabs>
                <w:tab w:val="left" w:pos="142"/>
              </w:tabs>
              <w:suppressAutoHyphens/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kern w:val="2"/>
              </w:rPr>
            </w:pPr>
            <w:r>
              <w:rPr>
                <w:rFonts w:asciiTheme="majorBidi" w:hAnsiTheme="majorBidi" w:cstheme="majorBidi"/>
                <w:kern w:val="2"/>
              </w:rPr>
              <w:t>2.2.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360" w:lineRule="auto"/>
              <w:rPr>
                <w:rFonts w:asciiTheme="majorBidi" w:hAnsiTheme="majorBidi" w:cstheme="majorBidi"/>
                <w:kern w:val="2"/>
              </w:rPr>
            </w:pPr>
            <w:r>
              <w:rPr>
                <w:rFonts w:asciiTheme="majorBidi" w:hAnsiTheme="majorBidi" w:cstheme="majorBidi"/>
                <w:kern w:val="2"/>
              </w:rPr>
              <w:t xml:space="preserve">AC pristatymo terminas nuo sutarties įsigaliojimo per 1 mėnesį; 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  <w:tr w:rsidR="00445028" w:rsidRPr="00795481" w:rsidTr="00D45A2B">
        <w:trPr>
          <w:trHeight w:val="684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45028" w:rsidRDefault="00445028" w:rsidP="00D45A2B">
            <w:pPr>
              <w:tabs>
                <w:tab w:val="left" w:pos="142"/>
              </w:tabs>
              <w:suppressAutoHyphens/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kern w:val="2"/>
              </w:rPr>
            </w:pPr>
            <w:r>
              <w:rPr>
                <w:rFonts w:asciiTheme="majorBidi" w:hAnsiTheme="majorBidi" w:cstheme="majorBidi"/>
                <w:kern w:val="2"/>
              </w:rPr>
              <w:t>2.3.</w:t>
            </w:r>
          </w:p>
        </w:tc>
        <w:tc>
          <w:tcPr>
            <w:tcW w:w="23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45028" w:rsidRDefault="00445028" w:rsidP="00D45A2B">
            <w:pPr>
              <w:spacing w:after="0" w:line="360" w:lineRule="auto"/>
              <w:rPr>
                <w:rFonts w:asciiTheme="majorBidi" w:hAnsiTheme="majorBidi" w:cstheme="majorBidi"/>
                <w:kern w:val="2"/>
              </w:rPr>
            </w:pPr>
            <w:r w:rsidRPr="00486C9A">
              <w:rPr>
                <w:rFonts w:asciiTheme="majorBidi" w:eastAsia="Times New Roman" w:hAnsiTheme="majorBidi" w:cstheme="majorBidi"/>
                <w:kern w:val="2"/>
              </w:rPr>
              <w:t xml:space="preserve">Tiekėjas </w:t>
            </w:r>
            <w:r>
              <w:rPr>
                <w:rFonts w:asciiTheme="majorBidi" w:eastAsia="Times New Roman" w:hAnsiTheme="majorBidi" w:cstheme="majorBidi"/>
                <w:kern w:val="2"/>
              </w:rPr>
              <w:t xml:space="preserve">turi suteikti galimybę AC originalias ar joms lygiavertes atsargines dalis įsigyti ne trumpiau kaip 3 (tris) metus. 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028" w:rsidRPr="00795481" w:rsidRDefault="00445028" w:rsidP="00D45A2B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kern w:val="2"/>
              </w:rPr>
            </w:pPr>
          </w:p>
        </w:tc>
      </w:tr>
    </w:tbl>
    <w:p w:rsidR="00445028" w:rsidRPr="00962256" w:rsidRDefault="00445028" w:rsidP="00445028">
      <w:pPr>
        <w:pStyle w:val="Betarp1"/>
        <w:jc w:val="both"/>
      </w:pPr>
      <w:r w:rsidRPr="00D30B86">
        <w:rPr>
          <w:b/>
        </w:rPr>
        <w:t>PASTABA</w:t>
      </w:r>
      <w:r>
        <w:t xml:space="preserve">. </w:t>
      </w:r>
      <w:r w:rsidRPr="00D30B86">
        <w:rPr>
          <w:b/>
        </w:rPr>
        <w:t>*</w:t>
      </w:r>
      <w:r w:rsidRPr="00962256">
        <w:t>Jei reikalaujami pridėti prie pasiūlymo dokumentai negali būti pateikti lietuvių kalba, šie dokumentai turi būti pateikiami originalo kalba, pridedant jų vertimą į lietuvių kalbą. Vertimas turi būti patvirtintas vertėjo parašu ir vertimo biuro antspaudu arba tiekėjo vadovo arba jo įgalioto asmens parašu.</w:t>
      </w:r>
    </w:p>
    <w:p w:rsidR="00445028" w:rsidRDefault="00445028" w:rsidP="00445028">
      <w:pPr>
        <w:spacing w:after="160" w:line="256" w:lineRule="auto"/>
        <w:jc w:val="both"/>
        <w:rPr>
          <w:rFonts w:asciiTheme="majorBidi" w:hAnsiTheme="majorBidi" w:cstheme="majorBidi"/>
        </w:rPr>
      </w:pPr>
    </w:p>
    <w:p w:rsidR="00445028" w:rsidRPr="00795481" w:rsidRDefault="00445028" w:rsidP="00445028">
      <w:pPr>
        <w:spacing w:after="160" w:line="256" w:lineRule="auto"/>
        <w:jc w:val="both"/>
        <w:rPr>
          <w:rFonts w:asciiTheme="majorBidi" w:hAnsiTheme="majorBidi" w:cstheme="majorBidi"/>
        </w:rPr>
      </w:pPr>
    </w:p>
    <w:p w:rsidR="00445028" w:rsidRPr="00795481" w:rsidRDefault="00445028" w:rsidP="00445028">
      <w:pPr>
        <w:jc w:val="center"/>
        <w:rPr>
          <w:rFonts w:asciiTheme="majorBidi" w:eastAsia="Arial Unicode MS" w:hAnsiTheme="majorBidi" w:cstheme="majorBidi"/>
        </w:rPr>
      </w:pPr>
      <w:r w:rsidRPr="00795481">
        <w:rPr>
          <w:rFonts w:asciiTheme="majorBidi" w:eastAsia="Arial Unicode MS" w:hAnsiTheme="majorBidi" w:cstheme="majorBidi"/>
        </w:rPr>
        <w:t>_____________________________</w:t>
      </w:r>
    </w:p>
    <w:p w:rsidR="00445028" w:rsidRPr="00795481" w:rsidRDefault="00445028" w:rsidP="00445028">
      <w:pPr>
        <w:ind w:left="3741" w:firstLine="1247"/>
      </w:pPr>
      <w:r w:rsidRPr="00795481">
        <w:tab/>
      </w:r>
      <w:r w:rsidRPr="00795481">
        <w:tab/>
      </w:r>
    </w:p>
    <w:p w:rsidR="00445028" w:rsidRPr="00795481" w:rsidRDefault="00445028" w:rsidP="00445028">
      <w:pPr>
        <w:ind w:left="3741" w:firstLine="1247"/>
      </w:pPr>
    </w:p>
    <w:p w:rsidR="00445028" w:rsidRPr="00795481" w:rsidRDefault="00445028" w:rsidP="00445028">
      <w:pPr>
        <w:ind w:left="3741" w:firstLine="1247"/>
      </w:pPr>
    </w:p>
    <w:p w:rsidR="00E2325E" w:rsidRDefault="00E2325E"/>
    <w:sectPr w:rsidR="00E2325E" w:rsidSect="00445028">
      <w:headerReference w:type="default" r:id="rId6"/>
      <w:headerReference w:type="firs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028" w:rsidRDefault="00445028" w:rsidP="00445028">
      <w:pPr>
        <w:spacing w:after="0" w:line="240" w:lineRule="auto"/>
      </w:pPr>
      <w:r>
        <w:separator/>
      </w:r>
    </w:p>
  </w:endnote>
  <w:endnote w:type="continuationSeparator" w:id="0">
    <w:p w:rsidR="00445028" w:rsidRDefault="00445028" w:rsidP="0044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028" w:rsidRDefault="00445028" w:rsidP="00445028">
      <w:pPr>
        <w:spacing w:after="0" w:line="240" w:lineRule="auto"/>
      </w:pPr>
      <w:r>
        <w:separator/>
      </w:r>
    </w:p>
  </w:footnote>
  <w:footnote w:type="continuationSeparator" w:id="0">
    <w:p w:rsidR="00445028" w:rsidRDefault="00445028" w:rsidP="0044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3609248"/>
      <w:docPartObj>
        <w:docPartGallery w:val="Page Numbers (Top of Page)"/>
        <w:docPartUnique/>
      </w:docPartObj>
    </w:sdtPr>
    <w:sdtContent>
      <w:p w:rsidR="00445028" w:rsidRDefault="004450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5028" w:rsidRDefault="0044502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28" w:rsidRDefault="00445028">
    <w:pPr>
      <w:pStyle w:val="Antrats"/>
    </w:pPr>
    <w:r>
      <w:t>Patikslintos techninės specifikacijos 2025-12-08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28"/>
    <w:rsid w:val="00445028"/>
    <w:rsid w:val="005E6229"/>
    <w:rsid w:val="00E2325E"/>
    <w:rsid w:val="00E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E869"/>
  <w15:chartTrackingRefBased/>
  <w15:docId w15:val="{460404E9-578A-4D65-9CDD-A7A2C3AB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4502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22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TimesNewRoman14ptParykintasisAutomati1">
    <w:name w:val="Antraštė 2 + Times New Roman 14 pt. Paryškintasis Automati...1"/>
    <w:basedOn w:val="Antrat2"/>
    <w:autoRedefine/>
    <w:qFormat/>
    <w:rsid w:val="005E6229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2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tarp">
    <w:name w:val="No Spacing"/>
    <w:link w:val="BetarpDiagrama"/>
    <w:uiPriority w:val="1"/>
    <w:qFormat/>
    <w:rsid w:val="004450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tarpDiagrama">
    <w:name w:val="Be tarpų Diagrama"/>
    <w:link w:val="Betarp"/>
    <w:uiPriority w:val="1"/>
    <w:rsid w:val="00445028"/>
    <w:rPr>
      <w:rFonts w:ascii="Times New Roman" w:eastAsia="Calibri" w:hAnsi="Times New Roman" w:cs="Times New Roman"/>
      <w:sz w:val="24"/>
    </w:rPr>
  </w:style>
  <w:style w:type="paragraph" w:customStyle="1" w:styleId="Betarp1">
    <w:name w:val="Be tarpų1"/>
    <w:qFormat/>
    <w:rsid w:val="004450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0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028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4450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02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3991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2</cp:revision>
  <dcterms:created xsi:type="dcterms:W3CDTF">2025-12-08T13:50:00Z</dcterms:created>
  <dcterms:modified xsi:type="dcterms:W3CDTF">2025-12-08T13:55:00Z</dcterms:modified>
</cp:coreProperties>
</file>