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E120" w14:textId="77777777" w:rsidR="00441123" w:rsidRDefault="00441123" w:rsidP="00441123">
      <w:pPr>
        <w:spacing w:line="360" w:lineRule="auto"/>
        <w:jc w:val="right"/>
        <w:rPr>
          <w:rFonts w:ascii="Times New Roman" w:hAnsi="Times New Roman" w:cs="Times New Roman"/>
        </w:rPr>
      </w:pPr>
      <w:r w:rsidRPr="00C0633F">
        <w:rPr>
          <w:rFonts w:ascii="Times New Roman" w:hAnsi="Times New Roman" w:cs="Times New Roman"/>
        </w:rPr>
        <w:t>Pirkimo sąlygų 6 priedas</w:t>
      </w:r>
    </w:p>
    <w:p w14:paraId="259CCDCD" w14:textId="313C9019" w:rsidR="00441123" w:rsidRDefault="00441123" w:rsidP="00441123">
      <w:pPr>
        <w:spacing w:line="36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bCs/>
          <w:lang w:val="en-AU"/>
        </w:rPr>
        <w:t>Techninės</w:t>
      </w:r>
      <w:proofErr w:type="spellEnd"/>
      <w:r>
        <w:rPr>
          <w:rFonts w:ascii="Times New Roman" w:hAnsi="Times New Roman" w:cs="Times New Roman"/>
          <w:bCs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AU"/>
        </w:rPr>
        <w:t>specifikacijos</w:t>
      </w:r>
      <w:proofErr w:type="spellEnd"/>
      <w:r>
        <w:rPr>
          <w:rFonts w:ascii="Times New Roman" w:hAnsi="Times New Roman" w:cs="Times New Roman"/>
          <w:bCs/>
          <w:lang w:val="en-AU"/>
        </w:rPr>
        <w:t xml:space="preserve"> 1 </w:t>
      </w:r>
      <w:proofErr w:type="spellStart"/>
      <w:r>
        <w:rPr>
          <w:rFonts w:ascii="Times New Roman" w:hAnsi="Times New Roman" w:cs="Times New Roman"/>
          <w:bCs/>
          <w:lang w:val="en-AU"/>
        </w:rPr>
        <w:t>priedas</w:t>
      </w:r>
      <w:proofErr w:type="spellEnd"/>
      <w:r w:rsidRPr="00C75467">
        <w:rPr>
          <w:rFonts w:ascii="Times New Roman" w:hAnsi="Times New Roman" w:cs="Times New Roman"/>
          <w:bCs/>
        </w:rPr>
        <w:t>“</w:t>
      </w:r>
    </w:p>
    <w:p w14:paraId="2B7A0280" w14:textId="77777777" w:rsidR="00441123" w:rsidRDefault="00441123" w:rsidP="001F1F08">
      <w:pPr>
        <w:spacing w:line="360" w:lineRule="auto"/>
        <w:jc w:val="center"/>
        <w:rPr>
          <w:rFonts w:ascii="Times New Roman" w:hAnsi="Times New Roman" w:cs="Times New Roman"/>
          <w:bCs/>
        </w:rPr>
      </w:pPr>
    </w:p>
    <w:p w14:paraId="66C3C028" w14:textId="0B8FECBF" w:rsidR="00057D1B" w:rsidRPr="001F1F08" w:rsidRDefault="00057D1B" w:rsidP="001F1F08">
      <w:pPr>
        <w:spacing w:line="360" w:lineRule="auto"/>
        <w:jc w:val="center"/>
        <w:rPr>
          <w:rFonts w:ascii="Times New Roman" w:hAnsi="Times New Roman" w:cs="Times New Roman"/>
        </w:rPr>
      </w:pPr>
      <w:r w:rsidRPr="001F1F08">
        <w:rPr>
          <w:rFonts w:ascii="Times New Roman" w:hAnsi="Times New Roman" w:cs="Times New Roman"/>
        </w:rPr>
        <w:t>TECHNINĖ SPECIFIKACIJA</w:t>
      </w:r>
      <w:r w:rsidR="00441123">
        <w:rPr>
          <w:rFonts w:ascii="Times New Roman" w:hAnsi="Times New Roman" w:cs="Times New Roman"/>
        </w:rPr>
        <w:t xml:space="preserve"> </w:t>
      </w:r>
    </w:p>
    <w:p w14:paraId="7EE267B9" w14:textId="1AF5E08B" w:rsidR="00057D1B" w:rsidRPr="001F1F08" w:rsidRDefault="00057D1B" w:rsidP="001F1F08">
      <w:pPr>
        <w:pStyle w:val="Sraopastraip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1F1F08">
        <w:rPr>
          <w:rFonts w:ascii="Times New Roman" w:hAnsi="Times New Roman" w:cs="Times New Roman"/>
        </w:rPr>
        <w:t>BENDRIEJI REIKALAVIMAI</w:t>
      </w:r>
      <w:r w:rsidR="00A2147F">
        <w:rPr>
          <w:rFonts w:ascii="Times New Roman" w:hAnsi="Times New Roman" w:cs="Times New Roman"/>
        </w:rPr>
        <w:t xml:space="preserve"> </w:t>
      </w:r>
      <w:r w:rsidRPr="001F1F08">
        <w:rPr>
          <w:rFonts w:ascii="Times New Roman" w:hAnsi="Times New Roman" w:cs="Times New Roman"/>
        </w:rPr>
        <w:t>ANALIZATORIUI:</w:t>
      </w:r>
    </w:p>
    <w:p w14:paraId="4EB21EB7" w14:textId="77777777" w:rsidR="00057D1B" w:rsidRPr="001F1F08" w:rsidRDefault="00057D1B" w:rsidP="001F1F08">
      <w:pPr>
        <w:pStyle w:val="Sraopastraipa"/>
        <w:numPr>
          <w:ilvl w:val="1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1F1F08">
        <w:rPr>
          <w:rFonts w:ascii="Times New Roman" w:hAnsi="Times New Roman" w:cs="Times New Roman"/>
          <w:lang w:val="en-US"/>
        </w:rPr>
        <w:t>Įranga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turi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būti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nauja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F1F08">
        <w:rPr>
          <w:rFonts w:ascii="Times New Roman" w:hAnsi="Times New Roman" w:cs="Times New Roman"/>
          <w:lang w:val="en-US"/>
        </w:rPr>
        <w:t>nenaudota</w:t>
      </w:r>
      <w:proofErr w:type="spellEnd"/>
      <w:r w:rsidRPr="001F1F08">
        <w:rPr>
          <w:rFonts w:ascii="Times New Roman" w:hAnsi="Times New Roman" w:cs="Times New Roman"/>
          <w:lang w:val="en-US"/>
        </w:rPr>
        <w:t>).</w:t>
      </w:r>
    </w:p>
    <w:p w14:paraId="22512BB9" w14:textId="77777777" w:rsidR="00057D1B" w:rsidRPr="001F1F08" w:rsidRDefault="00057D1B" w:rsidP="001F1F08">
      <w:pPr>
        <w:pStyle w:val="Sraopastraipa"/>
        <w:numPr>
          <w:ilvl w:val="1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1F1F08">
        <w:rPr>
          <w:rFonts w:ascii="Times New Roman" w:hAnsi="Times New Roman" w:cs="Times New Roman"/>
          <w:lang w:val="en-US"/>
        </w:rPr>
        <w:t>Tiekėjas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kartu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su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pasiūlymu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privalo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pateikti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dokumentus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įrodančius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siūlomos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prekės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atitikimą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visiems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reikalavimams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nurodytiems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kiekviename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pirkimo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dokumentų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techninės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specifikacijos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punkte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t.y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1F08">
        <w:rPr>
          <w:rFonts w:ascii="Times New Roman" w:hAnsi="Times New Roman" w:cs="Times New Roman"/>
          <w:lang w:val="en-US"/>
        </w:rPr>
        <w:t>tiekėjas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privalo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pateikti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siūlomų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prekių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gamintojo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katalogus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Pr="001F1F08">
        <w:rPr>
          <w:rFonts w:ascii="Times New Roman" w:hAnsi="Times New Roman" w:cs="Times New Roman"/>
          <w:lang w:val="en-US"/>
        </w:rPr>
        <w:t>bukletus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Pr="001F1F08">
        <w:rPr>
          <w:rFonts w:ascii="Times New Roman" w:hAnsi="Times New Roman" w:cs="Times New Roman"/>
          <w:lang w:val="en-US"/>
        </w:rPr>
        <w:t>brošiūras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kuriuose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būtų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siūlomos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prekės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vaizdas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F1F08">
        <w:rPr>
          <w:rFonts w:ascii="Times New Roman" w:hAnsi="Times New Roman" w:cs="Times New Roman"/>
          <w:lang w:val="en-US"/>
        </w:rPr>
        <w:t>nuotraukos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brėžiniai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ar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pan.) </w:t>
      </w:r>
      <w:proofErr w:type="spellStart"/>
      <w:r w:rsidRPr="001F1F08">
        <w:rPr>
          <w:rFonts w:ascii="Times New Roman" w:hAnsi="Times New Roman" w:cs="Times New Roman"/>
          <w:lang w:val="en-US"/>
        </w:rPr>
        <w:t>su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išsamiu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siūlomų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prekių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techninių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charakteristikų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aprašymu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1F1F08">
        <w:rPr>
          <w:rFonts w:ascii="Times New Roman" w:hAnsi="Times New Roman" w:cs="Times New Roman"/>
          <w:lang w:val="en-US"/>
        </w:rPr>
        <w:t>prekės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pavadinimu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modeliu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F1F08">
        <w:rPr>
          <w:rFonts w:ascii="Times New Roman" w:hAnsi="Times New Roman" w:cs="Times New Roman"/>
          <w:lang w:val="en-US"/>
        </w:rPr>
        <w:t>jei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yra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1F1F08">
        <w:rPr>
          <w:rFonts w:ascii="Times New Roman" w:hAnsi="Times New Roman" w:cs="Times New Roman"/>
          <w:lang w:val="en-US"/>
        </w:rPr>
        <w:t>gamintoju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kilmės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šalimi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techninėmis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charakteristikomis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pagal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techninės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specifikacijos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reikalavimus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bei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visa </w:t>
      </w:r>
      <w:proofErr w:type="spellStart"/>
      <w:r w:rsidRPr="001F1F08">
        <w:rPr>
          <w:rFonts w:ascii="Times New Roman" w:hAnsi="Times New Roman" w:cs="Times New Roman"/>
          <w:lang w:val="en-US"/>
        </w:rPr>
        <w:t>informacija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pagrindžiančia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prekės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atitikimą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techninei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specifikacijai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originalo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ir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lietuvių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kalba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1F08">
        <w:rPr>
          <w:rFonts w:ascii="Times New Roman" w:hAnsi="Times New Roman" w:cs="Times New Roman"/>
          <w:lang w:val="en-US"/>
        </w:rPr>
        <w:t>Siūlomų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prekių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gamintojo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kataloguose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Pr="001F1F08">
        <w:rPr>
          <w:rFonts w:ascii="Times New Roman" w:hAnsi="Times New Roman" w:cs="Times New Roman"/>
          <w:lang w:val="en-US"/>
        </w:rPr>
        <w:t>bukletuose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Pr="001F1F08">
        <w:rPr>
          <w:rFonts w:ascii="Times New Roman" w:hAnsi="Times New Roman" w:cs="Times New Roman"/>
          <w:lang w:val="en-US"/>
        </w:rPr>
        <w:t>brošiūrose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ir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prekės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aprašyme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privaloma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grafiškai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nurodyti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F1F08">
        <w:rPr>
          <w:rFonts w:ascii="Times New Roman" w:hAnsi="Times New Roman" w:cs="Times New Roman"/>
          <w:lang w:val="en-US"/>
        </w:rPr>
        <w:t>t.y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1F08">
        <w:rPr>
          <w:rFonts w:ascii="Times New Roman" w:hAnsi="Times New Roman" w:cs="Times New Roman"/>
          <w:lang w:val="en-US"/>
        </w:rPr>
        <w:t>pastebimai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pažymėti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1F1F08">
        <w:rPr>
          <w:rFonts w:ascii="Times New Roman" w:hAnsi="Times New Roman" w:cs="Times New Roman"/>
          <w:lang w:val="en-US"/>
        </w:rPr>
        <w:t>spalvotai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markiruoti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ir</w:t>
      </w:r>
      <w:proofErr w:type="spellEnd"/>
      <w:r w:rsidRPr="001F1F08">
        <w:rPr>
          <w:rFonts w:ascii="Times New Roman" w:hAnsi="Times New Roman" w:cs="Times New Roman"/>
          <w:lang w:val="en-US"/>
        </w:rPr>
        <w:t>/</w:t>
      </w:r>
      <w:proofErr w:type="spellStart"/>
      <w:r w:rsidRPr="001F1F08">
        <w:rPr>
          <w:rFonts w:ascii="Times New Roman" w:hAnsi="Times New Roman" w:cs="Times New Roman"/>
          <w:lang w:val="en-US"/>
        </w:rPr>
        <w:t>ar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nurodyti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rodyklėmis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ir</w:t>
      </w:r>
      <w:proofErr w:type="spellEnd"/>
      <w:r w:rsidRPr="001F1F08">
        <w:rPr>
          <w:rFonts w:ascii="Times New Roman" w:hAnsi="Times New Roman" w:cs="Times New Roman"/>
          <w:lang w:val="en-US"/>
        </w:rPr>
        <w:t>/</w:t>
      </w:r>
      <w:proofErr w:type="spellStart"/>
      <w:r w:rsidRPr="001F1F08">
        <w:rPr>
          <w:rFonts w:ascii="Times New Roman" w:hAnsi="Times New Roman" w:cs="Times New Roman"/>
          <w:lang w:val="en-US"/>
        </w:rPr>
        <w:t>ar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pabraukti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1F1F08">
        <w:rPr>
          <w:rFonts w:ascii="Times New Roman" w:hAnsi="Times New Roman" w:cs="Times New Roman"/>
          <w:lang w:val="en-US"/>
        </w:rPr>
        <w:t>konkrečias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teikiamų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dokumentų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vietas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kur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aprašomos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reikalaujamų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techninių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charakteristikų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reikšmės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bei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įrašyti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kurį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techninės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specifikacijos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reikalaujamo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techninio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parametro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punktą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jos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atitinka</w:t>
      </w:r>
      <w:proofErr w:type="spellEnd"/>
      <w:r w:rsidRPr="001F1F08">
        <w:rPr>
          <w:rFonts w:ascii="Times New Roman" w:hAnsi="Times New Roman" w:cs="Times New Roman"/>
          <w:lang w:val="en-US"/>
        </w:rPr>
        <w:t>.</w:t>
      </w:r>
    </w:p>
    <w:p w14:paraId="1F07187F" w14:textId="77777777" w:rsidR="00057D1B" w:rsidRPr="001F1F08" w:rsidRDefault="00057D1B" w:rsidP="001F1F08">
      <w:pPr>
        <w:pStyle w:val="Sraopastraipa"/>
        <w:numPr>
          <w:ilvl w:val="1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1F1F08">
        <w:rPr>
          <w:rFonts w:ascii="Times New Roman" w:hAnsi="Times New Roman" w:cs="Times New Roman"/>
          <w:lang w:val="en-US"/>
        </w:rPr>
        <w:t>Tiekėjas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kartu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su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įranga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privalo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pateikti</w:t>
      </w:r>
      <w:proofErr w:type="spellEnd"/>
      <w:r w:rsidRPr="001F1F08">
        <w:rPr>
          <w:rFonts w:ascii="Times New Roman" w:hAnsi="Times New Roman" w:cs="Times New Roman"/>
          <w:lang w:val="en-US"/>
        </w:rPr>
        <w:t>:</w:t>
      </w:r>
    </w:p>
    <w:p w14:paraId="6E439421" w14:textId="77777777" w:rsidR="00057D1B" w:rsidRPr="001F1F08" w:rsidRDefault="00057D1B" w:rsidP="001F1F08">
      <w:pPr>
        <w:pStyle w:val="Sraopastraipa"/>
        <w:numPr>
          <w:ilvl w:val="2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1F1F08">
        <w:rPr>
          <w:rFonts w:ascii="Times New Roman" w:hAnsi="Times New Roman" w:cs="Times New Roman"/>
          <w:lang w:val="en-US"/>
        </w:rPr>
        <w:t>prekės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vartotojo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instrukciją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originalo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ir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lietuvių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kalba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prietaiso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pasą</w:t>
      </w:r>
      <w:proofErr w:type="spellEnd"/>
      <w:r w:rsidRPr="001F1F08">
        <w:rPr>
          <w:rFonts w:ascii="Times New Roman" w:hAnsi="Times New Roman" w:cs="Times New Roman"/>
          <w:lang w:val="en-US"/>
        </w:rPr>
        <w:t>,</w:t>
      </w:r>
    </w:p>
    <w:p w14:paraId="3196A795" w14:textId="77777777" w:rsidR="00057D1B" w:rsidRPr="001F1F08" w:rsidRDefault="00057D1B" w:rsidP="001F1F08">
      <w:pPr>
        <w:pStyle w:val="Sraopastraipa"/>
        <w:numPr>
          <w:ilvl w:val="2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1F1F08">
        <w:rPr>
          <w:rFonts w:ascii="Times New Roman" w:hAnsi="Times New Roman" w:cs="Times New Roman"/>
          <w:lang w:val="en-US"/>
        </w:rPr>
        <w:t>dokumentus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įrodančius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kad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tiekėjas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F1F08">
        <w:rPr>
          <w:rFonts w:ascii="Times New Roman" w:hAnsi="Times New Roman" w:cs="Times New Roman"/>
          <w:lang w:val="en-US"/>
        </w:rPr>
        <w:t>ar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jo </w:t>
      </w:r>
      <w:proofErr w:type="spellStart"/>
      <w:r w:rsidRPr="001F1F08">
        <w:rPr>
          <w:rFonts w:ascii="Times New Roman" w:hAnsi="Times New Roman" w:cs="Times New Roman"/>
          <w:lang w:val="en-US"/>
        </w:rPr>
        <w:t>subtiekėjas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1F1F08">
        <w:rPr>
          <w:rFonts w:ascii="Times New Roman" w:hAnsi="Times New Roman" w:cs="Times New Roman"/>
          <w:lang w:val="en-US"/>
        </w:rPr>
        <w:t>yra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oficialus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siūlomų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prekių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gamintojo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atstovas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F1F08">
        <w:rPr>
          <w:rFonts w:ascii="Times New Roman" w:hAnsi="Times New Roman" w:cs="Times New Roman"/>
          <w:lang w:val="en-US"/>
        </w:rPr>
        <w:t>jei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jis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nėra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gamintojas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1F1F08">
        <w:rPr>
          <w:rFonts w:ascii="Times New Roman" w:hAnsi="Times New Roman" w:cs="Times New Roman"/>
          <w:lang w:val="en-US"/>
        </w:rPr>
        <w:t>įgaliotas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atstovauti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ir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techniškai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aptarnauti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prekę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arba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turi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oficialų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susitarimą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su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kitu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ūkio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subjektu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kuris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atliks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siūlomų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prekių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gamintojo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sertifikuotą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aptarnavimą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visą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sutarties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galiojimo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laikotarpį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originalo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ir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lietuvių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kalba</w:t>
      </w:r>
      <w:proofErr w:type="spellEnd"/>
      <w:r w:rsidRPr="001F1F08">
        <w:rPr>
          <w:rFonts w:ascii="Times New Roman" w:hAnsi="Times New Roman" w:cs="Times New Roman"/>
          <w:lang w:val="en-US"/>
        </w:rPr>
        <w:t>,</w:t>
      </w:r>
    </w:p>
    <w:p w14:paraId="7BA7C0B0" w14:textId="77777777" w:rsidR="00057D1B" w:rsidRPr="001F1F08" w:rsidRDefault="00057D1B" w:rsidP="001F1F08">
      <w:pPr>
        <w:pStyle w:val="Sraopastraipa"/>
        <w:numPr>
          <w:ilvl w:val="2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1F1F08">
        <w:rPr>
          <w:rFonts w:ascii="Times New Roman" w:hAnsi="Times New Roman" w:cs="Times New Roman"/>
          <w:lang w:val="en-US"/>
        </w:rPr>
        <w:t>pateikti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paskelbtosios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F1F08">
        <w:rPr>
          <w:rFonts w:ascii="Times New Roman" w:hAnsi="Times New Roman" w:cs="Times New Roman"/>
          <w:lang w:val="en-US"/>
        </w:rPr>
        <w:t>notifikuotos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1F1F08">
        <w:rPr>
          <w:rFonts w:ascii="Times New Roman" w:hAnsi="Times New Roman" w:cs="Times New Roman"/>
          <w:lang w:val="en-US"/>
        </w:rPr>
        <w:t>įstaigos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išduotą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CE </w:t>
      </w:r>
      <w:proofErr w:type="spellStart"/>
      <w:r w:rsidRPr="001F1F08">
        <w:rPr>
          <w:rFonts w:ascii="Times New Roman" w:hAnsi="Times New Roman" w:cs="Times New Roman"/>
          <w:lang w:val="en-US"/>
        </w:rPr>
        <w:t>sertifikatą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arba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siūlomų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prekių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gamintojų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CE </w:t>
      </w:r>
      <w:proofErr w:type="spellStart"/>
      <w:r w:rsidRPr="001F1F08">
        <w:rPr>
          <w:rFonts w:ascii="Times New Roman" w:hAnsi="Times New Roman" w:cs="Times New Roman"/>
          <w:lang w:val="en-US"/>
        </w:rPr>
        <w:t>atitikties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deklaracijų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arba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lygiaverčių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dokumentų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patvirtinančių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kad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siūlomos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prekės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atitinka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Europos </w:t>
      </w:r>
      <w:proofErr w:type="spellStart"/>
      <w:r w:rsidRPr="001F1F08">
        <w:rPr>
          <w:rFonts w:ascii="Times New Roman" w:hAnsi="Times New Roman" w:cs="Times New Roman"/>
          <w:lang w:val="en-US"/>
        </w:rPr>
        <w:t>Sąjungos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IVDR </w:t>
      </w:r>
      <w:proofErr w:type="spellStart"/>
      <w:r w:rsidRPr="001F1F08">
        <w:rPr>
          <w:rFonts w:ascii="Times New Roman" w:hAnsi="Times New Roman" w:cs="Times New Roman"/>
          <w:lang w:val="en-US"/>
        </w:rPr>
        <w:t>direktyvoje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nustatytus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reikalavimus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kopijas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originalo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ir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lietuvių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kalba</w:t>
      </w:r>
      <w:proofErr w:type="spellEnd"/>
      <w:r w:rsidRPr="001F1F08">
        <w:rPr>
          <w:rFonts w:ascii="Times New Roman" w:hAnsi="Times New Roman" w:cs="Times New Roman"/>
          <w:lang w:val="en-US"/>
        </w:rPr>
        <w:t>.</w:t>
      </w:r>
    </w:p>
    <w:p w14:paraId="6D981DAA" w14:textId="77777777" w:rsidR="00057D1B" w:rsidRPr="001F1F08" w:rsidRDefault="00057D1B" w:rsidP="001F1F08">
      <w:pPr>
        <w:pStyle w:val="Sraopastraipa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F1F08">
        <w:rPr>
          <w:rFonts w:ascii="Times New Roman" w:hAnsi="Times New Roman" w:cs="Times New Roman"/>
          <w:lang w:val="en-US"/>
        </w:rPr>
        <w:t xml:space="preserve">        1.4 Kartu </w:t>
      </w:r>
      <w:proofErr w:type="spellStart"/>
      <w:r w:rsidRPr="001F1F08">
        <w:rPr>
          <w:rFonts w:ascii="Times New Roman" w:hAnsi="Times New Roman" w:cs="Times New Roman"/>
          <w:lang w:val="en-US"/>
        </w:rPr>
        <w:t>su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įranga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pateikiamas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prietaiso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techninis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pasas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F1F08">
        <w:rPr>
          <w:rFonts w:ascii="Times New Roman" w:hAnsi="Times New Roman" w:cs="Times New Roman"/>
          <w:lang w:val="en-US"/>
        </w:rPr>
        <w:t>Tiekėjas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pateikdamas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prekę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surašo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duomenis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apie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medicinos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prietaiso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instaliavimą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išbandymą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F1F08">
        <w:rPr>
          <w:rFonts w:ascii="Times New Roman" w:hAnsi="Times New Roman" w:cs="Times New Roman"/>
          <w:lang w:val="en-US"/>
        </w:rPr>
        <w:t>darbuotojų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apmokymą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ir</w:t>
      </w:r>
      <w:proofErr w:type="spellEnd"/>
      <w:r w:rsidRPr="001F1F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1F08">
        <w:rPr>
          <w:rFonts w:ascii="Times New Roman" w:hAnsi="Times New Roman" w:cs="Times New Roman"/>
          <w:lang w:val="en-US"/>
        </w:rPr>
        <w:t>instruktavimą</w:t>
      </w:r>
      <w:proofErr w:type="spellEnd"/>
      <w:r w:rsidRPr="001F1F08">
        <w:rPr>
          <w:rFonts w:ascii="Times New Roman" w:hAnsi="Times New Roman" w:cs="Times New Roman"/>
          <w:lang w:val="en-US"/>
        </w:rPr>
        <w:t>.</w:t>
      </w:r>
    </w:p>
    <w:p w14:paraId="208C8A19" w14:textId="77777777" w:rsidR="00057D1B" w:rsidRPr="001F1F08" w:rsidRDefault="00057D1B" w:rsidP="001F1F08">
      <w:pPr>
        <w:spacing w:line="360" w:lineRule="auto"/>
        <w:jc w:val="both"/>
        <w:rPr>
          <w:rFonts w:ascii="Times New Roman" w:hAnsi="Times New Roman" w:cs="Times New Roman"/>
        </w:rPr>
      </w:pPr>
    </w:p>
    <w:p w14:paraId="718A916D" w14:textId="77777777" w:rsidR="00057D1B" w:rsidRPr="001F1F08" w:rsidRDefault="00057D1B" w:rsidP="001F1F08">
      <w:pPr>
        <w:spacing w:line="360" w:lineRule="auto"/>
        <w:jc w:val="both"/>
        <w:rPr>
          <w:rFonts w:ascii="Times New Roman" w:hAnsi="Times New Roman" w:cs="Times New Roman"/>
        </w:rPr>
      </w:pPr>
    </w:p>
    <w:p w14:paraId="6F8138B4" w14:textId="77777777" w:rsidR="00057D1B" w:rsidRPr="001F1F08" w:rsidRDefault="00057D1B" w:rsidP="001F1F08">
      <w:pPr>
        <w:spacing w:line="360" w:lineRule="auto"/>
        <w:jc w:val="both"/>
        <w:rPr>
          <w:rFonts w:ascii="Times New Roman" w:hAnsi="Times New Roman" w:cs="Times New Roman"/>
        </w:rPr>
      </w:pPr>
    </w:p>
    <w:p w14:paraId="74ACA654" w14:textId="77777777" w:rsidR="00057D1B" w:rsidRPr="001F1F08" w:rsidRDefault="00057D1B" w:rsidP="001F1F08">
      <w:pPr>
        <w:pStyle w:val="Sraopastraip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1F1F08">
        <w:rPr>
          <w:rFonts w:ascii="Times New Roman" w:hAnsi="Times New Roman" w:cs="Times New Roman"/>
        </w:rPr>
        <w:t>SPECIALIEJI REIKALAVIMAI</w:t>
      </w:r>
    </w:p>
    <w:p w14:paraId="06764571" w14:textId="58707E70" w:rsidR="00FF6583" w:rsidRPr="00A2147F" w:rsidRDefault="00A2147F" w:rsidP="00A2147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  <w:r w:rsidR="00FF6583" w:rsidRPr="00A2147F">
        <w:rPr>
          <w:rFonts w:ascii="Times New Roman" w:hAnsi="Times New Roman" w:cs="Times New Roman"/>
        </w:rPr>
        <w:t>AUTOMATIN</w:t>
      </w:r>
      <w:r w:rsidRPr="00A2147F">
        <w:rPr>
          <w:rFonts w:ascii="Times New Roman" w:hAnsi="Times New Roman" w:cs="Times New Roman"/>
        </w:rPr>
        <w:t>IUI</w:t>
      </w:r>
      <w:r w:rsidR="00FF6583" w:rsidRPr="00A2147F">
        <w:rPr>
          <w:rFonts w:ascii="Times New Roman" w:hAnsi="Times New Roman" w:cs="Times New Roman"/>
        </w:rPr>
        <w:t xml:space="preserve"> HEMATOLOGINI</w:t>
      </w:r>
      <w:r w:rsidRPr="00A2147F">
        <w:rPr>
          <w:rFonts w:ascii="Times New Roman" w:hAnsi="Times New Roman" w:cs="Times New Roman"/>
        </w:rPr>
        <w:t>UI</w:t>
      </w:r>
      <w:r w:rsidR="00FF6583" w:rsidRPr="00A2147F">
        <w:rPr>
          <w:rFonts w:ascii="Times New Roman" w:hAnsi="Times New Roman" w:cs="Times New Roman"/>
        </w:rPr>
        <w:t xml:space="preserve"> IR CRB TYRIMUS ATLIEKAN</w:t>
      </w:r>
      <w:r w:rsidRPr="00A2147F">
        <w:rPr>
          <w:rFonts w:ascii="Times New Roman" w:hAnsi="Times New Roman" w:cs="Times New Roman"/>
        </w:rPr>
        <w:t>ČIAM</w:t>
      </w:r>
      <w:r w:rsidR="00FF6583" w:rsidRPr="00A2147F">
        <w:rPr>
          <w:rFonts w:ascii="Times New Roman" w:hAnsi="Times New Roman" w:cs="Times New Roman"/>
        </w:rPr>
        <w:t xml:space="preserve"> ANALIZATORIU</w:t>
      </w:r>
      <w:r w:rsidRPr="00A2147F">
        <w:rPr>
          <w:rFonts w:ascii="Times New Roman" w:hAnsi="Times New Roman" w:cs="Times New Roman"/>
        </w:rPr>
        <w:t>I</w:t>
      </w:r>
      <w:r w:rsidR="00FF6583" w:rsidRPr="00A2147F">
        <w:rPr>
          <w:rFonts w:ascii="Times New Roman" w:hAnsi="Times New Roman" w:cs="Times New Roman"/>
        </w:rPr>
        <w:t xml:space="preserve"> – 1 VNT. </w:t>
      </w:r>
    </w:p>
    <w:p w14:paraId="56F69972" w14:textId="7A400E6C" w:rsidR="00057D1B" w:rsidRPr="001F1F08" w:rsidRDefault="00057D1B" w:rsidP="001F1F08">
      <w:pPr>
        <w:pStyle w:val="Sraopastraipa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F1F08">
        <w:rPr>
          <w:rFonts w:ascii="Times New Roman" w:hAnsi="Times New Roman" w:cs="Times New Roman"/>
        </w:rPr>
        <w:t xml:space="preserve">Siūlomas analizatorius turi atitikti šiuos minimalius reikalavimus ir Tiekėjas kartu su pasiūlymu privalo pateikti užpildytą lentelę: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7"/>
        <w:gridCol w:w="1816"/>
        <w:gridCol w:w="4976"/>
        <w:gridCol w:w="1969"/>
      </w:tblGrid>
      <w:tr w:rsidR="00057D1B" w:rsidRPr="001F1F08" w14:paraId="5EC1AF50" w14:textId="77777777" w:rsidTr="000436B3">
        <w:trPr>
          <w:trHeight w:val="896"/>
        </w:trPr>
        <w:tc>
          <w:tcPr>
            <w:tcW w:w="868" w:type="dxa"/>
            <w:vAlign w:val="center"/>
          </w:tcPr>
          <w:p w14:paraId="6D3AA617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F1F08">
              <w:rPr>
                <w:rFonts w:ascii="Times New Roman" w:hAnsi="Times New Roman" w:cs="Times New Roman"/>
                <w:b/>
                <w:bCs/>
              </w:rPr>
              <w:t>Eil.Nr</w:t>
            </w:r>
            <w:proofErr w:type="spellEnd"/>
          </w:p>
        </w:tc>
        <w:tc>
          <w:tcPr>
            <w:tcW w:w="1679" w:type="dxa"/>
            <w:vAlign w:val="center"/>
          </w:tcPr>
          <w:p w14:paraId="7E02AC40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  <w:b/>
                <w:bCs/>
              </w:rPr>
              <w:t>Parametrai</w:t>
            </w:r>
            <w:proofErr w:type="spellEnd"/>
            <w:r w:rsidRPr="001F1F08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1F1F08">
              <w:rPr>
                <w:rFonts w:ascii="Times New Roman" w:hAnsi="Times New Roman" w:cs="Times New Roman"/>
                <w:b/>
                <w:bCs/>
              </w:rPr>
              <w:t>specifikacija</w:t>
            </w:r>
            <w:proofErr w:type="spellEnd"/>
            <w:r w:rsidRPr="001F1F0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103" w:type="dxa"/>
            <w:vAlign w:val="center"/>
          </w:tcPr>
          <w:p w14:paraId="479702AB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  <w:b/>
                <w:bCs/>
              </w:rPr>
              <w:t>Parametro</w:t>
            </w:r>
            <w:proofErr w:type="spellEnd"/>
            <w:r w:rsidRPr="001F1F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  <w:b/>
                <w:bCs/>
              </w:rPr>
              <w:t>reikšmė</w:t>
            </w:r>
            <w:proofErr w:type="spellEnd"/>
          </w:p>
        </w:tc>
        <w:tc>
          <w:tcPr>
            <w:tcW w:w="1978" w:type="dxa"/>
            <w:vAlign w:val="center"/>
          </w:tcPr>
          <w:p w14:paraId="074E37DC" w14:textId="77777777" w:rsidR="00057D1B" w:rsidRPr="001F1F08" w:rsidRDefault="00057D1B" w:rsidP="000436B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  <w:b/>
                <w:bCs/>
              </w:rPr>
              <w:t>Siūlomos</w:t>
            </w:r>
            <w:proofErr w:type="spellEnd"/>
            <w:r w:rsidRPr="001F1F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  <w:b/>
                <w:bCs/>
              </w:rPr>
              <w:t>įrangos</w:t>
            </w:r>
            <w:proofErr w:type="spellEnd"/>
            <w:r w:rsidRPr="001F1F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  <w:b/>
                <w:bCs/>
              </w:rPr>
              <w:t>parametrai</w:t>
            </w:r>
            <w:proofErr w:type="spellEnd"/>
            <w:r w:rsidRPr="001F1F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  <w:b/>
                <w:bCs/>
              </w:rPr>
              <w:t>su</w:t>
            </w:r>
            <w:proofErr w:type="spellEnd"/>
            <w:r w:rsidRPr="001F1F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  <w:b/>
                <w:bCs/>
              </w:rPr>
              <w:t>nuoroda</w:t>
            </w:r>
            <w:proofErr w:type="spellEnd"/>
            <w:r w:rsidRPr="001F1F08">
              <w:rPr>
                <w:rFonts w:ascii="Times New Roman" w:hAnsi="Times New Roman" w:cs="Times New Roman"/>
                <w:b/>
                <w:bCs/>
              </w:rPr>
              <w:t xml:space="preserve"> į </w:t>
            </w:r>
            <w:proofErr w:type="spellStart"/>
            <w:r w:rsidRPr="001F1F08">
              <w:rPr>
                <w:rFonts w:ascii="Times New Roman" w:hAnsi="Times New Roman" w:cs="Times New Roman"/>
                <w:b/>
                <w:bCs/>
              </w:rPr>
              <w:t>gaminio</w:t>
            </w:r>
            <w:proofErr w:type="spellEnd"/>
            <w:r w:rsidRPr="001F1F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  <w:b/>
                <w:bCs/>
              </w:rPr>
              <w:t>dokumentaciją</w:t>
            </w:r>
            <w:proofErr w:type="spellEnd"/>
          </w:p>
        </w:tc>
      </w:tr>
      <w:tr w:rsidR="00FF6583" w:rsidRPr="001F1F08" w14:paraId="73B30373" w14:textId="77777777" w:rsidTr="000436B3">
        <w:tc>
          <w:tcPr>
            <w:tcW w:w="868" w:type="dxa"/>
            <w:vAlign w:val="center"/>
          </w:tcPr>
          <w:p w14:paraId="476F7956" w14:textId="77777777" w:rsidR="00057D1B" w:rsidRPr="001F1F08" w:rsidRDefault="00057D1B" w:rsidP="001F1F08">
            <w:pPr>
              <w:pStyle w:val="Sraopastraipa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1A8EB9F4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Įranga</w:t>
            </w:r>
            <w:proofErr w:type="spellEnd"/>
          </w:p>
        </w:tc>
        <w:tc>
          <w:tcPr>
            <w:tcW w:w="5103" w:type="dxa"/>
            <w:vAlign w:val="center"/>
          </w:tcPr>
          <w:p w14:paraId="708073B8" w14:textId="77777777" w:rsidR="00057D1B" w:rsidRPr="001F1F08" w:rsidRDefault="00057D1B" w:rsidP="000436B3">
            <w:pPr>
              <w:pStyle w:val="Sraopastraip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 xml:space="preserve">Analizatorius, </w:t>
            </w:r>
            <w:proofErr w:type="spellStart"/>
            <w:r w:rsidRPr="001F1F08">
              <w:rPr>
                <w:rFonts w:ascii="Times New Roman" w:hAnsi="Times New Roman" w:cs="Times New Roman"/>
              </w:rPr>
              <w:t>kuris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atlieka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bendrą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hematologinį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tyrimą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(CBC) </w:t>
            </w:r>
            <w:proofErr w:type="spellStart"/>
            <w:r w:rsidRPr="001F1F08">
              <w:rPr>
                <w:rFonts w:ascii="Times New Roman" w:hAnsi="Times New Roman" w:cs="Times New Roman"/>
              </w:rPr>
              <w:t>su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leukocitų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diferencijavimu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į 3 </w:t>
            </w:r>
            <w:proofErr w:type="spellStart"/>
            <w:r w:rsidRPr="001F1F08">
              <w:rPr>
                <w:rFonts w:ascii="Times New Roman" w:hAnsi="Times New Roman" w:cs="Times New Roman"/>
              </w:rPr>
              <w:t>dalis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ir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 w:rsidRPr="001F1F08">
              <w:rPr>
                <w:rFonts w:ascii="Times New Roman" w:hAnsi="Times New Roman" w:cs="Times New Roman"/>
              </w:rPr>
              <w:t>reaktyvinio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baltymo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tyrimą</w:t>
            </w:r>
            <w:proofErr w:type="spellEnd"/>
            <w:r w:rsidRPr="001F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8" w:type="dxa"/>
            <w:vAlign w:val="center"/>
          </w:tcPr>
          <w:p w14:paraId="0AE44EE3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D1B" w:rsidRPr="001F1F08" w14:paraId="347D79E2" w14:textId="77777777" w:rsidTr="000436B3">
        <w:tc>
          <w:tcPr>
            <w:tcW w:w="868" w:type="dxa"/>
            <w:vAlign w:val="center"/>
          </w:tcPr>
          <w:p w14:paraId="35983A54" w14:textId="77777777" w:rsidR="00057D1B" w:rsidRPr="001F1F08" w:rsidRDefault="00057D1B" w:rsidP="001F1F08">
            <w:pPr>
              <w:pStyle w:val="Sraopastraipa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2C02838E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Matuojami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1F1F08">
              <w:rPr>
                <w:rFonts w:ascii="Times New Roman" w:hAnsi="Times New Roman" w:cs="Times New Roman"/>
              </w:rPr>
              <w:t>mažiau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kaip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šie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parametrai</w:t>
            </w:r>
            <w:proofErr w:type="spellEnd"/>
          </w:p>
        </w:tc>
        <w:tc>
          <w:tcPr>
            <w:tcW w:w="5103" w:type="dxa"/>
            <w:vAlign w:val="center"/>
          </w:tcPr>
          <w:p w14:paraId="777DACA8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>WBC, RBC, HGB, HCT, MCV,</w:t>
            </w:r>
          </w:p>
          <w:p w14:paraId="2B55B393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>MCH, MCHC, PLT, RDW-CW,</w:t>
            </w:r>
          </w:p>
          <w:p w14:paraId="11D6E2B3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>RDW-SD, PDW, MPV, PCT,</w:t>
            </w:r>
          </w:p>
          <w:p w14:paraId="7BC3ADC3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monocitai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(#, %), </w:t>
            </w:r>
            <w:proofErr w:type="spellStart"/>
            <w:r w:rsidRPr="001F1F08">
              <w:rPr>
                <w:rFonts w:ascii="Times New Roman" w:hAnsi="Times New Roman" w:cs="Times New Roman"/>
              </w:rPr>
              <w:t>limfocitai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(#, %),</w:t>
            </w:r>
          </w:p>
          <w:p w14:paraId="1CEE0FA6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granuliocitai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(#, %) </w:t>
            </w:r>
            <w:proofErr w:type="spellStart"/>
            <w:r w:rsidRPr="001F1F08">
              <w:rPr>
                <w:rFonts w:ascii="Times New Roman" w:hAnsi="Times New Roman" w:cs="Times New Roman"/>
              </w:rPr>
              <w:t>ir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CRB (mg/L)</w:t>
            </w:r>
          </w:p>
        </w:tc>
        <w:tc>
          <w:tcPr>
            <w:tcW w:w="1978" w:type="dxa"/>
            <w:vAlign w:val="center"/>
          </w:tcPr>
          <w:p w14:paraId="73DB05E1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D1B" w:rsidRPr="001F1F08" w14:paraId="1FE9DEAA" w14:textId="77777777" w:rsidTr="000436B3">
        <w:tc>
          <w:tcPr>
            <w:tcW w:w="868" w:type="dxa"/>
            <w:vAlign w:val="center"/>
          </w:tcPr>
          <w:p w14:paraId="4CB9915E" w14:textId="77777777" w:rsidR="00057D1B" w:rsidRPr="001F1F08" w:rsidRDefault="00057D1B" w:rsidP="001F1F08">
            <w:pPr>
              <w:pStyle w:val="Sraopastraipa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060A9AD2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Mėginys</w:t>
            </w:r>
            <w:proofErr w:type="spellEnd"/>
          </w:p>
        </w:tc>
        <w:tc>
          <w:tcPr>
            <w:tcW w:w="5103" w:type="dxa"/>
            <w:vAlign w:val="center"/>
          </w:tcPr>
          <w:p w14:paraId="5FE20B55" w14:textId="77777777" w:rsidR="00057D1B" w:rsidRPr="001F1F08" w:rsidRDefault="00057D1B" w:rsidP="000436B3">
            <w:pPr>
              <w:pStyle w:val="Sraopastraip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Bendras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kraujas</w:t>
            </w:r>
            <w:proofErr w:type="spellEnd"/>
          </w:p>
        </w:tc>
        <w:tc>
          <w:tcPr>
            <w:tcW w:w="1978" w:type="dxa"/>
            <w:vAlign w:val="center"/>
          </w:tcPr>
          <w:p w14:paraId="7DD999B0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D1B" w:rsidRPr="001F1F08" w14:paraId="7F6E4163" w14:textId="77777777" w:rsidTr="000436B3">
        <w:tc>
          <w:tcPr>
            <w:tcW w:w="868" w:type="dxa"/>
            <w:vAlign w:val="center"/>
          </w:tcPr>
          <w:p w14:paraId="6A0FDE9F" w14:textId="77777777" w:rsidR="00057D1B" w:rsidRPr="001F1F08" w:rsidRDefault="00057D1B" w:rsidP="001F1F08">
            <w:pPr>
              <w:pStyle w:val="Sraopastraipa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7DDC62CF" w14:textId="77777777" w:rsidR="00057D1B" w:rsidRPr="001F1F08" w:rsidRDefault="00057D1B" w:rsidP="001F1F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Mėgintuvėliai</w:t>
            </w:r>
            <w:proofErr w:type="spellEnd"/>
          </w:p>
        </w:tc>
        <w:tc>
          <w:tcPr>
            <w:tcW w:w="5103" w:type="dxa"/>
            <w:vAlign w:val="center"/>
          </w:tcPr>
          <w:p w14:paraId="0AC7925E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Galimybė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matuoti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iš</w:t>
            </w:r>
            <w:proofErr w:type="spellEnd"/>
            <w:r w:rsidRPr="001F1F08">
              <w:rPr>
                <w:rFonts w:ascii="Times New Roman" w:hAnsi="Times New Roman" w:cs="Times New Roman"/>
              </w:rPr>
              <w:t>:</w:t>
            </w:r>
          </w:p>
          <w:p w14:paraId="2546DAAB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F1F08">
              <w:rPr>
                <w:rFonts w:ascii="Times New Roman" w:hAnsi="Times New Roman" w:cs="Times New Roman"/>
                <w:lang w:val="lt-LT"/>
              </w:rPr>
              <w:t>a) veninio kraujo mėgintuvėlių uždarų</w:t>
            </w:r>
          </w:p>
          <w:p w14:paraId="2A3FA6A4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F1F08">
              <w:rPr>
                <w:rFonts w:ascii="Times New Roman" w:hAnsi="Times New Roman" w:cs="Times New Roman"/>
                <w:lang w:val="lt-LT"/>
              </w:rPr>
              <w:t>mėgintuvėlių, adatai praduriant</w:t>
            </w:r>
          </w:p>
          <w:p w14:paraId="66E8B738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F1F08">
              <w:rPr>
                <w:rFonts w:ascii="Times New Roman" w:hAnsi="Times New Roman" w:cs="Times New Roman"/>
                <w:lang w:val="lt-LT"/>
              </w:rPr>
              <w:t>mėgintuvėlio kamštelį;</w:t>
            </w:r>
          </w:p>
          <w:p w14:paraId="08C9D0CA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F1F08">
              <w:rPr>
                <w:rFonts w:ascii="Times New Roman" w:hAnsi="Times New Roman" w:cs="Times New Roman"/>
                <w:lang w:val="lt-LT"/>
              </w:rPr>
              <w:t>c) atvirų kapiliarinio kraujo</w:t>
            </w:r>
          </w:p>
          <w:p w14:paraId="415B8902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mikromėgintuvėlių</w:t>
            </w:r>
            <w:proofErr w:type="spellEnd"/>
          </w:p>
        </w:tc>
        <w:tc>
          <w:tcPr>
            <w:tcW w:w="1978" w:type="dxa"/>
            <w:vAlign w:val="center"/>
          </w:tcPr>
          <w:p w14:paraId="6FA3F155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D1B" w:rsidRPr="001F1F08" w14:paraId="7C553C86" w14:textId="77777777" w:rsidTr="000436B3">
        <w:tc>
          <w:tcPr>
            <w:tcW w:w="868" w:type="dxa"/>
            <w:vAlign w:val="center"/>
          </w:tcPr>
          <w:p w14:paraId="43CF6861" w14:textId="77777777" w:rsidR="00057D1B" w:rsidRPr="001F1F08" w:rsidRDefault="00057D1B" w:rsidP="001F1F08">
            <w:pPr>
              <w:pStyle w:val="Sraopastraipa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06E41CFF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Mėginio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tūris</w:t>
            </w:r>
            <w:proofErr w:type="spellEnd"/>
          </w:p>
        </w:tc>
        <w:tc>
          <w:tcPr>
            <w:tcW w:w="5103" w:type="dxa"/>
            <w:vAlign w:val="center"/>
          </w:tcPr>
          <w:p w14:paraId="7839083F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1F1F08">
              <w:rPr>
                <w:rFonts w:ascii="Times New Roman" w:hAnsi="Times New Roman" w:cs="Times New Roman"/>
              </w:rPr>
              <w:t>daugiau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kaip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1F1F08">
              <w:rPr>
                <w:rFonts w:ascii="Times New Roman" w:hAnsi="Times New Roman" w:cs="Times New Roman"/>
              </w:rPr>
              <w:t>μl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kraujo</w:t>
            </w:r>
            <w:proofErr w:type="spellEnd"/>
          </w:p>
          <w:p w14:paraId="3EFE6022" w14:textId="5083259D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>CBC+CRP ir</w:t>
            </w:r>
            <w:r w:rsidR="00FF6583" w:rsidRPr="001F1F08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="00FF6583" w:rsidRPr="001F1F08">
              <w:rPr>
                <w:rFonts w:ascii="Times New Roman" w:hAnsi="Times New Roman" w:cs="Times New Roman"/>
              </w:rPr>
              <w:t>daugiau</w:t>
            </w:r>
            <w:proofErr w:type="spellEnd"/>
            <w:r w:rsidR="00FF6583"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6583" w:rsidRPr="001F1F08">
              <w:rPr>
                <w:rFonts w:ascii="Times New Roman" w:hAnsi="Times New Roman" w:cs="Times New Roman"/>
              </w:rPr>
              <w:t>kaip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1F1F08">
              <w:rPr>
                <w:rFonts w:ascii="Times New Roman" w:hAnsi="Times New Roman" w:cs="Times New Roman"/>
              </w:rPr>
              <w:t>μl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CBC</w:t>
            </w:r>
          </w:p>
        </w:tc>
        <w:tc>
          <w:tcPr>
            <w:tcW w:w="1978" w:type="dxa"/>
            <w:vAlign w:val="center"/>
          </w:tcPr>
          <w:p w14:paraId="3FBACCF2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D1B" w:rsidRPr="001F1F08" w14:paraId="304A2920" w14:textId="77777777" w:rsidTr="000436B3">
        <w:tc>
          <w:tcPr>
            <w:tcW w:w="868" w:type="dxa"/>
            <w:vAlign w:val="center"/>
          </w:tcPr>
          <w:p w14:paraId="6CFFCDFF" w14:textId="77777777" w:rsidR="00057D1B" w:rsidRPr="001F1F08" w:rsidRDefault="00057D1B" w:rsidP="001F1F08">
            <w:pPr>
              <w:pStyle w:val="Sraopastraipa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2C8EB071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Reagentų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monitoringas</w:t>
            </w:r>
            <w:proofErr w:type="spellEnd"/>
          </w:p>
        </w:tc>
        <w:tc>
          <w:tcPr>
            <w:tcW w:w="5103" w:type="dxa"/>
            <w:vAlign w:val="center"/>
          </w:tcPr>
          <w:p w14:paraId="79139BD1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Reagentų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registravimas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bei</w:t>
            </w:r>
            <w:proofErr w:type="spellEnd"/>
          </w:p>
          <w:p w14:paraId="004D86AF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reagentų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likučio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atvaizdavimas</w:t>
            </w:r>
            <w:proofErr w:type="spellEnd"/>
          </w:p>
        </w:tc>
        <w:tc>
          <w:tcPr>
            <w:tcW w:w="1978" w:type="dxa"/>
            <w:vAlign w:val="center"/>
          </w:tcPr>
          <w:p w14:paraId="39348E76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D1B" w:rsidRPr="001F1F08" w14:paraId="7B48E3DE" w14:textId="77777777" w:rsidTr="000436B3">
        <w:tc>
          <w:tcPr>
            <w:tcW w:w="868" w:type="dxa"/>
            <w:vAlign w:val="center"/>
          </w:tcPr>
          <w:p w14:paraId="281873D6" w14:textId="77777777" w:rsidR="00057D1B" w:rsidRPr="001F1F08" w:rsidRDefault="00057D1B" w:rsidP="001F1F08">
            <w:pPr>
              <w:pStyle w:val="Sraopastraipa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4D20AFF5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Mėginių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identifikavimas</w:t>
            </w:r>
            <w:proofErr w:type="spellEnd"/>
          </w:p>
        </w:tc>
        <w:tc>
          <w:tcPr>
            <w:tcW w:w="5103" w:type="dxa"/>
            <w:vAlign w:val="center"/>
          </w:tcPr>
          <w:p w14:paraId="7A0B3453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Mėginių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ir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kontrolinio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kraujo</w:t>
            </w:r>
            <w:proofErr w:type="spellEnd"/>
          </w:p>
          <w:p w14:paraId="1AE34AB1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mėgintuvėlių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identifikavimas</w:t>
            </w:r>
            <w:proofErr w:type="spellEnd"/>
          </w:p>
          <w:p w14:paraId="1CB52991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atliekamas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nuskaitant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brūkšninį</w:t>
            </w:r>
            <w:proofErr w:type="spellEnd"/>
          </w:p>
          <w:p w14:paraId="6D085B2B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kodą</w:t>
            </w:r>
            <w:proofErr w:type="spellEnd"/>
          </w:p>
        </w:tc>
        <w:tc>
          <w:tcPr>
            <w:tcW w:w="1978" w:type="dxa"/>
            <w:vAlign w:val="center"/>
          </w:tcPr>
          <w:p w14:paraId="749E6300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D1B" w:rsidRPr="001F1F08" w14:paraId="20EEDEC0" w14:textId="77777777" w:rsidTr="000436B3">
        <w:tc>
          <w:tcPr>
            <w:tcW w:w="868" w:type="dxa"/>
            <w:vAlign w:val="center"/>
          </w:tcPr>
          <w:p w14:paraId="365AB901" w14:textId="77777777" w:rsidR="00057D1B" w:rsidRPr="001F1F08" w:rsidRDefault="00057D1B" w:rsidP="001F1F08">
            <w:pPr>
              <w:pStyle w:val="Sraopastraipa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517830DB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Kokybės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kontrolė</w:t>
            </w:r>
            <w:proofErr w:type="spellEnd"/>
          </w:p>
        </w:tc>
        <w:tc>
          <w:tcPr>
            <w:tcW w:w="5103" w:type="dxa"/>
            <w:vAlign w:val="center"/>
          </w:tcPr>
          <w:p w14:paraId="0AF72511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Naudojama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viena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kontrolinė</w:t>
            </w:r>
            <w:proofErr w:type="spellEnd"/>
          </w:p>
          <w:p w14:paraId="4655B90B" w14:textId="77777777" w:rsidR="00057D1B" w:rsidRPr="001F1F08" w:rsidRDefault="00057D1B" w:rsidP="000436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medžiaga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CBC+CRP </w:t>
            </w:r>
            <w:proofErr w:type="spellStart"/>
            <w:r w:rsidRPr="001F1F08">
              <w:rPr>
                <w:rFonts w:ascii="Times New Roman" w:hAnsi="Times New Roman" w:cs="Times New Roman"/>
              </w:rPr>
              <w:t>matavimui</w:t>
            </w:r>
            <w:proofErr w:type="spellEnd"/>
          </w:p>
        </w:tc>
        <w:tc>
          <w:tcPr>
            <w:tcW w:w="1978" w:type="dxa"/>
            <w:vAlign w:val="center"/>
          </w:tcPr>
          <w:p w14:paraId="61A8B9DB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D1B" w:rsidRPr="001F1F08" w14:paraId="60CBF8BA" w14:textId="77777777" w:rsidTr="000436B3">
        <w:tc>
          <w:tcPr>
            <w:tcW w:w="868" w:type="dxa"/>
            <w:vAlign w:val="center"/>
          </w:tcPr>
          <w:p w14:paraId="06E43D93" w14:textId="77777777" w:rsidR="00057D1B" w:rsidRPr="001F1F08" w:rsidRDefault="00057D1B" w:rsidP="001F1F08">
            <w:pPr>
              <w:pStyle w:val="Sraopastraipa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7D1AF15D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Matavimo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ribos</w:t>
            </w:r>
            <w:proofErr w:type="spellEnd"/>
          </w:p>
        </w:tc>
        <w:tc>
          <w:tcPr>
            <w:tcW w:w="5103" w:type="dxa"/>
            <w:vAlign w:val="center"/>
          </w:tcPr>
          <w:p w14:paraId="0DAA6923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1F1F08">
              <w:rPr>
                <w:rFonts w:ascii="Times New Roman" w:hAnsi="Times New Roman" w:cs="Times New Roman"/>
              </w:rPr>
              <w:t>siauresnės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kaip</w:t>
            </w:r>
            <w:proofErr w:type="spellEnd"/>
            <w:r w:rsidRPr="001F1F08">
              <w:rPr>
                <w:rFonts w:ascii="Times New Roman" w:hAnsi="Times New Roman" w:cs="Times New Roman"/>
              </w:rPr>
              <w:t>:</w:t>
            </w:r>
          </w:p>
          <w:p w14:paraId="5D900A00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>WBC 0 – 200,0(103/</w:t>
            </w:r>
            <w:proofErr w:type="spellStart"/>
            <w:r w:rsidRPr="001F1F08">
              <w:rPr>
                <w:rFonts w:ascii="Times New Roman" w:hAnsi="Times New Roman" w:cs="Times New Roman"/>
              </w:rPr>
              <w:t>μL</w:t>
            </w:r>
            <w:proofErr w:type="spellEnd"/>
            <w:r w:rsidRPr="001F1F08">
              <w:rPr>
                <w:rFonts w:ascii="Times New Roman" w:hAnsi="Times New Roman" w:cs="Times New Roman"/>
              </w:rPr>
              <w:t>)</w:t>
            </w:r>
          </w:p>
          <w:p w14:paraId="79DC9B3B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>RBC 0– 9 (1012/L)</w:t>
            </w:r>
          </w:p>
          <w:p w14:paraId="1F3C2298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>HGB 0 – 240 g/l</w:t>
            </w:r>
          </w:p>
          <w:p w14:paraId="6107D3F2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lastRenderedPageBreak/>
              <w:t>HCT 2 – 80 %</w:t>
            </w:r>
          </w:p>
          <w:p w14:paraId="045AC3A2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>PLT 0 – 1400 (109/L)</w:t>
            </w:r>
          </w:p>
          <w:p w14:paraId="290FD3BA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>CRB 2,0 – 300 mg/L (</w:t>
            </w:r>
            <w:proofErr w:type="spellStart"/>
            <w:r w:rsidRPr="001F1F08">
              <w:rPr>
                <w:rFonts w:ascii="Times New Roman" w:hAnsi="Times New Roman" w:cs="Times New Roman"/>
              </w:rPr>
              <w:t>iš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bendro</w:t>
            </w:r>
            <w:proofErr w:type="spellEnd"/>
          </w:p>
          <w:p w14:paraId="5F3A510C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kraujo</w:t>
            </w:r>
            <w:proofErr w:type="spellEnd"/>
            <w:r w:rsidRPr="001F1F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8" w:type="dxa"/>
            <w:vAlign w:val="center"/>
          </w:tcPr>
          <w:p w14:paraId="5B442854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D1B" w:rsidRPr="001F1F08" w14:paraId="73A09F7C" w14:textId="77777777" w:rsidTr="000436B3">
        <w:tc>
          <w:tcPr>
            <w:tcW w:w="868" w:type="dxa"/>
            <w:vAlign w:val="center"/>
          </w:tcPr>
          <w:p w14:paraId="0C11EC16" w14:textId="77777777" w:rsidR="00057D1B" w:rsidRPr="001F1F08" w:rsidRDefault="00057D1B" w:rsidP="001F1F08">
            <w:pPr>
              <w:pStyle w:val="Sraopastraipa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269ACCC7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Matavimo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paklaidos</w:t>
            </w:r>
            <w:proofErr w:type="spellEnd"/>
          </w:p>
        </w:tc>
        <w:tc>
          <w:tcPr>
            <w:tcW w:w="5103" w:type="dxa"/>
            <w:vAlign w:val="center"/>
          </w:tcPr>
          <w:p w14:paraId="1BAEBE65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>WBC ≤2.0%</w:t>
            </w:r>
          </w:p>
          <w:p w14:paraId="19CAE2D7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>RBC ≤1.5%</w:t>
            </w:r>
          </w:p>
          <w:p w14:paraId="176D03C9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>HGB ≤1.5%</w:t>
            </w:r>
          </w:p>
          <w:p w14:paraId="4C36F9E7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>MCV ≤1.5%</w:t>
            </w:r>
          </w:p>
          <w:p w14:paraId="741E027C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>PLT ≤1.5%</w:t>
            </w:r>
          </w:p>
        </w:tc>
        <w:tc>
          <w:tcPr>
            <w:tcW w:w="1978" w:type="dxa"/>
            <w:vAlign w:val="center"/>
          </w:tcPr>
          <w:p w14:paraId="3E523AA5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D1B" w:rsidRPr="001F1F08" w14:paraId="2BDCAABF" w14:textId="77777777" w:rsidTr="000436B3">
        <w:tc>
          <w:tcPr>
            <w:tcW w:w="868" w:type="dxa"/>
            <w:vAlign w:val="center"/>
          </w:tcPr>
          <w:p w14:paraId="74134630" w14:textId="77777777" w:rsidR="00057D1B" w:rsidRPr="001F1F08" w:rsidRDefault="00057D1B" w:rsidP="001F1F08">
            <w:pPr>
              <w:pStyle w:val="Sraopastraipa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2278A03E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Matavimo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laikas</w:t>
            </w:r>
            <w:proofErr w:type="spellEnd"/>
          </w:p>
        </w:tc>
        <w:tc>
          <w:tcPr>
            <w:tcW w:w="5103" w:type="dxa"/>
            <w:vAlign w:val="center"/>
          </w:tcPr>
          <w:p w14:paraId="08A8274B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 xml:space="preserve">CBC ne </w:t>
            </w:r>
            <w:proofErr w:type="spellStart"/>
            <w:r w:rsidRPr="001F1F08">
              <w:rPr>
                <w:rFonts w:ascii="Times New Roman" w:hAnsi="Times New Roman" w:cs="Times New Roman"/>
              </w:rPr>
              <w:t>daugiau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kaip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1 min</w:t>
            </w:r>
          </w:p>
          <w:p w14:paraId="35F827A3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 xml:space="preserve">CRP ne </w:t>
            </w:r>
            <w:proofErr w:type="spellStart"/>
            <w:r w:rsidRPr="001F1F08">
              <w:rPr>
                <w:rFonts w:ascii="Times New Roman" w:hAnsi="Times New Roman" w:cs="Times New Roman"/>
              </w:rPr>
              <w:t>daugiau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kaip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4min</w:t>
            </w:r>
          </w:p>
        </w:tc>
        <w:tc>
          <w:tcPr>
            <w:tcW w:w="1978" w:type="dxa"/>
            <w:vAlign w:val="center"/>
          </w:tcPr>
          <w:p w14:paraId="0C156552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D1B" w:rsidRPr="001F1F08" w14:paraId="627C05A0" w14:textId="77777777" w:rsidTr="000436B3">
        <w:tc>
          <w:tcPr>
            <w:tcW w:w="868" w:type="dxa"/>
            <w:vAlign w:val="center"/>
          </w:tcPr>
          <w:p w14:paraId="4B8F1E74" w14:textId="77777777" w:rsidR="00057D1B" w:rsidRPr="001F1F08" w:rsidRDefault="00057D1B" w:rsidP="001F1F08">
            <w:pPr>
              <w:pStyle w:val="Sraopastraipa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4C902367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Matavimo</w:t>
            </w:r>
            <w:proofErr w:type="spellEnd"/>
            <w:r w:rsidRPr="001F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F08">
              <w:rPr>
                <w:rFonts w:ascii="Times New Roman" w:hAnsi="Times New Roman" w:cs="Times New Roman"/>
              </w:rPr>
              <w:t>režimai</w:t>
            </w:r>
            <w:proofErr w:type="spellEnd"/>
          </w:p>
        </w:tc>
        <w:tc>
          <w:tcPr>
            <w:tcW w:w="5103" w:type="dxa"/>
            <w:vAlign w:val="center"/>
          </w:tcPr>
          <w:p w14:paraId="50AB0966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1F1F08">
              <w:rPr>
                <w:rFonts w:ascii="Times New Roman" w:eastAsia="Calibri" w:hAnsi="Times New Roman" w:cs="Times New Roman"/>
                <w:lang w:val="lt-LT"/>
              </w:rPr>
              <w:t>CBC</w:t>
            </w:r>
          </w:p>
          <w:p w14:paraId="4C9465DF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F08">
              <w:rPr>
                <w:rFonts w:ascii="Times New Roman" w:eastAsia="Calibri" w:hAnsi="Times New Roman" w:cs="Times New Roman"/>
                <w:lang w:val="lt-LT"/>
              </w:rPr>
              <w:t>CBC+CRP</w:t>
            </w:r>
          </w:p>
        </w:tc>
        <w:tc>
          <w:tcPr>
            <w:tcW w:w="1978" w:type="dxa"/>
            <w:vAlign w:val="center"/>
          </w:tcPr>
          <w:p w14:paraId="7414F15A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D1B" w:rsidRPr="001F1F08" w14:paraId="27A69CB8" w14:textId="77777777" w:rsidTr="000436B3">
        <w:tc>
          <w:tcPr>
            <w:tcW w:w="868" w:type="dxa"/>
            <w:vAlign w:val="center"/>
          </w:tcPr>
          <w:p w14:paraId="4AF0B5BF" w14:textId="77777777" w:rsidR="00057D1B" w:rsidRPr="001F1F08" w:rsidRDefault="00057D1B" w:rsidP="001F1F08">
            <w:pPr>
              <w:pStyle w:val="Sraopastraipa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0F794C70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Atmintis</w:t>
            </w:r>
            <w:proofErr w:type="spellEnd"/>
          </w:p>
        </w:tc>
        <w:tc>
          <w:tcPr>
            <w:tcW w:w="5103" w:type="dxa"/>
            <w:vAlign w:val="center"/>
          </w:tcPr>
          <w:p w14:paraId="3B761551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1F1F08">
              <w:rPr>
                <w:rFonts w:ascii="Times New Roman" w:eastAsia="Calibri" w:hAnsi="Times New Roman" w:cs="Times New Roman"/>
                <w:lang w:val="lt-LT"/>
              </w:rPr>
              <w:t>Ne mažiau 10000 paciento</w:t>
            </w:r>
          </w:p>
          <w:p w14:paraId="3C1C99D8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F08">
              <w:rPr>
                <w:rFonts w:ascii="Times New Roman" w:eastAsia="Calibri" w:hAnsi="Times New Roman" w:cs="Times New Roman"/>
                <w:lang w:val="lt-LT"/>
              </w:rPr>
              <w:t>rezultatų</w:t>
            </w:r>
          </w:p>
        </w:tc>
        <w:tc>
          <w:tcPr>
            <w:tcW w:w="1978" w:type="dxa"/>
            <w:vAlign w:val="center"/>
          </w:tcPr>
          <w:p w14:paraId="3046D002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D1B" w:rsidRPr="001F1F08" w14:paraId="74152101" w14:textId="77777777" w:rsidTr="000436B3">
        <w:tc>
          <w:tcPr>
            <w:tcW w:w="868" w:type="dxa"/>
            <w:vAlign w:val="center"/>
          </w:tcPr>
          <w:p w14:paraId="3DD6F6F7" w14:textId="77777777" w:rsidR="00057D1B" w:rsidRPr="001F1F08" w:rsidRDefault="00057D1B" w:rsidP="001F1F08">
            <w:pPr>
              <w:pStyle w:val="Sraopastraipa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7ACD3D70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F08">
              <w:rPr>
                <w:rFonts w:ascii="Times New Roman" w:hAnsi="Times New Roman" w:cs="Times New Roman"/>
              </w:rPr>
              <w:t>Komplektacijoje</w:t>
            </w:r>
            <w:proofErr w:type="spellEnd"/>
          </w:p>
        </w:tc>
        <w:tc>
          <w:tcPr>
            <w:tcW w:w="5103" w:type="dxa"/>
            <w:vAlign w:val="center"/>
          </w:tcPr>
          <w:p w14:paraId="2EBAFE7B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1F1F08">
              <w:rPr>
                <w:rFonts w:ascii="Times New Roman" w:eastAsia="Calibri" w:hAnsi="Times New Roman" w:cs="Times New Roman"/>
                <w:lang w:val="lt-LT"/>
              </w:rPr>
              <w:t>Išorinis spausdintuvas bei brūkšninių</w:t>
            </w:r>
          </w:p>
          <w:p w14:paraId="56C173D9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F08">
              <w:rPr>
                <w:rFonts w:ascii="Times New Roman" w:eastAsia="Calibri" w:hAnsi="Times New Roman" w:cs="Times New Roman"/>
                <w:lang w:val="lt-LT"/>
              </w:rPr>
              <w:t>kodų skaitytuvas</w:t>
            </w:r>
          </w:p>
        </w:tc>
        <w:tc>
          <w:tcPr>
            <w:tcW w:w="1978" w:type="dxa"/>
            <w:vAlign w:val="center"/>
          </w:tcPr>
          <w:p w14:paraId="56862A64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D1B" w:rsidRPr="001F1F08" w14:paraId="09FFBFC7" w14:textId="77777777" w:rsidTr="000436B3">
        <w:tc>
          <w:tcPr>
            <w:tcW w:w="868" w:type="dxa"/>
            <w:vAlign w:val="center"/>
          </w:tcPr>
          <w:p w14:paraId="69A02C08" w14:textId="77777777" w:rsidR="00057D1B" w:rsidRPr="001F1F08" w:rsidRDefault="00057D1B" w:rsidP="001F1F08">
            <w:pPr>
              <w:pStyle w:val="Sraopastraipa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40C614BC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F1F08">
              <w:rPr>
                <w:rFonts w:ascii="Times New Roman" w:hAnsi="Times New Roman" w:cs="Times New Roman"/>
              </w:rPr>
              <w:t xml:space="preserve">CE </w:t>
            </w:r>
            <w:proofErr w:type="spellStart"/>
            <w:r w:rsidRPr="001F1F08">
              <w:rPr>
                <w:rFonts w:ascii="Times New Roman" w:hAnsi="Times New Roman" w:cs="Times New Roman"/>
              </w:rPr>
              <w:t>ženklinimas</w:t>
            </w:r>
            <w:proofErr w:type="spellEnd"/>
          </w:p>
        </w:tc>
        <w:tc>
          <w:tcPr>
            <w:tcW w:w="5103" w:type="dxa"/>
            <w:vAlign w:val="center"/>
          </w:tcPr>
          <w:p w14:paraId="0A16445F" w14:textId="77777777" w:rsidR="00057D1B" w:rsidRPr="001F1F08" w:rsidRDefault="00057D1B" w:rsidP="001F1F0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1F1F08">
              <w:rPr>
                <w:rFonts w:ascii="Times New Roman" w:eastAsia="Calibri" w:hAnsi="Times New Roman" w:cs="Times New Roman"/>
                <w:lang w:val="lt-LT"/>
              </w:rPr>
              <w:t>Būtinas</w:t>
            </w:r>
          </w:p>
        </w:tc>
        <w:tc>
          <w:tcPr>
            <w:tcW w:w="1978" w:type="dxa"/>
            <w:vAlign w:val="center"/>
          </w:tcPr>
          <w:p w14:paraId="13499C59" w14:textId="77777777" w:rsidR="00057D1B" w:rsidRPr="001F1F08" w:rsidRDefault="00057D1B" w:rsidP="001F1F0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A51CD5" w14:textId="1D158519" w:rsidR="00A2147F" w:rsidRDefault="00A2147F" w:rsidP="00A2147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Pr="00A2147F">
        <w:rPr>
          <w:rFonts w:ascii="Times New Roman" w:hAnsi="Times New Roman" w:cs="Times New Roman"/>
        </w:rPr>
        <w:t>DIAGNOSTINIA</w:t>
      </w:r>
      <w:r>
        <w:rPr>
          <w:rFonts w:ascii="Times New Roman" w:hAnsi="Times New Roman" w:cs="Times New Roman"/>
        </w:rPr>
        <w:t>MS</w:t>
      </w:r>
      <w:r w:rsidRPr="00A2147F">
        <w:rPr>
          <w:rFonts w:ascii="Times New Roman" w:hAnsi="Times New Roman" w:cs="Times New Roman"/>
        </w:rPr>
        <w:t xml:space="preserve"> PREPARATA</w:t>
      </w:r>
      <w:r>
        <w:rPr>
          <w:rFonts w:ascii="Times New Roman" w:hAnsi="Times New Roman" w:cs="Times New Roman"/>
        </w:rPr>
        <w:t>MS</w:t>
      </w:r>
      <w:r w:rsidRPr="00A2147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2</w:t>
      </w:r>
      <w:r w:rsidRPr="00A2147F">
        <w:rPr>
          <w:rFonts w:ascii="Times New Roman" w:hAnsi="Times New Roman" w:cs="Times New Roman"/>
        </w:rPr>
        <w:t>500 BENDRŲ HEMATOLOGINIŲ TYRIMŲ IR 2000 C REAKTYVAUS BALTYMO TYRIMŲ.</w:t>
      </w:r>
    </w:p>
    <w:p w14:paraId="31852748" w14:textId="77777777" w:rsidR="00A2147F" w:rsidRDefault="00A2147F" w:rsidP="00A2147F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95"/>
        <w:gridCol w:w="3919"/>
        <w:gridCol w:w="4811"/>
      </w:tblGrid>
      <w:tr w:rsidR="00A2147F" w14:paraId="00131183" w14:textId="77777777" w:rsidTr="00A2147F">
        <w:tc>
          <w:tcPr>
            <w:tcW w:w="895" w:type="dxa"/>
          </w:tcPr>
          <w:p w14:paraId="1D0E3661" w14:textId="481996D0" w:rsidR="00A2147F" w:rsidRDefault="00A2147F" w:rsidP="00A2147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3919" w:type="dxa"/>
          </w:tcPr>
          <w:p w14:paraId="4548E3B5" w14:textId="476C638E" w:rsidR="00A2147F" w:rsidRDefault="00A2147F" w:rsidP="00A2147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Diagnostinių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reagent</w:t>
            </w:r>
            <w:r w:rsidR="00A47430">
              <w:rPr>
                <w:rFonts w:ascii="Times New Roman" w:hAnsi="Times New Roman" w:cs="Times New Roman"/>
              </w:rPr>
              <w:t>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pavadinimai</w:t>
            </w:r>
            <w:proofErr w:type="spellEnd"/>
          </w:p>
        </w:tc>
        <w:tc>
          <w:tcPr>
            <w:tcW w:w="4811" w:type="dxa"/>
          </w:tcPr>
          <w:p w14:paraId="185460A3" w14:textId="63A3C91B" w:rsidR="00A2147F" w:rsidRDefault="00A2147F" w:rsidP="00A2147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Preliminarus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tyrimų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skaičius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 12 </w:t>
            </w:r>
            <w:proofErr w:type="spellStart"/>
            <w:r>
              <w:rPr>
                <w:rFonts w:ascii="Times New Roman" w:hAnsi="Times New Roman" w:cs="Times New Roman"/>
              </w:rPr>
              <w:t>mėn</w:t>
            </w:r>
            <w:proofErr w:type="spellEnd"/>
            <w:r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įskaitant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lygio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kontrolinius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tyrimus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2147F" w14:paraId="5A2D8D22" w14:textId="77777777" w:rsidTr="00A2147F">
        <w:tc>
          <w:tcPr>
            <w:tcW w:w="895" w:type="dxa"/>
          </w:tcPr>
          <w:p w14:paraId="76937360" w14:textId="7DD84B26" w:rsidR="00A2147F" w:rsidRPr="00A2147F" w:rsidRDefault="00A2147F" w:rsidP="00A2147F">
            <w:pPr>
              <w:pStyle w:val="Sraopastraip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9" w:type="dxa"/>
          </w:tcPr>
          <w:p w14:paraId="11BE3133" w14:textId="325F5A29" w:rsidR="00A2147F" w:rsidRDefault="00A2147F" w:rsidP="00A2147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Bendras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hematologinis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tyrimas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1" w:type="dxa"/>
          </w:tcPr>
          <w:p w14:paraId="48723470" w14:textId="181B71EB" w:rsidR="00A2147F" w:rsidRDefault="00A2147F" w:rsidP="00A214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</w:tr>
      <w:tr w:rsidR="00A2147F" w14:paraId="14D5ABBA" w14:textId="77777777" w:rsidTr="00A2147F">
        <w:tc>
          <w:tcPr>
            <w:tcW w:w="895" w:type="dxa"/>
          </w:tcPr>
          <w:p w14:paraId="208C4664" w14:textId="644CDDF3" w:rsidR="00A2147F" w:rsidRPr="00A2147F" w:rsidRDefault="00A2147F" w:rsidP="00A2147F">
            <w:pPr>
              <w:pStyle w:val="Sraopastraip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9" w:type="dxa"/>
          </w:tcPr>
          <w:p w14:paraId="40753987" w14:textId="621D0E0F" w:rsidR="00A2147F" w:rsidRDefault="00A2147F" w:rsidP="00A2147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Bendras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hematologinis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tyrimas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>
              <w:rPr>
                <w:rFonts w:ascii="Times New Roman" w:hAnsi="Times New Roman" w:cs="Times New Roman"/>
              </w:rPr>
              <w:t>reaktyvinis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baltymas</w:t>
            </w:r>
            <w:proofErr w:type="spellEnd"/>
          </w:p>
        </w:tc>
        <w:tc>
          <w:tcPr>
            <w:tcW w:w="4811" w:type="dxa"/>
          </w:tcPr>
          <w:p w14:paraId="6C2CC9A8" w14:textId="646A91BB" w:rsidR="00A2147F" w:rsidRDefault="00A2147F" w:rsidP="00A214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</w:tbl>
    <w:p w14:paraId="1ABC0AB3" w14:textId="77777777" w:rsidR="00D154B2" w:rsidRDefault="00D154B2" w:rsidP="00057D1B">
      <w:pPr>
        <w:pStyle w:val="Sraopastraip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BC308AB" w14:textId="082186BB" w:rsidR="00D154B2" w:rsidRPr="00D154B2" w:rsidRDefault="00D154B2" w:rsidP="00D154B2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D154B2">
        <w:rPr>
          <w:rFonts w:ascii="Times New Roman" w:hAnsi="Times New Roman" w:cs="Times New Roman"/>
        </w:rPr>
        <w:t>Biomedicinos technologė</w:t>
      </w:r>
      <w:r w:rsidRPr="00D154B2">
        <w:rPr>
          <w:rFonts w:ascii="Times New Roman" w:hAnsi="Times New Roman" w:cs="Times New Roman"/>
          <w:bCs/>
        </w:rPr>
        <w:t xml:space="preserve">                                                     </w:t>
      </w:r>
      <w:r w:rsidRPr="00D154B2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</w:t>
      </w:r>
      <w:r w:rsidRPr="00D154B2">
        <w:rPr>
          <w:rFonts w:ascii="Times New Roman" w:hAnsi="Times New Roman" w:cs="Times New Roman"/>
          <w:bCs/>
        </w:rPr>
        <w:t>Eglė Marija Karalienė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D154B2" w:rsidRPr="00D154B2" w14:paraId="52C89EBC" w14:textId="77777777" w:rsidTr="00F83634">
        <w:trPr>
          <w:trHeight w:val="200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307140" w14:textId="77777777" w:rsidR="00D154B2" w:rsidRPr="00D154B2" w:rsidRDefault="00D154B2" w:rsidP="00D154B2">
            <w:pPr>
              <w:widowControl w:val="0"/>
              <w:spacing w:after="0"/>
              <w:rPr>
                <w:rFonts w:ascii="Times New Roman" w:hAnsi="Times New Roman" w:cs="Times New Roman"/>
                <w:i/>
              </w:rPr>
            </w:pPr>
            <w:r w:rsidRPr="00D154B2">
              <w:rPr>
                <w:rFonts w:ascii="Times New Roman" w:hAnsi="Times New Roman" w:cs="Times New Roman"/>
                <w:i/>
                <w:shd w:val="clear" w:color="auto" w:fill="D9D9D9" w:themeFill="background1" w:themeFillShade="D9"/>
              </w:rPr>
              <w:t>(Viešojo pirkimo iniciatoriaus pareigos)</w:t>
            </w:r>
          </w:p>
        </w:tc>
        <w:tc>
          <w:tcPr>
            <w:tcW w:w="284" w:type="dxa"/>
          </w:tcPr>
          <w:p w14:paraId="217551A9" w14:textId="77777777" w:rsidR="00D154B2" w:rsidRPr="00D154B2" w:rsidRDefault="00D154B2" w:rsidP="00D154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CA76B8" w14:textId="77777777" w:rsidR="00D154B2" w:rsidRPr="00D154B2" w:rsidRDefault="00D154B2" w:rsidP="00D154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154B2">
              <w:rPr>
                <w:rFonts w:ascii="Times New Roman" w:hAnsi="Times New Roman" w:cs="Times New Roman"/>
                <w:i/>
                <w:shd w:val="clear" w:color="auto" w:fill="D9D9D9" w:themeFill="background1" w:themeFillShade="D9"/>
              </w:rPr>
              <w:t>(parašas)</w:t>
            </w:r>
          </w:p>
        </w:tc>
        <w:tc>
          <w:tcPr>
            <w:tcW w:w="567" w:type="dxa"/>
          </w:tcPr>
          <w:p w14:paraId="6E393EC4" w14:textId="77777777" w:rsidR="00D154B2" w:rsidRPr="00D154B2" w:rsidRDefault="00D154B2" w:rsidP="00D154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29E1D0" w14:textId="77777777" w:rsidR="00D154B2" w:rsidRPr="00D154B2" w:rsidRDefault="00D154B2" w:rsidP="00D154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154B2">
              <w:rPr>
                <w:rFonts w:ascii="Times New Roman" w:hAnsi="Times New Roman" w:cs="Times New Roman"/>
                <w:i/>
                <w:shd w:val="clear" w:color="auto" w:fill="D9D9D9" w:themeFill="background1" w:themeFillShade="D9"/>
              </w:rPr>
              <w:t>(vardas ir pavardė)</w:t>
            </w:r>
          </w:p>
        </w:tc>
      </w:tr>
    </w:tbl>
    <w:p w14:paraId="0FE756CB" w14:textId="77777777" w:rsidR="00D154B2" w:rsidRPr="00D154B2" w:rsidRDefault="00D154B2" w:rsidP="00D154B2">
      <w:pPr>
        <w:tabs>
          <w:tab w:val="left" w:pos="5540"/>
        </w:tabs>
        <w:jc w:val="both"/>
        <w:rPr>
          <w:rFonts w:ascii="Times New Roman" w:hAnsi="Times New Roman" w:cs="Times New Roman"/>
        </w:rPr>
      </w:pPr>
    </w:p>
    <w:p w14:paraId="7909A320" w14:textId="162CC4AA" w:rsidR="00D154B2" w:rsidRPr="00D154B2" w:rsidRDefault="00D154B2" w:rsidP="00D154B2">
      <w:pPr>
        <w:tabs>
          <w:tab w:val="left" w:pos="5540"/>
        </w:tabs>
        <w:rPr>
          <w:rFonts w:ascii="Times New Roman" w:hAnsi="Times New Roman" w:cs="Times New Roman"/>
        </w:rPr>
      </w:pPr>
      <w:r w:rsidRPr="00D154B2">
        <w:rPr>
          <w:rFonts w:ascii="Times New Roman" w:hAnsi="Times New Roman" w:cs="Times New Roman"/>
        </w:rPr>
        <w:t>TVIRTINA: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D154B2" w:rsidRPr="00D154B2" w14:paraId="72C9B3E2" w14:textId="77777777" w:rsidTr="00F83634">
        <w:trPr>
          <w:trHeight w:val="71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9BBAFD" w14:textId="77777777" w:rsidR="00D154B2" w:rsidRPr="00D154B2" w:rsidRDefault="00D154B2" w:rsidP="00F83634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D154B2">
              <w:rPr>
                <w:rFonts w:ascii="Times New Roman" w:hAnsi="Times New Roman" w:cs="Times New Roman"/>
                <w:i/>
                <w:shd w:val="clear" w:color="auto" w:fill="D9D9D9" w:themeFill="background1" w:themeFillShade="D9"/>
              </w:rPr>
              <w:t>(Vadovo pareigos)</w:t>
            </w:r>
          </w:p>
        </w:tc>
        <w:tc>
          <w:tcPr>
            <w:tcW w:w="284" w:type="dxa"/>
          </w:tcPr>
          <w:p w14:paraId="406138D4" w14:textId="77777777" w:rsidR="00D154B2" w:rsidRPr="00D154B2" w:rsidRDefault="00D154B2" w:rsidP="00F83634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CDEA57" w14:textId="77777777" w:rsidR="00D154B2" w:rsidRPr="00D154B2" w:rsidRDefault="00D154B2" w:rsidP="00F83634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D154B2">
              <w:rPr>
                <w:rFonts w:ascii="Times New Roman" w:hAnsi="Times New Roman" w:cs="Times New Roman"/>
                <w:i/>
                <w:shd w:val="clear" w:color="auto" w:fill="D9D9D9" w:themeFill="background1" w:themeFillShade="D9"/>
              </w:rPr>
              <w:t>(parašas)</w:t>
            </w:r>
          </w:p>
        </w:tc>
        <w:tc>
          <w:tcPr>
            <w:tcW w:w="567" w:type="dxa"/>
          </w:tcPr>
          <w:p w14:paraId="32A3F6D4" w14:textId="77777777" w:rsidR="00D154B2" w:rsidRPr="00D154B2" w:rsidRDefault="00D154B2" w:rsidP="00F83634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40FA28" w14:textId="77777777" w:rsidR="00D154B2" w:rsidRPr="00D154B2" w:rsidRDefault="00D154B2" w:rsidP="00F83634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D154B2">
              <w:rPr>
                <w:rFonts w:ascii="Times New Roman" w:hAnsi="Times New Roman" w:cs="Times New Roman"/>
                <w:i/>
                <w:shd w:val="clear" w:color="auto" w:fill="D9D9D9" w:themeFill="background1" w:themeFillShade="D9"/>
              </w:rPr>
              <w:t>(vardas ir pavardė)</w:t>
            </w:r>
          </w:p>
        </w:tc>
      </w:tr>
    </w:tbl>
    <w:p w14:paraId="3F06DFC2" w14:textId="77777777" w:rsidR="00D154B2" w:rsidRPr="00D154B2" w:rsidRDefault="00D154B2" w:rsidP="00D154B2">
      <w:pPr>
        <w:tabs>
          <w:tab w:val="left" w:pos="5540"/>
        </w:tabs>
        <w:rPr>
          <w:rFonts w:ascii="Times New Roman" w:hAnsi="Times New Roman" w:cs="Times New Roman"/>
        </w:rPr>
      </w:pPr>
    </w:p>
    <w:p w14:paraId="1DD8A95D" w14:textId="77777777" w:rsidR="00D154B2" w:rsidRPr="00057D1B" w:rsidRDefault="00D154B2" w:rsidP="00057D1B">
      <w:pPr>
        <w:pStyle w:val="Sraopastraipa"/>
        <w:spacing w:line="360" w:lineRule="auto"/>
        <w:ind w:left="360"/>
        <w:jc w:val="both"/>
        <w:rPr>
          <w:rFonts w:ascii="Times New Roman" w:hAnsi="Times New Roman" w:cs="Times New Roman"/>
        </w:rPr>
      </w:pPr>
    </w:p>
    <w:sectPr w:rsidR="00D154B2" w:rsidRPr="00057D1B" w:rsidSect="00057D1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5DD"/>
    <w:multiLevelType w:val="hybridMultilevel"/>
    <w:tmpl w:val="FB28E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4552F"/>
    <w:multiLevelType w:val="hybridMultilevel"/>
    <w:tmpl w:val="728E33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12BBC"/>
    <w:multiLevelType w:val="multilevel"/>
    <w:tmpl w:val="E1841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927465840">
    <w:abstractNumId w:val="2"/>
  </w:num>
  <w:num w:numId="2" w16cid:durableId="784617925">
    <w:abstractNumId w:val="1"/>
  </w:num>
  <w:num w:numId="3" w16cid:durableId="130843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1B"/>
    <w:rsid w:val="000436B3"/>
    <w:rsid w:val="00057D1B"/>
    <w:rsid w:val="0008105A"/>
    <w:rsid w:val="00085A27"/>
    <w:rsid w:val="001F1F08"/>
    <w:rsid w:val="002564D9"/>
    <w:rsid w:val="0034347A"/>
    <w:rsid w:val="003A1BC9"/>
    <w:rsid w:val="00441123"/>
    <w:rsid w:val="004C5BE8"/>
    <w:rsid w:val="0055106D"/>
    <w:rsid w:val="005748B6"/>
    <w:rsid w:val="00A2147F"/>
    <w:rsid w:val="00A25269"/>
    <w:rsid w:val="00A34005"/>
    <w:rsid w:val="00A47430"/>
    <w:rsid w:val="00B11357"/>
    <w:rsid w:val="00D154B2"/>
    <w:rsid w:val="00E609C5"/>
    <w:rsid w:val="00EC28AD"/>
    <w:rsid w:val="00F521FB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38F9"/>
  <w15:chartTrackingRefBased/>
  <w15:docId w15:val="{03DE0444-E5B7-4030-A138-75F45462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57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57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57D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57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57D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57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57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57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57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57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57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57D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57D1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57D1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57D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57D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57D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57D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57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57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57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57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57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57D1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57D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57D1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57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57D1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57D1B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57D1B"/>
  </w:style>
  <w:style w:type="table" w:styleId="Lentelstinklelis">
    <w:name w:val="Table Grid"/>
    <w:basedOn w:val="prastojilentel"/>
    <w:uiPriority w:val="39"/>
    <w:rsid w:val="00057D1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2885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Jacunskas</dc:creator>
  <cp:keywords/>
  <dc:description/>
  <cp:lastModifiedBy>Sigitas</cp:lastModifiedBy>
  <cp:revision>2</cp:revision>
  <dcterms:created xsi:type="dcterms:W3CDTF">2025-12-09T07:25:00Z</dcterms:created>
  <dcterms:modified xsi:type="dcterms:W3CDTF">2025-12-09T07:25:00Z</dcterms:modified>
</cp:coreProperties>
</file>