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6528" w14:textId="6FF58BB3" w:rsidR="00E61D38" w:rsidRDefault="0019162F" w:rsidP="00EE0EC6">
      <w:pPr>
        <w:spacing w:after="0" w:line="240" w:lineRule="auto"/>
        <w:ind w:left="9630"/>
        <w:jc w:val="right"/>
        <w:rPr>
          <w:rFonts w:ascii="Calibri" w:hAnsi="Calibri" w:cs="Calibri"/>
          <w:i/>
          <w:iCs/>
          <w:sz w:val="20"/>
          <w:szCs w:val="20"/>
          <w:lang w:val="lt-LT"/>
        </w:rPr>
      </w:pPr>
      <w:r w:rsidRPr="000D513A">
        <w:rPr>
          <w:rFonts w:ascii="Calibri" w:hAnsi="Calibri" w:cs="Calibri"/>
          <w:i/>
          <w:iCs/>
          <w:sz w:val="20"/>
          <w:szCs w:val="20"/>
          <w:lang w:val="lt-LT"/>
        </w:rPr>
        <w:t>Specialiųjų p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 xml:space="preserve">irkimo sąlygų </w:t>
      </w:r>
      <w:r w:rsidR="00010120" w:rsidRPr="000D513A">
        <w:rPr>
          <w:rFonts w:ascii="Calibri" w:hAnsi="Calibri" w:cs="Calibri"/>
          <w:i/>
          <w:iCs/>
          <w:sz w:val="20"/>
          <w:szCs w:val="20"/>
          <w:lang w:val="lt-LT"/>
        </w:rPr>
        <w:t>8</w:t>
      </w:r>
      <w:r w:rsidR="00690A2A">
        <w:rPr>
          <w:rFonts w:ascii="Calibri" w:hAnsi="Calibri" w:cs="Calibri"/>
          <w:i/>
          <w:iCs/>
          <w:sz w:val="20"/>
          <w:szCs w:val="20"/>
          <w:lang w:val="lt-LT"/>
        </w:rPr>
        <w:t>_1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 xml:space="preserve"> priedas „Specialistų sąrašas</w:t>
      </w:r>
      <w:r w:rsidR="00690A2A">
        <w:rPr>
          <w:rFonts w:ascii="Calibri" w:hAnsi="Calibri" w:cs="Calibri"/>
          <w:i/>
          <w:iCs/>
          <w:sz w:val="20"/>
          <w:szCs w:val="20"/>
          <w:lang w:val="lt-LT"/>
        </w:rPr>
        <w:t xml:space="preserve"> ir jų kvalifikacija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>“</w:t>
      </w:r>
    </w:p>
    <w:p w14:paraId="229BD34A" w14:textId="77777777" w:rsidR="000D513A" w:rsidRPr="000D513A" w:rsidRDefault="000D513A" w:rsidP="00EE0EC6">
      <w:pPr>
        <w:spacing w:after="0" w:line="240" w:lineRule="auto"/>
        <w:ind w:left="9630"/>
        <w:jc w:val="right"/>
        <w:rPr>
          <w:rFonts w:ascii="Calibri" w:hAnsi="Calibri" w:cs="Calibri"/>
          <w:i/>
          <w:iCs/>
          <w:sz w:val="20"/>
          <w:szCs w:val="20"/>
          <w:lang w:val="lt-LT"/>
        </w:rPr>
      </w:pPr>
    </w:p>
    <w:p w14:paraId="6A316D52" w14:textId="58099784" w:rsidR="005001D7" w:rsidRPr="000D513A" w:rsidRDefault="005001D7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  <w:r w:rsidRPr="000D513A">
        <w:rPr>
          <w:rFonts w:ascii="Calibri" w:hAnsi="Calibri" w:cs="Calibri"/>
          <w:sz w:val="24"/>
          <w:szCs w:val="24"/>
          <w:lang w:bidi="en-US"/>
        </w:rPr>
        <w:t>APLINKOS APSAUGOS VALSTYBINĖS KONTROLĖS INFORMACINĖS SISTEMOS (AAVKIS) MODERNIZAVIMO IR DIEGIMO PASLAUGŲ PIRKIMO</w:t>
      </w:r>
    </w:p>
    <w:p w14:paraId="62835E58" w14:textId="77777777" w:rsidR="005001D7" w:rsidRPr="000D513A" w:rsidRDefault="005001D7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</w:p>
    <w:p w14:paraId="25C65B64" w14:textId="681D93B7" w:rsidR="000F2506" w:rsidRDefault="00E61D38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  <w:r w:rsidRPr="000D513A">
        <w:rPr>
          <w:rFonts w:ascii="Calibri" w:hAnsi="Calibri" w:cs="Calibri"/>
          <w:sz w:val="24"/>
          <w:szCs w:val="24"/>
          <w:lang w:bidi="en-US"/>
        </w:rPr>
        <w:t>SPECIALISTŲ SĄRAŠAS</w:t>
      </w:r>
      <w:r w:rsidR="00690A2A">
        <w:rPr>
          <w:rFonts w:ascii="Calibri" w:hAnsi="Calibri" w:cs="Calibri"/>
          <w:sz w:val="24"/>
          <w:szCs w:val="24"/>
          <w:lang w:bidi="en-US"/>
        </w:rPr>
        <w:t xml:space="preserve"> IR JŲ KVALIFIKACIJĄ</w:t>
      </w:r>
    </w:p>
    <w:p w14:paraId="73B039C7" w14:textId="3522CEB7" w:rsidR="00690A2A" w:rsidRPr="000D513A" w:rsidRDefault="00690A2A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  <w:r>
        <w:rPr>
          <w:rFonts w:ascii="Calibri" w:hAnsi="Calibri" w:cs="Calibri"/>
          <w:sz w:val="24"/>
          <w:szCs w:val="24"/>
          <w:lang w:bidi="en-US"/>
        </w:rPr>
        <w:t>(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užpildyta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lentelė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pateikiama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kartu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su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pasiūlymu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>)</w:t>
      </w:r>
    </w:p>
    <w:p w14:paraId="75F24092" w14:textId="77777777" w:rsidR="001F6FCC" w:rsidRPr="000D513A" w:rsidRDefault="001F6FCC" w:rsidP="003C6E0A">
      <w:pPr>
        <w:pStyle w:val="BodyText"/>
        <w:spacing w:after="0"/>
        <w:rPr>
          <w:rFonts w:ascii="Calibri" w:hAnsi="Calibri" w:cs="Calibri"/>
        </w:rPr>
      </w:pPr>
    </w:p>
    <w:tbl>
      <w:tblPr>
        <w:tblOverlap w:val="never"/>
        <w:tblW w:w="15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"/>
        <w:gridCol w:w="1416"/>
        <w:gridCol w:w="1721"/>
        <w:gridCol w:w="1721"/>
        <w:gridCol w:w="1721"/>
        <w:gridCol w:w="1130"/>
        <w:gridCol w:w="1667"/>
        <w:gridCol w:w="1596"/>
        <w:gridCol w:w="1793"/>
        <w:gridCol w:w="1882"/>
      </w:tblGrid>
      <w:tr w:rsidR="00CB144F" w:rsidRPr="000D513A" w14:paraId="5A095D96" w14:textId="77777777" w:rsidTr="008D3FD4">
        <w:trPr>
          <w:trHeight w:hRule="exact" w:val="802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CCE2A" w14:textId="77777777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 w:bidi="en-US"/>
              </w:rPr>
              <w:t>Eil.</w:t>
            </w:r>
          </w:p>
          <w:p w14:paraId="116DFC00" w14:textId="77777777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 w:bidi="en-US"/>
              </w:rPr>
              <w:t>Nr.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93E34" w14:textId="0E89ADBC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</w:t>
            </w:r>
            <w:r w:rsidRPr="000D513A">
              <w:rPr>
                <w:rFonts w:ascii="Calibri" w:hAnsi="Calibri" w:cs="Calibri"/>
                <w:b/>
                <w:bCs/>
              </w:rPr>
              <w:t xml:space="preserve"> 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pozicija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A02A3" w14:textId="52DACAAE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 vardas, pavardė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A28AB" w14:textId="699B6BC4" w:rsidR="00CB144F" w:rsidRPr="001736D1" w:rsidRDefault="00544AEE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736D1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 k</w:t>
            </w: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valifikacij</w:t>
            </w:r>
            <w:r w:rsidR="001736D1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a ir ją įrodantys</w:t>
            </w: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sertifikatai</w:t>
            </w:r>
            <w:r w:rsidR="00690A2A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736D1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arba kiti lygiaverčiai dokumentai</w:t>
            </w:r>
            <w:r w:rsidR="00690A2A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(išvardinti</w:t>
            </w:r>
            <w:r w:rsidR="00CB144F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)</w:t>
            </w:r>
          </w:p>
          <w:p w14:paraId="1401ABF3" w14:textId="77777777" w:rsidR="00690A2A" w:rsidRDefault="00690A2A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  <w:p w14:paraId="37841F31" w14:textId="43E5B985" w:rsidR="00690A2A" w:rsidRPr="001736D1" w:rsidRDefault="00690A2A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1736D1">
              <w:rPr>
                <w:rFonts w:ascii="Calibri" w:hAnsi="Calibri" w:cs="Calibri"/>
                <w:sz w:val="20"/>
                <w:szCs w:val="20"/>
                <w:lang w:val="lt-LT"/>
              </w:rPr>
              <w:t>(</w:t>
            </w:r>
            <w:r w:rsidR="001736D1" w:rsidRP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perkančiosios organizacijos pašymu </w:t>
            </w:r>
            <w:r w:rsid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>šių dokumentų kopijas</w:t>
            </w:r>
            <w:r w:rsidR="001736D1" w:rsidRP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 </w:t>
            </w:r>
            <w:r w:rsid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turės pateikti tik </w:t>
            </w:r>
            <w:r w:rsidR="001736D1" w:rsidRP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ekonomiškai naudingiausią pasiūlymą pateikęs tiekėjas (galimas pirkimo laimėtojas),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65E9E" w14:textId="068D7623" w:rsidR="19F90380" w:rsidRPr="008D3FD4" w:rsidRDefault="19F90380" w:rsidP="008D3FD4">
            <w:pPr>
              <w:pStyle w:val="Other0"/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242424"/>
                <w:sz w:val="20"/>
                <w:szCs w:val="20"/>
                <w:lang w:val="lt-LT"/>
              </w:rPr>
            </w:pPr>
            <w:r w:rsidRPr="547A648D"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  <w:lang w:val="lt-LT"/>
              </w:rPr>
              <w:t>S</w:t>
            </w:r>
            <w:r w:rsidRPr="008D3FD4">
              <w:rPr>
                <w:rFonts w:ascii="Calibri" w:eastAsia="Calibri" w:hAnsi="Calibri" w:cs="Calibri"/>
                <w:b/>
                <w:bCs/>
                <w:color w:val="242424"/>
                <w:sz w:val="20"/>
                <w:szCs w:val="20"/>
                <w:lang w:val="lt-LT"/>
              </w:rPr>
              <w:t>pecialisto lietuvių kalba yra/nėra gimtoji (</w:t>
            </w:r>
            <w:r w:rsidRPr="008D3FD4">
              <w:rPr>
                <w:rFonts w:ascii="Calibri" w:eastAsia="Calibri" w:hAnsi="Calibri" w:cs="Calibri"/>
                <w:b/>
                <w:bCs/>
                <w:i/>
                <w:iCs/>
                <w:color w:val="242424"/>
                <w:sz w:val="20"/>
                <w:szCs w:val="20"/>
                <w:lang w:val="lt-LT"/>
              </w:rPr>
              <w:t>jei lietuvių kalba nėra gimtoji, nurodyti specialisto lietuvių kalbos lygį</w:t>
            </w:r>
            <w:r w:rsidR="54DA10DD" w:rsidRPr="547A648D">
              <w:rPr>
                <w:rFonts w:ascii="Calibri" w:eastAsia="Calibri" w:hAnsi="Calibri" w:cs="Calibri"/>
                <w:b/>
                <w:bCs/>
                <w:i/>
                <w:iCs/>
                <w:color w:val="242424"/>
                <w:sz w:val="20"/>
                <w:szCs w:val="20"/>
                <w:lang w:val="lt-LT"/>
              </w:rPr>
              <w:t xml:space="preserve">, arba pažymėti, kad </w:t>
            </w:r>
            <w:r w:rsidR="54DA10DD" w:rsidRPr="00D51920">
              <w:rPr>
                <w:rFonts w:ascii="Calibri" w:eastAsia="Calibri" w:hAnsi="Calibri" w:cs="Calibri"/>
                <w:b/>
                <w:bCs/>
                <w:sz w:val="21"/>
                <w:szCs w:val="21"/>
                <w:lang w:val="lt-LT"/>
              </w:rPr>
              <w:t>t</w:t>
            </w:r>
            <w:r w:rsidR="54DA10DD" w:rsidRPr="00D51920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>iekėjas savo sąskaita, esant poreikiui, užtikrin</w:t>
            </w:r>
            <w:r w:rsidR="5AC2D6EF" w:rsidRPr="00D51920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>s</w:t>
            </w:r>
            <w:r w:rsidR="54DA10DD" w:rsidRPr="00D51920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 xml:space="preserve"> vertimo žodžiu ir raštu paslauga</w:t>
            </w:r>
            <w:r w:rsidR="1DF8CDEC" w:rsidRPr="00D51920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>s</w:t>
            </w:r>
            <w:r w:rsidRPr="00D5192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lt-LT"/>
              </w:rPr>
              <w:t>)</w:t>
            </w:r>
          </w:p>
          <w:p w14:paraId="2A7AE473" w14:textId="7E6D6DC7" w:rsidR="19F90380" w:rsidRPr="547A648D" w:rsidRDefault="19F90380">
            <w:pPr>
              <w:pStyle w:val="Other0"/>
              <w:spacing w:line="240" w:lineRule="auto"/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  <w:lang w:val="lt-LT"/>
              </w:rPr>
            </w:pP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>(perkančiosios organizacijos pašymu</w:t>
            </w:r>
            <w:r w:rsidR="24AC79AA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specialistų, kurių lietuvių kalba nėra gimtoji,</w:t>
            </w: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</w:t>
            </w:r>
            <w:r w:rsidR="45FAEDA7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>kalbos lygį patvirtinančių</w:t>
            </w: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dokumentų kopijas</w:t>
            </w:r>
            <w:r w:rsidR="565FF3B8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arba deklaraciją, kad tiekėjas savo sąskaita, esant poreikiui, užtikrins vertimo žodžiu ir raštu paslau</w:t>
            </w:r>
            <w:r w:rsidR="1838C60F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>gas</w:t>
            </w: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turės pateikti tik ekonomiškai naudingiausią pasiūlymą pateikęs tiekėjas (galimas pirkimo laimėtojas),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D6D85" w14:textId="0A822037" w:rsidR="00CB144F" w:rsidRPr="000D513A" w:rsidRDefault="001736D1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Siūlomo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</w:t>
            </w:r>
            <w:r w:rsidR="00CB144F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pecialisto teisiniai santykiai su tiekėju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0D5CEC" w14:textId="1778C7FE" w:rsidR="00CB144F" w:rsidRDefault="001736D1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</w:t>
            </w:r>
            <w:r w:rsidR="00CB144F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utarčių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(projektų)</w:t>
            </w:r>
            <w:r w:rsidR="00CB144F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sąrašas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, nurodant jų pavadinimus</w:t>
            </w:r>
            <w:r w:rsidR="00CB144F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52FAC075" w14:textId="77777777" w:rsidR="00C95B17" w:rsidRDefault="00C95B17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  <w:p w14:paraId="2D5CEA07" w14:textId="20AAA677" w:rsidR="00C95B17" w:rsidRPr="000D513A" w:rsidRDefault="00C95B17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Projekto vadovo pozicijai papildomai nurodyti sutarčių (projektų) vertę be PVM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8ADF8A" w14:textId="4CCC6D32" w:rsidR="00CB144F" w:rsidRPr="000D513A" w:rsidRDefault="00690A2A" w:rsidP="001736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690A2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</w:t>
            </w:r>
            <w:r w:rsidR="00CB144F" w:rsidRPr="00690A2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utarčių</w:t>
            </w:r>
            <w:r w:rsidR="00CB144F" w:rsidRPr="00690A2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90A2A">
              <w:rPr>
                <w:rStyle w:val="CommentReference"/>
                <w:sz w:val="20"/>
                <w:szCs w:val="20"/>
              </w:rPr>
              <w:t>(</w:t>
            </w:r>
            <w:proofErr w:type="spellStart"/>
            <w:r w:rsidRPr="00690A2A">
              <w:rPr>
                <w:rStyle w:val="CommentReference"/>
                <w:sz w:val="20"/>
                <w:szCs w:val="20"/>
              </w:rPr>
              <w:t>projektų</w:t>
            </w:r>
            <w:proofErr w:type="spellEnd"/>
            <w:r w:rsidRPr="00690A2A">
              <w:rPr>
                <w:rStyle w:val="CommentReference"/>
                <w:sz w:val="20"/>
                <w:szCs w:val="20"/>
              </w:rPr>
              <w:t>)</w:t>
            </w:r>
            <w:r>
              <w:rPr>
                <w:rStyle w:val="CommentReference"/>
              </w:rPr>
              <w:t xml:space="preserve"> </w:t>
            </w:r>
            <w:r w:rsidR="00CB144F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įgyvendinimo laikotarpis (nuo – iki, mėnesio tikslumu)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0D916" w14:textId="00B43A56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Trump</w:t>
            </w:r>
            <w:r w:rsidR="004D72C2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i</w:t>
            </w:r>
            <w:r w:rsidR="00517005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sutar</w:t>
            </w:r>
            <w:r w:rsidR="004D72C2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čių</w:t>
            </w:r>
            <w:r w:rsidR="001736D1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(projektų)</w:t>
            </w:r>
            <w:r w:rsidR="00517005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aprašyma</w:t>
            </w:r>
            <w:r w:rsidR="004D72C2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i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, informacija apie</w:t>
            </w:r>
            <w:r w:rsidR="001736D1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siūlomo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specialisto funkcijas vykdant sutart</w:t>
            </w:r>
            <w:r w:rsidR="004D72C2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is</w:t>
            </w:r>
            <w:r w:rsidR="001736D1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(projektus)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9889" w14:textId="35764DB4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Užsakovo pavadinimas ir kontaktinis asmuo, kuris gali suteikti informaciją apie tinkamai įgyvendintą sutartį </w:t>
            </w:r>
            <w:r w:rsidR="001736D1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(projektą) 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(pareigos, vardas, pavardė, tel.)</w:t>
            </w:r>
          </w:p>
        </w:tc>
      </w:tr>
      <w:tr w:rsidR="00CB144F" w:rsidRPr="000D513A" w14:paraId="596BE2F7" w14:textId="77777777" w:rsidTr="2123AB7E">
        <w:trPr>
          <w:trHeight w:hRule="exact" w:val="446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4582F2A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61638C6" w14:textId="682B11D8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B57331" w14:textId="73844CFE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D8CC798" w14:textId="2036420A" w:rsidR="00CB144F" w:rsidRPr="000D513A" w:rsidRDefault="00CB144F" w:rsidP="00CB144F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F48EA0E" w14:textId="673D13FF" w:rsidR="4F9BE886" w:rsidRPr="547A648D" w:rsidRDefault="4F9BE886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6CD1C684" w14:textId="5E1EC11B" w:rsidR="00CB144F" w:rsidRPr="000D513A" w:rsidRDefault="4F9BE886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6B9ADEA" w14:textId="34F5044C" w:rsidR="00CB144F" w:rsidRPr="000D513A" w:rsidRDefault="3815882B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51BC81" w14:textId="15CFC1D9" w:rsidR="00CB144F" w:rsidRPr="000D513A" w:rsidRDefault="3547A307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962010" w14:textId="0AD49BFB" w:rsidR="00CB144F" w:rsidRPr="000D513A" w:rsidRDefault="62FD6A42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97A2D" w14:textId="38BC8E28" w:rsidR="00CB144F" w:rsidRPr="000D513A" w:rsidRDefault="776FAAD5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10</w:t>
            </w:r>
          </w:p>
        </w:tc>
      </w:tr>
      <w:tr w:rsidR="00CB144F" w:rsidRPr="000D513A" w14:paraId="63D2B225" w14:textId="77777777" w:rsidTr="2123AB7E">
        <w:trPr>
          <w:trHeight w:hRule="exact" w:val="744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FB3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 w:bidi="en-US"/>
              </w:rPr>
              <w:lastRenderedPageBreak/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A0411" w14:textId="028D1F90" w:rsidR="00CB144F" w:rsidRPr="000D513A" w:rsidRDefault="01222247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/>
              </w:rPr>
              <w:t>Projekt</w:t>
            </w:r>
            <w:r w:rsidR="4A28B083" w:rsidRPr="000D513A">
              <w:rPr>
                <w:rFonts w:ascii="Calibri" w:hAnsi="Calibri" w:cs="Calibri"/>
                <w:sz w:val="20"/>
                <w:szCs w:val="20"/>
                <w:lang w:val="lt-LT"/>
              </w:rPr>
              <w:t xml:space="preserve">o </w:t>
            </w:r>
            <w:r w:rsidRPr="000D513A">
              <w:rPr>
                <w:rFonts w:ascii="Calibri" w:hAnsi="Calibri" w:cs="Calibri"/>
                <w:sz w:val="20"/>
                <w:szCs w:val="20"/>
                <w:lang w:val="lt-LT"/>
              </w:rPr>
              <w:t>vadovas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CF9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4D" w14:textId="7EF89B1F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0C7AF" w14:textId="37431018" w:rsidR="547A648D" w:rsidRDefault="547A648D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77777777" w:rsidR="00CB144F" w:rsidRPr="000D513A" w:rsidRDefault="00CB144F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CE9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73D" w14:textId="3F58FA8D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  <w:tr w:rsidR="00CB144F" w:rsidRPr="000D513A" w14:paraId="081F270E" w14:textId="77777777" w:rsidTr="2123AB7E">
        <w:trPr>
          <w:trHeight w:hRule="exact" w:val="941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180D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 w:bidi="en-US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 w:bidi="en-US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5FB2" w14:textId="0285B150" w:rsidR="00CB144F" w:rsidRPr="000D513A" w:rsidRDefault="00687E23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/>
              </w:rPr>
              <w:t>Informacinių sistemų (IS) architektas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3E5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199D" w14:textId="4FAA0FB0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E9C2B" w14:textId="0330AB44" w:rsidR="547A648D" w:rsidRDefault="547A648D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6FBC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2EA7" w14:textId="77777777" w:rsidR="00CB144F" w:rsidRPr="000D513A" w:rsidRDefault="00CB144F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8EB8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AA8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859" w14:textId="7511F0BD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  <w:tr w:rsidR="00CB144F" w:rsidRPr="000D513A" w14:paraId="5BF0E812" w14:textId="77777777" w:rsidTr="2123AB7E">
        <w:trPr>
          <w:trHeight w:hRule="exact" w:val="811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D9B30" w14:textId="63A0CBC5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 w:bidi="en-US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 w:bidi="en-US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74CCA" w14:textId="6CC8E92F" w:rsidR="00CB144F" w:rsidRPr="000D513A" w:rsidRDefault="006415AF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/>
              </w:rPr>
              <w:t>Informacinių sistemų (IS) analitikas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A38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9BEBF" w14:textId="054AD6C1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5A078" w14:textId="2A9BF025" w:rsidR="547A648D" w:rsidRDefault="547A648D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7654C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6127D" w14:textId="77777777" w:rsidR="00CB144F" w:rsidRPr="000D513A" w:rsidRDefault="00CB144F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0253F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9E5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194" w14:textId="55CD1C95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  <w:tr w:rsidR="00CB144F" w:rsidRPr="000D513A" w14:paraId="09D8D4AA" w14:textId="77777777" w:rsidTr="2123AB7E">
        <w:trPr>
          <w:trHeight w:hRule="exact" w:val="832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FE75" w14:textId="4FFAFF69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 w:bidi="en-US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 w:bidi="en-US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9517" w14:textId="3690D1AF" w:rsidR="00CB144F" w:rsidRPr="000D513A" w:rsidRDefault="006415AF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/>
              </w:rPr>
              <w:t>Programuotojas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C73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4AE1" w14:textId="19E8EE6D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71FC" w14:textId="7799E146" w:rsidR="547A648D" w:rsidRDefault="547A648D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6412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C135" w14:textId="77777777" w:rsidR="00CB144F" w:rsidRPr="000D513A" w:rsidRDefault="00CB144F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F0B6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EB3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EFB" w14:textId="5F5B70E5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</w:tbl>
    <w:p w14:paraId="28940B2C" w14:textId="77777777" w:rsidR="000F2506" w:rsidRPr="000D513A" w:rsidRDefault="000F2506" w:rsidP="003C6E0A">
      <w:pPr>
        <w:spacing w:after="0" w:line="240" w:lineRule="auto"/>
        <w:rPr>
          <w:rFonts w:ascii="Calibri" w:hAnsi="Calibri" w:cs="Calibri"/>
        </w:rPr>
      </w:pPr>
    </w:p>
    <w:sectPr w:rsidR="000F2506" w:rsidRPr="000D513A" w:rsidSect="00CB144F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46F9" w14:textId="77777777" w:rsidR="00BF4706" w:rsidRDefault="00BF4706" w:rsidP="00385BD2">
      <w:pPr>
        <w:spacing w:after="0" w:line="240" w:lineRule="auto"/>
      </w:pPr>
      <w:r>
        <w:separator/>
      </w:r>
    </w:p>
  </w:endnote>
  <w:endnote w:type="continuationSeparator" w:id="0">
    <w:p w14:paraId="30BEC573" w14:textId="77777777" w:rsidR="00BF4706" w:rsidRDefault="00BF4706" w:rsidP="0038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1B20" w14:textId="77777777" w:rsidR="00BF4706" w:rsidRDefault="00BF4706" w:rsidP="00385BD2">
      <w:pPr>
        <w:spacing w:after="0" w:line="240" w:lineRule="auto"/>
      </w:pPr>
      <w:r>
        <w:separator/>
      </w:r>
    </w:p>
  </w:footnote>
  <w:footnote w:type="continuationSeparator" w:id="0">
    <w:p w14:paraId="418CD320" w14:textId="77777777" w:rsidR="00BF4706" w:rsidRDefault="00BF4706" w:rsidP="0038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10120"/>
    <w:rsid w:val="0003018F"/>
    <w:rsid w:val="000408DA"/>
    <w:rsid w:val="000566F2"/>
    <w:rsid w:val="000D513A"/>
    <w:rsid w:val="000E3053"/>
    <w:rsid w:val="000E6E9A"/>
    <w:rsid w:val="000F2506"/>
    <w:rsid w:val="00124068"/>
    <w:rsid w:val="0016136F"/>
    <w:rsid w:val="001736D1"/>
    <w:rsid w:val="0019162F"/>
    <w:rsid w:val="001A6C84"/>
    <w:rsid w:val="001D106E"/>
    <w:rsid w:val="001D2A94"/>
    <w:rsid w:val="001F6FCC"/>
    <w:rsid w:val="00217E22"/>
    <w:rsid w:val="00253563"/>
    <w:rsid w:val="00261A69"/>
    <w:rsid w:val="0030177D"/>
    <w:rsid w:val="003266FA"/>
    <w:rsid w:val="00385BD2"/>
    <w:rsid w:val="003B7D00"/>
    <w:rsid w:val="003C6E0A"/>
    <w:rsid w:val="003E5B3F"/>
    <w:rsid w:val="004609E6"/>
    <w:rsid w:val="004D72C2"/>
    <w:rsid w:val="004E1ABA"/>
    <w:rsid w:val="004F0000"/>
    <w:rsid w:val="005001D7"/>
    <w:rsid w:val="00505649"/>
    <w:rsid w:val="0051295B"/>
    <w:rsid w:val="00517005"/>
    <w:rsid w:val="00544AEE"/>
    <w:rsid w:val="00545F10"/>
    <w:rsid w:val="00595A41"/>
    <w:rsid w:val="005F2B5C"/>
    <w:rsid w:val="0060221C"/>
    <w:rsid w:val="006415AF"/>
    <w:rsid w:val="00687E23"/>
    <w:rsid w:val="00690A2A"/>
    <w:rsid w:val="006D3CED"/>
    <w:rsid w:val="00721844"/>
    <w:rsid w:val="0072298B"/>
    <w:rsid w:val="007416BE"/>
    <w:rsid w:val="00774963"/>
    <w:rsid w:val="007D33C0"/>
    <w:rsid w:val="007D52AA"/>
    <w:rsid w:val="007D5355"/>
    <w:rsid w:val="00831D8F"/>
    <w:rsid w:val="0084098A"/>
    <w:rsid w:val="008B2480"/>
    <w:rsid w:val="008D3FD4"/>
    <w:rsid w:val="008E57E1"/>
    <w:rsid w:val="00966E06"/>
    <w:rsid w:val="009C7B0D"/>
    <w:rsid w:val="009D21FA"/>
    <w:rsid w:val="009E14CD"/>
    <w:rsid w:val="00A07B96"/>
    <w:rsid w:val="00A275B9"/>
    <w:rsid w:val="00A43439"/>
    <w:rsid w:val="00A43F2F"/>
    <w:rsid w:val="00A97BA2"/>
    <w:rsid w:val="00AA64AB"/>
    <w:rsid w:val="00AE4A2E"/>
    <w:rsid w:val="00B078AE"/>
    <w:rsid w:val="00BD0161"/>
    <w:rsid w:val="00BE2F26"/>
    <w:rsid w:val="00BF4706"/>
    <w:rsid w:val="00C178F5"/>
    <w:rsid w:val="00C21AC1"/>
    <w:rsid w:val="00C403B5"/>
    <w:rsid w:val="00C6118A"/>
    <w:rsid w:val="00C95B17"/>
    <w:rsid w:val="00CB144F"/>
    <w:rsid w:val="00CC44A9"/>
    <w:rsid w:val="00D26863"/>
    <w:rsid w:val="00D51920"/>
    <w:rsid w:val="00D71384"/>
    <w:rsid w:val="00D75790"/>
    <w:rsid w:val="00D977FC"/>
    <w:rsid w:val="00DB4333"/>
    <w:rsid w:val="00E27BF1"/>
    <w:rsid w:val="00E343B1"/>
    <w:rsid w:val="00E57260"/>
    <w:rsid w:val="00E61D38"/>
    <w:rsid w:val="00E81299"/>
    <w:rsid w:val="00E912C4"/>
    <w:rsid w:val="00EB1D3A"/>
    <w:rsid w:val="00ED7DED"/>
    <w:rsid w:val="00EE0EC6"/>
    <w:rsid w:val="00EF754F"/>
    <w:rsid w:val="00F1219A"/>
    <w:rsid w:val="00F70AA0"/>
    <w:rsid w:val="00F76E36"/>
    <w:rsid w:val="011BAD90"/>
    <w:rsid w:val="01222247"/>
    <w:rsid w:val="053FF5D8"/>
    <w:rsid w:val="0679180B"/>
    <w:rsid w:val="096B7C60"/>
    <w:rsid w:val="1088F58A"/>
    <w:rsid w:val="139E38D3"/>
    <w:rsid w:val="15FEB364"/>
    <w:rsid w:val="1838C60F"/>
    <w:rsid w:val="1900AFB8"/>
    <w:rsid w:val="19F90380"/>
    <w:rsid w:val="1C1B77EC"/>
    <w:rsid w:val="1DF8CDEC"/>
    <w:rsid w:val="1FE6FDAD"/>
    <w:rsid w:val="2123AB7E"/>
    <w:rsid w:val="22AAEBD9"/>
    <w:rsid w:val="24AC79AA"/>
    <w:rsid w:val="28867186"/>
    <w:rsid w:val="2DADEE50"/>
    <w:rsid w:val="2F8CCBD9"/>
    <w:rsid w:val="34B86678"/>
    <w:rsid w:val="3547A307"/>
    <w:rsid w:val="3815882B"/>
    <w:rsid w:val="3CF11FE8"/>
    <w:rsid w:val="45C2C3DE"/>
    <w:rsid w:val="45D21AF7"/>
    <w:rsid w:val="45FAEDA7"/>
    <w:rsid w:val="468B69BF"/>
    <w:rsid w:val="4A28B083"/>
    <w:rsid w:val="4C6045D4"/>
    <w:rsid w:val="4D4EBE25"/>
    <w:rsid w:val="4F9BE886"/>
    <w:rsid w:val="547A648D"/>
    <w:rsid w:val="54DA10DD"/>
    <w:rsid w:val="565FF3B8"/>
    <w:rsid w:val="5682F1C8"/>
    <w:rsid w:val="5AA882BC"/>
    <w:rsid w:val="5AC2D6EF"/>
    <w:rsid w:val="5B7C2299"/>
    <w:rsid w:val="5C6D854A"/>
    <w:rsid w:val="5CD74FA9"/>
    <w:rsid w:val="5DECF0D8"/>
    <w:rsid w:val="5EC27272"/>
    <w:rsid w:val="5FBB258A"/>
    <w:rsid w:val="6278107B"/>
    <w:rsid w:val="62FD6A42"/>
    <w:rsid w:val="68DA6267"/>
    <w:rsid w:val="6BA84A73"/>
    <w:rsid w:val="6DED7471"/>
    <w:rsid w:val="721CA415"/>
    <w:rsid w:val="776FAAD5"/>
    <w:rsid w:val="7D7650EA"/>
    <w:rsid w:val="7D97F499"/>
    <w:rsid w:val="7EC1D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21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0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DefaultParagraphFont"/>
    <w:link w:val="Other0"/>
    <w:rsid w:val="000F2506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Normal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Normal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Revision">
    <w:name w:val="Revision"/>
    <w:hidden/>
    <w:uiPriority w:val="99"/>
    <w:semiHidden/>
    <w:rsid w:val="001A6C84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7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5B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B9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D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841671214AC04CBD9ECCCF5F2F5B1A" ma:contentTypeVersion="3" ma:contentTypeDescription="Kurkite naują dokumentą." ma:contentTypeScope="" ma:versionID="9b787d415c6fb8ccf496d31f3c5c5d84">
  <xsd:schema xmlns:xsd="http://www.w3.org/2001/XMLSchema" xmlns:xs="http://www.w3.org/2001/XMLSchema" xmlns:p="http://schemas.microsoft.com/office/2006/metadata/properties" xmlns:ns2="32741163-cf31-4f06-807e-c4d6207a45c5" targetNamespace="http://schemas.microsoft.com/office/2006/metadata/properties" ma:root="true" ma:fieldsID="011a4a717cb6249aa37fbb3ff2b3eb39" ns2:_="">
    <xsd:import namespace="32741163-cf31-4f06-807e-c4d6207a4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1163-cf31-4f06-807e-c4d6207a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FD5D2-DFFD-4ABA-BE49-D42F8712157B}"/>
</file>

<file path=customXml/itemProps2.xml><?xml version="1.0" encoding="utf-8"?>
<ds:datastoreItem xmlns:ds="http://schemas.openxmlformats.org/officeDocument/2006/customXml" ds:itemID="{C109F316-38CE-4F37-A357-728734490406}"/>
</file>

<file path=customXml/itemProps3.xml><?xml version="1.0" encoding="utf-8"?>
<ds:datastoreItem xmlns:ds="http://schemas.openxmlformats.org/officeDocument/2006/customXml" ds:itemID="{B89752D8-E92B-4544-9471-985ECC5771DB}"/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2025-11-27T11:49:00Z</dcterms:created>
  <dcterms:modified xsi:type="dcterms:W3CDTF">2025-11-27T11:51:00Z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0x0101003E841671214AC04CBD9ECCCF5F2F5B1A</vt:lpwstr>
  </property>
</Properties>
</file>