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D405" w14:textId="0F68F91C" w:rsidR="00320DD1" w:rsidRPr="00005FBD" w:rsidRDefault="00C44320">
      <w:pPr>
        <w:rPr>
          <w:rFonts w:ascii="Times New Roman" w:hAnsi="Times New Roman" w:cs="Times New Roman"/>
          <w:sz w:val="22"/>
          <w:szCs w:val="22"/>
        </w:rPr>
      </w:pPr>
      <w:r w:rsidRPr="00005FBD">
        <w:rPr>
          <w:rFonts w:ascii="Times New Roman" w:hAnsi="Times New Roman" w:cs="Times New Roman"/>
          <w:sz w:val="22"/>
          <w:szCs w:val="22"/>
        </w:rPr>
        <w:t xml:space="preserve">Teikiama CVP IS priemonėmis                                                                           </w:t>
      </w:r>
      <w:r w:rsidR="00621D52">
        <w:rPr>
          <w:rFonts w:ascii="Times New Roman" w:hAnsi="Times New Roman" w:cs="Times New Roman"/>
          <w:sz w:val="22"/>
          <w:szCs w:val="22"/>
        </w:rPr>
        <w:t xml:space="preserve">    </w:t>
      </w:r>
      <w:r w:rsidRPr="00005FBD">
        <w:rPr>
          <w:rFonts w:ascii="Times New Roman" w:hAnsi="Times New Roman" w:cs="Times New Roman"/>
          <w:sz w:val="22"/>
          <w:szCs w:val="22"/>
        </w:rPr>
        <w:t xml:space="preserve">   2025 m. gruodžio 9 d. </w:t>
      </w:r>
    </w:p>
    <w:p w14:paraId="7E5BFA8A" w14:textId="1C374325" w:rsidR="00C44320" w:rsidRPr="00005FBD" w:rsidRDefault="00C44320">
      <w:pPr>
        <w:rPr>
          <w:rFonts w:ascii="Times New Roman" w:hAnsi="Times New Roman" w:cs="Times New Roman"/>
          <w:sz w:val="22"/>
          <w:szCs w:val="22"/>
        </w:rPr>
      </w:pPr>
      <w:r w:rsidRPr="00005FBD">
        <w:rPr>
          <w:rFonts w:ascii="Times New Roman" w:hAnsi="Times New Roman" w:cs="Times New Roman"/>
          <w:sz w:val="22"/>
          <w:szCs w:val="22"/>
        </w:rPr>
        <w:br/>
        <w:t>DĖL GAUTO PAKLAUSIMO</w:t>
      </w:r>
      <w:r w:rsidR="00B46618">
        <w:rPr>
          <w:rFonts w:ascii="Times New Roman" w:hAnsi="Times New Roman" w:cs="Times New Roman"/>
          <w:sz w:val="22"/>
          <w:szCs w:val="22"/>
        </w:rPr>
        <w:t xml:space="preserve"> IR </w:t>
      </w:r>
      <w:r w:rsidR="00B46618" w:rsidRPr="00B46618">
        <w:rPr>
          <w:rFonts w:ascii="Times New Roman" w:hAnsi="Times New Roman" w:cs="Times New Roman"/>
          <w:sz w:val="22"/>
          <w:szCs w:val="22"/>
        </w:rPr>
        <w:t>7 PRIEDO TIKSLINIM</w:t>
      </w:r>
      <w:r w:rsidR="00B46618">
        <w:rPr>
          <w:rFonts w:ascii="Times New Roman" w:hAnsi="Times New Roman" w:cs="Times New Roman"/>
          <w:sz w:val="22"/>
          <w:szCs w:val="22"/>
        </w:rPr>
        <w:t>O</w:t>
      </w:r>
    </w:p>
    <w:p w14:paraId="5C9DCE9D" w14:textId="77777777" w:rsidR="00C44320" w:rsidRPr="00005FBD" w:rsidRDefault="00C44320">
      <w:pPr>
        <w:rPr>
          <w:rFonts w:ascii="Times New Roman" w:hAnsi="Times New Roman" w:cs="Times New Roman"/>
          <w:sz w:val="22"/>
          <w:szCs w:val="22"/>
        </w:rPr>
      </w:pPr>
    </w:p>
    <w:p w14:paraId="49235B3A" w14:textId="73F01E05" w:rsidR="00C44320" w:rsidRPr="00005FBD" w:rsidRDefault="00C44320" w:rsidP="00005FBD">
      <w:pPr>
        <w:jc w:val="both"/>
        <w:rPr>
          <w:rFonts w:ascii="Times New Roman" w:hAnsi="Times New Roman" w:cs="Times New Roman"/>
          <w:sz w:val="22"/>
          <w:szCs w:val="22"/>
        </w:rPr>
      </w:pPr>
      <w:r w:rsidRPr="00005FBD">
        <w:rPr>
          <w:rFonts w:ascii="Times New Roman" w:hAnsi="Times New Roman" w:cs="Times New Roman"/>
          <w:sz w:val="22"/>
          <w:szCs w:val="22"/>
        </w:rPr>
        <w:t xml:space="preserve">VšĮ Kauno regiono atliekų tvarkymo centro Nuolatinė viešųjų pirkimų komisija (toliau – komisija/perkančioji organizacija) informuoja, kad </w:t>
      </w:r>
      <w:r w:rsidR="00504194" w:rsidRPr="00005FBD">
        <w:rPr>
          <w:rFonts w:ascii="Times New Roman" w:hAnsi="Times New Roman" w:cs="Times New Roman"/>
          <w:sz w:val="22"/>
          <w:szCs w:val="22"/>
        </w:rPr>
        <w:t>gavo paklausimą dėl supaprastinto būdo atviro konkurso „</w:t>
      </w:r>
      <w:r w:rsidR="00005FBD" w:rsidRPr="00005FBD">
        <w:rPr>
          <w:rFonts w:ascii="Times New Roman" w:hAnsi="Times New Roman" w:cs="Times New Roman"/>
          <w:sz w:val="22"/>
          <w:szCs w:val="22"/>
        </w:rPr>
        <w:t>Perkrovimo stočių, atskirai surinktoms maisto ir virtuvės atliekoms</w:t>
      </w:r>
      <w:r w:rsidR="00F94230">
        <w:rPr>
          <w:rFonts w:ascii="Times New Roman" w:hAnsi="Times New Roman" w:cs="Times New Roman"/>
          <w:sz w:val="22"/>
          <w:szCs w:val="22"/>
        </w:rPr>
        <w:t>,</w:t>
      </w:r>
      <w:r w:rsidR="00005FBD" w:rsidRPr="00005FBD">
        <w:rPr>
          <w:rFonts w:ascii="Times New Roman" w:hAnsi="Times New Roman" w:cs="Times New Roman"/>
          <w:sz w:val="22"/>
          <w:szCs w:val="22"/>
        </w:rPr>
        <w:t xml:space="preserve"> Raseiniuose rangos darbų pirkimas“ (toliau – pirkimas) 7 priedo „Pasiūlymų vertinimo kriterijai ir sąlygos“ </w:t>
      </w:r>
      <w:r w:rsidR="008023B9">
        <w:rPr>
          <w:rFonts w:ascii="Times New Roman" w:hAnsi="Times New Roman" w:cs="Times New Roman"/>
          <w:sz w:val="22"/>
          <w:szCs w:val="22"/>
        </w:rPr>
        <w:t xml:space="preserve">(toliau – 7 priedas). </w:t>
      </w:r>
    </w:p>
    <w:p w14:paraId="50318E8E" w14:textId="50721B36" w:rsidR="00005FBD" w:rsidRPr="00005FBD" w:rsidRDefault="00005FBD" w:rsidP="00005FBD">
      <w:pPr>
        <w:jc w:val="both"/>
        <w:rPr>
          <w:rFonts w:ascii="Times New Roman" w:hAnsi="Times New Roman" w:cs="Times New Roman"/>
          <w:sz w:val="22"/>
          <w:szCs w:val="22"/>
        </w:rPr>
      </w:pPr>
      <w:r w:rsidRPr="00005FBD">
        <w:rPr>
          <w:rFonts w:ascii="Times New Roman" w:hAnsi="Times New Roman" w:cs="Times New Roman"/>
          <w:sz w:val="22"/>
          <w:szCs w:val="22"/>
        </w:rPr>
        <w:t xml:space="preserve">Klausiama: </w:t>
      </w:r>
    </w:p>
    <w:p w14:paraId="183A2EDF" w14:textId="28AB5953" w:rsidR="00005FBD" w:rsidRPr="003B1D37" w:rsidRDefault="00005FBD" w:rsidP="00145D24">
      <w:pPr>
        <w:jc w:val="both"/>
        <w:rPr>
          <w:rFonts w:ascii="Times New Roman" w:hAnsi="Times New Roman" w:cs="Times New Roman"/>
          <w:color w:val="00241A"/>
          <w:sz w:val="22"/>
          <w:szCs w:val="22"/>
          <w:shd w:val="clear" w:color="auto" w:fill="FFFFFF"/>
        </w:rPr>
      </w:pPr>
      <w:r w:rsidRPr="00005FBD">
        <w:rPr>
          <w:rFonts w:ascii="Times New Roman" w:hAnsi="Times New Roman" w:cs="Times New Roman"/>
          <w:color w:val="00241A"/>
          <w:sz w:val="22"/>
          <w:szCs w:val="22"/>
          <w:shd w:val="clear" w:color="auto" w:fill="FFFFFF"/>
        </w:rPr>
        <w:t xml:space="preserve">Pirkimui </w:t>
      </w:r>
      <w:r w:rsidRPr="003B1D37">
        <w:rPr>
          <w:rFonts w:ascii="Times New Roman" w:hAnsi="Times New Roman" w:cs="Times New Roman"/>
          <w:color w:val="00241A"/>
          <w:sz w:val="22"/>
          <w:szCs w:val="22"/>
          <w:shd w:val="clear" w:color="auto" w:fill="FFFFFF"/>
        </w:rPr>
        <w:t xml:space="preserve">nustatyti vertinimo kriterijai yra kaina (70) ir už sutarties vykdymą atsakingų darbuotojų patirtis (30). Maksimalus </w:t>
      </w:r>
      <w:r w:rsidR="006972FA" w:rsidRPr="003B1D37">
        <w:rPr>
          <w:rFonts w:ascii="Times New Roman" w:hAnsi="Times New Roman" w:cs="Times New Roman"/>
          <w:color w:val="00241A"/>
          <w:sz w:val="22"/>
          <w:szCs w:val="22"/>
          <w:shd w:val="clear" w:color="auto" w:fill="FFFFFF"/>
        </w:rPr>
        <w:t xml:space="preserve">už sutarties vykdymą atsakingų darbuotojų patirties </w:t>
      </w:r>
      <w:r w:rsidRPr="003B1D37">
        <w:rPr>
          <w:rFonts w:ascii="Times New Roman" w:hAnsi="Times New Roman" w:cs="Times New Roman"/>
          <w:color w:val="00241A"/>
          <w:sz w:val="22"/>
          <w:szCs w:val="22"/>
          <w:shd w:val="clear" w:color="auto" w:fill="FFFFFF"/>
        </w:rPr>
        <w:t>kriterijaus</w:t>
      </w:r>
      <w:r w:rsidR="006972FA" w:rsidRPr="003B1D37">
        <w:rPr>
          <w:rFonts w:ascii="Times New Roman" w:hAnsi="Times New Roman" w:cs="Times New Roman"/>
          <w:color w:val="00241A"/>
          <w:sz w:val="22"/>
          <w:szCs w:val="22"/>
          <w:shd w:val="clear" w:color="auto" w:fill="FFFFFF"/>
        </w:rPr>
        <w:t xml:space="preserve"> </w:t>
      </w:r>
      <w:r w:rsidR="00600967" w:rsidRPr="003B1D37">
        <w:rPr>
          <w:rFonts w:ascii="Times New Roman" w:hAnsi="Times New Roman" w:cs="Times New Roman"/>
          <w:color w:val="00241A"/>
          <w:sz w:val="22"/>
          <w:szCs w:val="22"/>
          <w:shd w:val="clear" w:color="auto" w:fill="FFFFFF"/>
        </w:rPr>
        <w:t xml:space="preserve">(T) </w:t>
      </w:r>
      <w:r w:rsidRPr="003B1D37">
        <w:rPr>
          <w:rFonts w:ascii="Times New Roman" w:hAnsi="Times New Roman" w:cs="Times New Roman"/>
          <w:color w:val="00241A"/>
          <w:sz w:val="22"/>
          <w:szCs w:val="22"/>
          <w:shd w:val="clear" w:color="auto" w:fill="FFFFFF"/>
        </w:rPr>
        <w:t>lyginamasis svoris yra 30, nors maksimaliai galima gauti 15 balų (10 balų už statybos vadovo įvykdytas sutartis ir 5 balus už specialiųjų statybos darbų vadovo įvykdytas sutartis). Prašome paaiškinti šiuos neatitikimus.</w:t>
      </w:r>
    </w:p>
    <w:p w14:paraId="3A054F9A" w14:textId="6B60BD75" w:rsidR="00600967" w:rsidRPr="003B1D37" w:rsidRDefault="00600967" w:rsidP="00145D24">
      <w:pPr>
        <w:jc w:val="both"/>
        <w:rPr>
          <w:rFonts w:ascii="Times New Roman" w:hAnsi="Times New Roman" w:cs="Times New Roman"/>
          <w:color w:val="00241A"/>
          <w:sz w:val="22"/>
          <w:szCs w:val="22"/>
          <w:shd w:val="clear" w:color="auto" w:fill="FFFFFF"/>
        </w:rPr>
      </w:pPr>
      <w:r w:rsidRPr="003B1D37">
        <w:rPr>
          <w:rFonts w:ascii="Times New Roman" w:hAnsi="Times New Roman" w:cs="Times New Roman"/>
          <w:color w:val="00241A"/>
          <w:sz w:val="22"/>
          <w:szCs w:val="22"/>
          <w:shd w:val="clear" w:color="auto" w:fill="FFFFFF"/>
        </w:rPr>
        <w:t xml:space="preserve">Atsakome: </w:t>
      </w:r>
    </w:p>
    <w:p w14:paraId="68C68CBB" w14:textId="5FB74F14" w:rsidR="00BF56EC" w:rsidRPr="003B1D37" w:rsidRDefault="002D42B7" w:rsidP="00145D24">
      <w:pPr>
        <w:spacing w:line="259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B1D37">
        <w:rPr>
          <w:rFonts w:ascii="Times New Roman" w:eastAsia="Calibri" w:hAnsi="Times New Roman" w:cs="Times New Roman"/>
          <w:sz w:val="22"/>
          <w:szCs w:val="22"/>
        </w:rPr>
        <w:t xml:space="preserve">Komisija pažymėjo, kad </w:t>
      </w:r>
      <w:r w:rsidR="001F05D7" w:rsidRPr="003B1D37">
        <w:rPr>
          <w:rFonts w:ascii="Times New Roman" w:eastAsia="Calibri" w:hAnsi="Times New Roman" w:cs="Times New Roman"/>
          <w:sz w:val="22"/>
          <w:szCs w:val="22"/>
        </w:rPr>
        <w:t xml:space="preserve">už sutarties vykdymą atsakingų darbuotojų patirties kriterijus (T) </w:t>
      </w:r>
      <w:r w:rsidR="00245871" w:rsidRPr="003B1D37">
        <w:rPr>
          <w:rFonts w:ascii="Times New Roman" w:eastAsia="Calibri" w:hAnsi="Times New Roman" w:cs="Times New Roman"/>
          <w:sz w:val="22"/>
          <w:szCs w:val="22"/>
        </w:rPr>
        <w:t xml:space="preserve">apskaičiuojamas </w:t>
      </w:r>
      <w:r w:rsidR="00044DC4" w:rsidRPr="003B1D37">
        <w:rPr>
          <w:rFonts w:ascii="Times New Roman" w:eastAsia="Calibri" w:hAnsi="Times New Roman" w:cs="Times New Roman"/>
          <w:sz w:val="22"/>
          <w:szCs w:val="22"/>
        </w:rPr>
        <w:t xml:space="preserve">pagal </w:t>
      </w:r>
      <w:r w:rsidR="00DC0B3C" w:rsidRPr="003B1D37">
        <w:rPr>
          <w:rFonts w:ascii="Times New Roman" w:eastAsia="Calibri" w:hAnsi="Times New Roman" w:cs="Times New Roman"/>
          <w:sz w:val="22"/>
          <w:szCs w:val="22"/>
        </w:rPr>
        <w:t xml:space="preserve">pirkimo sąlygų 7 priedo </w:t>
      </w:r>
      <w:r w:rsidR="002F2181" w:rsidRPr="003B1D37">
        <w:rPr>
          <w:rFonts w:ascii="Times New Roman" w:eastAsia="Calibri" w:hAnsi="Times New Roman" w:cs="Times New Roman"/>
          <w:sz w:val="22"/>
          <w:szCs w:val="22"/>
        </w:rPr>
        <w:t>5 punkte nustatytą formulę</w:t>
      </w:r>
      <w:r w:rsidR="003B1D37" w:rsidRPr="003B1D37">
        <w:rPr>
          <w:rFonts w:ascii="Times New Roman" w:eastAsia="Calibri" w:hAnsi="Times New Roman" w:cs="Times New Roman"/>
          <w:sz w:val="22"/>
          <w:szCs w:val="22"/>
        </w:rPr>
        <w:t>:</w:t>
      </w:r>
    </w:p>
    <w:p w14:paraId="1BE52DCF" w14:textId="77777777" w:rsidR="00DC42E7" w:rsidRPr="00DC42E7" w:rsidRDefault="00DC42E7" w:rsidP="00145D24">
      <w:pPr>
        <w:suppressAutoHyphens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DC42E7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T= (P</w:t>
      </w:r>
      <w:r w:rsidRPr="00DC42E7"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  <w14:ligatures w14:val="none"/>
        </w:rPr>
        <w:t>p1</w:t>
      </w:r>
      <w:r w:rsidRPr="00DC42E7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+P</w:t>
      </w:r>
      <w:r w:rsidRPr="00DC42E7"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  <w14:ligatures w14:val="none"/>
        </w:rPr>
        <w:t>p2</w:t>
      </w:r>
      <w:r w:rsidRPr="00DC42E7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)÷(P</w:t>
      </w:r>
      <w:r w:rsidRPr="00DC42E7"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  <w14:ligatures w14:val="none"/>
        </w:rPr>
        <w:t>1,max</w:t>
      </w:r>
      <w:r w:rsidRPr="00DC42E7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+P</w:t>
      </w:r>
      <w:r w:rsidRPr="00DC42E7"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  <w14:ligatures w14:val="none"/>
        </w:rPr>
        <w:t>2,max</w:t>
      </w:r>
      <w:r w:rsidRPr="00DC42E7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)×Y</w:t>
      </w:r>
    </w:p>
    <w:p w14:paraId="421B10DA" w14:textId="77777777" w:rsidR="00DC42E7" w:rsidRPr="00DC42E7" w:rsidRDefault="00DC42E7" w:rsidP="00145D24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  <w14:ligatures w14:val="none"/>
        </w:rPr>
      </w:pPr>
    </w:p>
    <w:p w14:paraId="16B4B950" w14:textId="7AC1B59A" w:rsidR="005D3378" w:rsidRPr="003B1D37" w:rsidRDefault="00DC42E7" w:rsidP="00145D24">
      <w:pPr>
        <w:spacing w:line="259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C42E7">
        <w:rPr>
          <w:rFonts w:ascii="Times New Roman" w:eastAsia="Calibri" w:hAnsi="Times New Roman" w:cs="Times New Roman"/>
          <w:sz w:val="22"/>
          <w:szCs w:val="22"/>
        </w:rPr>
        <w:t xml:space="preserve">Už </w:t>
      </w:r>
      <w:r w:rsidR="00242699" w:rsidRPr="003B1D37">
        <w:rPr>
          <w:rFonts w:ascii="Times New Roman" w:eastAsia="Calibri" w:hAnsi="Times New Roman" w:cs="Times New Roman"/>
          <w:sz w:val="22"/>
          <w:szCs w:val="22"/>
        </w:rPr>
        <w:t xml:space="preserve">vertinimo pasiūlymo </w:t>
      </w:r>
      <w:r w:rsidRPr="00DC42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DC42E7">
        <w:rPr>
          <w:rFonts w:ascii="Times New Roman" w:eastAsia="Times New Roman" w:hAnsi="Times New Roman" w:cs="Times New Roman"/>
          <w:kern w:val="0"/>
          <w:sz w:val="22"/>
          <w:szCs w:val="22"/>
          <w:vertAlign w:val="subscript"/>
          <w14:ligatures w14:val="none"/>
        </w:rPr>
        <w:t xml:space="preserve">p1 </w:t>
      </w:r>
      <w:r w:rsidRPr="00DC42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galima gauti maksimaliai 10 balų, o už P</w:t>
      </w:r>
      <w:r w:rsidRPr="00DC42E7">
        <w:rPr>
          <w:rFonts w:ascii="Times New Roman" w:eastAsia="Times New Roman" w:hAnsi="Times New Roman" w:cs="Times New Roman"/>
          <w:kern w:val="0"/>
          <w:sz w:val="22"/>
          <w:szCs w:val="22"/>
          <w:vertAlign w:val="subscript"/>
          <w14:ligatures w14:val="none"/>
        </w:rPr>
        <w:t>p2</w:t>
      </w:r>
      <w:r w:rsidRPr="00DC42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maksimaliai galima gauti 5 balus</w:t>
      </w:r>
      <w:r w:rsidR="00E500E2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7347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500E2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</w:t>
      </w:r>
      <w:r w:rsidR="005D3378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t. y. vertinamo pasiūlymo </w:t>
      </w:r>
      <w:r w:rsidR="00E500E2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maksimali </w:t>
      </w:r>
      <w:r w:rsidR="00242699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suma yra 15 balų</w:t>
      </w:r>
      <w:r w:rsidR="001C03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BA470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 ir maksimal</w:t>
      </w:r>
      <w:r w:rsidR="005403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="00BA470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2323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už sutarties vykdymą </w:t>
      </w:r>
      <w:r w:rsidR="005403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atsakingų darbuotojų patirties balų suma</w:t>
      </w:r>
      <w:r w:rsidR="00242699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="000F55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F942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</w:t>
      </w:r>
      <w:r w:rsidR="00E12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D1A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vertinimo</w:t>
      </w:r>
      <w:r w:rsidR="00E12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kriterijaus </w:t>
      </w:r>
      <w:r w:rsidR="00BD1A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="00BD1AC1" w:rsidRPr="00BD1A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yginamasis svoris ekonominio naudingumo įvertinime</w:t>
      </w:r>
      <w:r w:rsidR="00E12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yra 30</w:t>
      </w:r>
      <w:r w:rsidR="002777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9336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vadinasi, </w:t>
      </w:r>
      <w:r w:rsidR="00DB3754" w:rsidRPr="00DB37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už sutarties vykdymą atsakingų darbuotojų patirties kriterijus </w:t>
      </w:r>
      <w:r w:rsidR="00F003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 maksimali </w:t>
      </w:r>
      <w:r w:rsidR="008138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vertė</w:t>
      </w:r>
      <w:r w:rsidR="00F003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yra 30. </w:t>
      </w:r>
      <w:r w:rsidR="00DB37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23624CF2" w14:textId="65E25985" w:rsidR="00DC42E7" w:rsidRPr="00DC42E7" w:rsidRDefault="005029EF" w:rsidP="00145D24">
      <w:pPr>
        <w:spacing w:line="259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</w:t>
      </w:r>
      <w:r w:rsidR="00DC42E7" w:rsidRPr="00DC42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riterijus T apskaičiuojamas </w:t>
      </w:r>
      <w:r w:rsidR="00FF31A8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vertinimo </w:t>
      </w:r>
      <w:r w:rsidR="004D2B13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pasiūlymo </w:t>
      </w:r>
      <w:r w:rsidR="0054357E" w:rsidRPr="005435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už sutarties vykdymą atsakingų darbuotojų patirti</w:t>
      </w:r>
      <w:r w:rsidR="005435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es </w:t>
      </w:r>
      <w:r w:rsidR="00BC5994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balų sumos ir maksi</w:t>
      </w:r>
      <w:r w:rsidR="008C69FC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malių </w:t>
      </w:r>
      <w:r w:rsidR="00E500E2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balų </w:t>
      </w:r>
      <w:r w:rsidR="007D65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sumos </w:t>
      </w:r>
      <w:r w:rsidR="000C5904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santykį </w:t>
      </w:r>
      <w:r w:rsidR="00DC42E7" w:rsidRPr="00DC42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padauginus iš lyginamojo svorio Y</w:t>
      </w:r>
      <w:r w:rsidR="003244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(30)</w:t>
      </w:r>
      <w:r w:rsidR="00DC42E7" w:rsidRPr="00DC42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Pavyzdžiui, tiekėjas už P</w:t>
      </w:r>
      <w:r w:rsidR="00DC42E7" w:rsidRPr="00DC42E7">
        <w:rPr>
          <w:rFonts w:ascii="Times New Roman" w:eastAsia="Times New Roman" w:hAnsi="Times New Roman" w:cs="Times New Roman"/>
          <w:kern w:val="0"/>
          <w:sz w:val="22"/>
          <w:szCs w:val="22"/>
          <w:vertAlign w:val="subscript"/>
          <w14:ligatures w14:val="none"/>
        </w:rPr>
        <w:t>p1</w:t>
      </w:r>
      <w:r w:rsidR="00DC42E7" w:rsidRPr="00DC42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gauna 8 balus (aštuonios sutartys), už P</w:t>
      </w:r>
      <w:r w:rsidR="00DC42E7" w:rsidRPr="00DC42E7">
        <w:rPr>
          <w:rFonts w:ascii="Times New Roman" w:eastAsia="Times New Roman" w:hAnsi="Times New Roman" w:cs="Times New Roman"/>
          <w:kern w:val="0"/>
          <w:sz w:val="22"/>
          <w:szCs w:val="22"/>
          <w:vertAlign w:val="subscript"/>
          <w14:ligatures w14:val="none"/>
        </w:rPr>
        <w:t xml:space="preserve">p2  </w:t>
      </w:r>
      <w:r w:rsidR="00DC42E7" w:rsidRPr="00DC42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gauna 3 balus (trys sutartys), tai pagal formulę </w:t>
      </w:r>
      <w:r w:rsidR="00AB67E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 vertė yra </w:t>
      </w:r>
      <w:r w:rsidR="00DC42E7" w:rsidRPr="00DC42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(8+3) ÷ (10+5) ×Y(30)=22. </w:t>
      </w:r>
    </w:p>
    <w:p w14:paraId="3209789C" w14:textId="79AA99A8" w:rsidR="00F93F8D" w:rsidRDefault="0032449A" w:rsidP="00005FB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Komisija</w:t>
      </w:r>
      <w:r w:rsidR="00555FCA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7240">
        <w:rPr>
          <w:rFonts w:ascii="Times New Roman" w:hAnsi="Times New Roman" w:cs="Times New Roman"/>
          <w:sz w:val="22"/>
          <w:szCs w:val="22"/>
        </w:rPr>
        <w:t xml:space="preserve">išnagrinėjusi gautą paklausimą, </w:t>
      </w:r>
      <w:r w:rsidR="00D53E83">
        <w:rPr>
          <w:rFonts w:ascii="Times New Roman" w:hAnsi="Times New Roman" w:cs="Times New Roman"/>
          <w:sz w:val="22"/>
          <w:szCs w:val="22"/>
        </w:rPr>
        <w:t xml:space="preserve">patikslino </w:t>
      </w:r>
      <w:r w:rsidR="009802F2">
        <w:rPr>
          <w:rFonts w:ascii="Times New Roman" w:hAnsi="Times New Roman" w:cs="Times New Roman"/>
          <w:sz w:val="22"/>
          <w:szCs w:val="22"/>
        </w:rPr>
        <w:t>7 priedo</w:t>
      </w:r>
      <w:r w:rsidR="000C7478">
        <w:rPr>
          <w:rFonts w:ascii="Times New Roman" w:hAnsi="Times New Roman" w:cs="Times New Roman"/>
          <w:sz w:val="22"/>
          <w:szCs w:val="22"/>
        </w:rPr>
        <w:t xml:space="preserve"> </w:t>
      </w:r>
      <w:r w:rsidR="00555FCA" w:rsidRPr="00555FCA">
        <w:rPr>
          <w:rFonts w:ascii="Times New Roman" w:hAnsi="Times New Roman" w:cs="Times New Roman"/>
          <w:sz w:val="22"/>
          <w:szCs w:val="22"/>
        </w:rPr>
        <w:t>5</w:t>
      </w:r>
      <w:r w:rsidR="00555FCA">
        <w:rPr>
          <w:rFonts w:ascii="Times New Roman" w:hAnsi="Times New Roman" w:cs="Times New Roman"/>
          <w:sz w:val="22"/>
          <w:szCs w:val="22"/>
        </w:rPr>
        <w:t xml:space="preserve"> punktą taip: „</w:t>
      </w:r>
      <w:r w:rsidR="00555FCA" w:rsidRPr="00555FCA">
        <w:rPr>
          <w:rFonts w:ascii="Times New Roman" w:hAnsi="Times New Roman" w:cs="Times New Roman"/>
          <w:sz w:val="22"/>
          <w:szCs w:val="22"/>
        </w:rPr>
        <w:t xml:space="preserve">Antro kriterijaus </w:t>
      </w:r>
      <w:r w:rsidR="00555FCA" w:rsidRPr="00555FCA">
        <w:rPr>
          <w:rFonts w:ascii="Times New Roman" w:hAnsi="Times New Roman" w:cs="Times New Roman"/>
          <w:b/>
          <w:bCs/>
          <w:sz w:val="22"/>
          <w:szCs w:val="22"/>
        </w:rPr>
        <w:t>„Už sutarties vykdymą atsakingų darbuotojų patirtis (T)“</w:t>
      </w:r>
      <w:r w:rsidR="00555FCA" w:rsidRPr="00555FCA">
        <w:rPr>
          <w:rFonts w:ascii="Times New Roman" w:hAnsi="Times New Roman" w:cs="Times New Roman"/>
          <w:sz w:val="22"/>
          <w:szCs w:val="22"/>
        </w:rPr>
        <w:t xml:space="preserve"> balai apskaičiuojami vertinamam pasiūlymui suteiktų reikšmių sumos (Pp1+Pp2) ir geriausių pasiūlytų reikšmių sumos (P1,max+P2,max) santykį padauginant iš kriterijaus lyginamojo svorio (Y2)</w:t>
      </w:r>
      <w:r w:rsidR="001B3D25">
        <w:rPr>
          <w:rFonts w:ascii="Times New Roman" w:hAnsi="Times New Roman" w:cs="Times New Roman"/>
          <w:sz w:val="22"/>
          <w:szCs w:val="22"/>
        </w:rPr>
        <w:t xml:space="preserve"> ir </w:t>
      </w:r>
      <w:r w:rsidR="00E159D8">
        <w:rPr>
          <w:rFonts w:ascii="Times New Roman" w:hAnsi="Times New Roman" w:cs="Times New Roman"/>
          <w:sz w:val="22"/>
          <w:szCs w:val="22"/>
        </w:rPr>
        <w:t xml:space="preserve">panaikino 7 priedo </w:t>
      </w:r>
      <w:r w:rsidR="00140E77">
        <w:rPr>
          <w:rFonts w:ascii="Times New Roman" w:hAnsi="Times New Roman" w:cs="Times New Roman"/>
          <w:sz w:val="22"/>
          <w:szCs w:val="22"/>
        </w:rPr>
        <w:t>6 punktą</w:t>
      </w:r>
      <w:r w:rsidR="00F93F8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6C80E4C" w14:textId="6535818E" w:rsidR="00600967" w:rsidRPr="00005FBD" w:rsidRDefault="00F93F8D" w:rsidP="00005FB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Komisija informuoja, kad šis pirkimo sąlygų patikslinimas yra </w:t>
      </w:r>
      <w:r w:rsidR="005F2A4E">
        <w:rPr>
          <w:rFonts w:ascii="Times New Roman" w:hAnsi="Times New Roman" w:cs="Times New Roman"/>
          <w:sz w:val="22"/>
          <w:szCs w:val="22"/>
        </w:rPr>
        <w:t xml:space="preserve">neatskiriama pirkimo dokumentų dalis. </w:t>
      </w:r>
    </w:p>
    <w:p w14:paraId="4502F739" w14:textId="3FA852A0" w:rsidR="00F90789" w:rsidRDefault="00F90789" w:rsidP="00005FB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PRIDEDAMA. 2025 m. gruodžio 9 d. patikslintas </w:t>
      </w:r>
      <w:r w:rsidR="00452742">
        <w:rPr>
          <w:rFonts w:ascii="Times New Roman" w:hAnsi="Times New Roman" w:cs="Times New Roman"/>
          <w:sz w:val="22"/>
          <w:szCs w:val="22"/>
        </w:rPr>
        <w:t>7 priedas „</w:t>
      </w:r>
      <w:r w:rsidR="00452742" w:rsidRPr="00452742">
        <w:rPr>
          <w:rFonts w:ascii="Times New Roman" w:hAnsi="Times New Roman" w:cs="Times New Roman"/>
          <w:sz w:val="22"/>
          <w:szCs w:val="22"/>
        </w:rPr>
        <w:t>Pasiūlymų vertinimo kriterijai ir sąlygos</w:t>
      </w:r>
      <w:r w:rsidR="00452742">
        <w:rPr>
          <w:rFonts w:ascii="Times New Roman" w:hAnsi="Times New Roman" w:cs="Times New Roman"/>
          <w:sz w:val="22"/>
          <w:szCs w:val="22"/>
        </w:rPr>
        <w:t xml:space="preserve">“. </w:t>
      </w:r>
    </w:p>
    <w:p w14:paraId="365BB3E9" w14:textId="77777777" w:rsidR="002F444A" w:rsidRDefault="002F444A" w:rsidP="00005FB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FFD6FB" w14:textId="1B7686D1" w:rsidR="002F444A" w:rsidRDefault="002F444A" w:rsidP="00621D5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Pagarbiai</w:t>
      </w:r>
    </w:p>
    <w:p w14:paraId="10986847" w14:textId="3933E953" w:rsidR="002F444A" w:rsidRPr="00005FBD" w:rsidRDefault="002F444A" w:rsidP="00621D5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Perkančioji organizacija </w:t>
      </w:r>
    </w:p>
    <w:sectPr w:rsidR="002F444A" w:rsidRPr="00005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8F"/>
    <w:rsid w:val="00005FBD"/>
    <w:rsid w:val="00044DC4"/>
    <w:rsid w:val="000C5904"/>
    <w:rsid w:val="000C7478"/>
    <w:rsid w:val="000F55D5"/>
    <w:rsid w:val="00140E77"/>
    <w:rsid w:val="00145D24"/>
    <w:rsid w:val="001B3D25"/>
    <w:rsid w:val="001C039B"/>
    <w:rsid w:val="001F05D7"/>
    <w:rsid w:val="0023237B"/>
    <w:rsid w:val="00242699"/>
    <w:rsid w:val="00245871"/>
    <w:rsid w:val="00277794"/>
    <w:rsid w:val="002D42B7"/>
    <w:rsid w:val="002D6BD2"/>
    <w:rsid w:val="002F2181"/>
    <w:rsid w:val="002F444A"/>
    <w:rsid w:val="002F65A8"/>
    <w:rsid w:val="00320DD1"/>
    <w:rsid w:val="0032449A"/>
    <w:rsid w:val="0038758F"/>
    <w:rsid w:val="003B1D37"/>
    <w:rsid w:val="00417C04"/>
    <w:rsid w:val="00452742"/>
    <w:rsid w:val="004D2B13"/>
    <w:rsid w:val="005029EF"/>
    <w:rsid w:val="00504194"/>
    <w:rsid w:val="00510DF7"/>
    <w:rsid w:val="005403E1"/>
    <w:rsid w:val="0054357E"/>
    <w:rsid w:val="00555FCA"/>
    <w:rsid w:val="00597F41"/>
    <w:rsid w:val="005D3378"/>
    <w:rsid w:val="005F2A4E"/>
    <w:rsid w:val="00600967"/>
    <w:rsid w:val="00621D52"/>
    <w:rsid w:val="00690BB3"/>
    <w:rsid w:val="006972FA"/>
    <w:rsid w:val="006F7240"/>
    <w:rsid w:val="00734760"/>
    <w:rsid w:val="007D6569"/>
    <w:rsid w:val="008023B9"/>
    <w:rsid w:val="008138CF"/>
    <w:rsid w:val="008412AB"/>
    <w:rsid w:val="00882480"/>
    <w:rsid w:val="008C69FC"/>
    <w:rsid w:val="009336B2"/>
    <w:rsid w:val="00967B00"/>
    <w:rsid w:val="009802F2"/>
    <w:rsid w:val="009A58DB"/>
    <w:rsid w:val="00AB67E5"/>
    <w:rsid w:val="00B46618"/>
    <w:rsid w:val="00BA470B"/>
    <w:rsid w:val="00BC1332"/>
    <w:rsid w:val="00BC5994"/>
    <w:rsid w:val="00BD1AC1"/>
    <w:rsid w:val="00BF56EC"/>
    <w:rsid w:val="00C20BD2"/>
    <w:rsid w:val="00C44320"/>
    <w:rsid w:val="00C94293"/>
    <w:rsid w:val="00D20285"/>
    <w:rsid w:val="00D53E83"/>
    <w:rsid w:val="00D67849"/>
    <w:rsid w:val="00DB3754"/>
    <w:rsid w:val="00DC0B3C"/>
    <w:rsid w:val="00DC13E7"/>
    <w:rsid w:val="00DC42E7"/>
    <w:rsid w:val="00E12677"/>
    <w:rsid w:val="00E159D8"/>
    <w:rsid w:val="00E500E2"/>
    <w:rsid w:val="00E64863"/>
    <w:rsid w:val="00F003C1"/>
    <w:rsid w:val="00F46564"/>
    <w:rsid w:val="00F5259F"/>
    <w:rsid w:val="00F90789"/>
    <w:rsid w:val="00F93F8D"/>
    <w:rsid w:val="00F94230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BCFF"/>
  <w15:chartTrackingRefBased/>
  <w15:docId w15:val="{3B9DC436-0CD7-4CCA-BB87-018BA810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87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87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87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8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87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8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8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8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8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8758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8758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8758F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8758F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8758F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8758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8758F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8758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8758F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87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8758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87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8758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8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8758F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38758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8758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87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8758F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387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Vilkaitė</dc:creator>
  <cp:keywords/>
  <dc:description/>
  <cp:lastModifiedBy>Marija Vilkaitė</cp:lastModifiedBy>
  <cp:revision>73</cp:revision>
  <dcterms:created xsi:type="dcterms:W3CDTF">2025-12-09T06:42:00Z</dcterms:created>
  <dcterms:modified xsi:type="dcterms:W3CDTF">2025-12-09T08:28:00Z</dcterms:modified>
</cp:coreProperties>
</file>