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A2AE" w14:textId="0FC6211F" w:rsidR="00B10F4F" w:rsidRPr="001724F1" w:rsidRDefault="00B10F4F" w:rsidP="00B10F4F">
      <w:pPr>
        <w:jc w:val="right"/>
        <w:rPr>
          <w:rFonts w:ascii="Calibri Light" w:hAnsi="Calibri Light" w:cs="Calibri Light"/>
          <w:sz w:val="24"/>
          <w:szCs w:val="24"/>
          <w:lang w:val="lt-LT"/>
        </w:rPr>
      </w:pPr>
      <w:r>
        <w:rPr>
          <w:rFonts w:ascii="Calibri Light" w:hAnsi="Calibri Light" w:cs="Calibri Light"/>
          <w:sz w:val="24"/>
          <w:szCs w:val="24"/>
          <w:lang w:val="lt-LT"/>
        </w:rPr>
        <w:t>4</w:t>
      </w:r>
      <w:r w:rsidRPr="001724F1">
        <w:rPr>
          <w:rFonts w:ascii="Calibri Light" w:hAnsi="Calibri Light" w:cs="Calibri Light"/>
          <w:sz w:val="24"/>
          <w:szCs w:val="24"/>
          <w:lang w:val="lt-LT"/>
        </w:rPr>
        <w:t xml:space="preserve"> priedas</w:t>
      </w:r>
    </w:p>
    <w:p w14:paraId="4387997E" w14:textId="77777777" w:rsidR="00B76DCF" w:rsidRPr="00FC3C40" w:rsidRDefault="00B76DCF" w:rsidP="00F02B5D">
      <w:pPr>
        <w:keepNext/>
        <w:tabs>
          <w:tab w:val="left" w:pos="5174"/>
        </w:tabs>
        <w:ind w:right="140"/>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2C1A1E1D"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nei pasiūlymo pateikimo metu</w:t>
      </w:r>
      <w:r>
        <w:rPr>
          <w:rFonts w:asciiTheme="majorHAnsi" w:hAnsiTheme="majorHAnsi" w:cstheme="majorHAnsi"/>
          <w:sz w:val="24"/>
          <w:szCs w:val="24"/>
          <w:lang w:val="lt-LT"/>
        </w:rPr>
        <w:t xml:space="preserve"> </w:t>
      </w:r>
      <w:r w:rsidRPr="00F02B5D">
        <w:rPr>
          <w:rFonts w:asciiTheme="majorHAnsi" w:hAnsiTheme="majorHAnsi" w:cstheme="majorHAnsi"/>
          <w:b/>
          <w:bCs/>
          <w:sz w:val="24"/>
          <w:szCs w:val="24"/>
          <w:lang w:val="lt-LT"/>
        </w:rPr>
        <w:t>„</w:t>
      </w:r>
      <w:r w:rsidR="00E53304" w:rsidRPr="00E53304">
        <w:rPr>
          <w:rFonts w:ascii="Calibri Light" w:hAnsi="Calibri Light" w:cs="Calibri Light"/>
          <w:b/>
          <w:bCs/>
          <w:i/>
          <w:iCs/>
          <w:sz w:val="24"/>
          <w:szCs w:val="24"/>
          <w:lang w:val="lt-LT"/>
        </w:rPr>
        <w:t>Krosnių, krosnių – viryklių, kaminų remonto ir jų valymo darbai</w:t>
      </w:r>
      <w:r w:rsidRPr="00516DD8">
        <w:rPr>
          <w:rFonts w:asciiTheme="majorHAnsi" w:hAnsiTheme="majorHAnsi" w:cstheme="majorHAnsi"/>
          <w:b/>
          <w:bCs/>
          <w:color w:val="000000"/>
          <w:sz w:val="24"/>
          <w:szCs w:val="24"/>
          <w:shd w:val="clear" w:color="auto" w:fill="FFFFFF"/>
          <w:lang w:val="lt-LT"/>
        </w:rPr>
        <w:t>”</w:t>
      </w:r>
      <w:r w:rsidRPr="00516DD8">
        <w:rPr>
          <w:rFonts w:asciiTheme="majorHAnsi" w:hAnsiTheme="majorHAnsi" w:cstheme="majorHAnsi"/>
          <w:b/>
          <w:bCs/>
          <w:sz w:val="24"/>
          <w:szCs w:val="24"/>
          <w:lang w:val="lt-LT"/>
        </w:rPr>
        <w:t xml:space="preserve"> </w:t>
      </w:r>
      <w:r w:rsidRPr="00516DD8">
        <w:rPr>
          <w:rFonts w:asciiTheme="majorHAnsi" w:hAnsiTheme="majorHAnsi" w:cstheme="majorHAnsi"/>
          <w:sz w:val="24"/>
          <w:szCs w:val="24"/>
          <w:lang w:val="lt-LT"/>
        </w:rPr>
        <w:t>pirkime, nei</w:t>
      </w:r>
      <w:r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Puslapioinaosnuoroda"/>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Sraopastraipa"/>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Sraopastraipa"/>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Sraopastraipa"/>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Sraopastraipa"/>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Sraopastraipa"/>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Sraopastraipa"/>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FC3C40"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(Teikėjo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77777777"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 xml:space="preserve">*Teikėjas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77777777" w:rsidR="00086D2A" w:rsidRPr="00FC3C40" w:rsidRDefault="00086D2A" w:rsidP="00086D2A">
      <w:pPr>
        <w:pStyle w:val="Pagrindinistekstas"/>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teikėjo vadovo, kartu pateikiamas įgaliojimas, suteikiantis teisę šį dokumentą pasirašiusiam darbuotojui, atstovauti teikėją.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Default="005C6BEB"/>
    <w:sectPr w:rsidR="005C6BEB"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Puslapioinaosnuoroda"/>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ipersaitas"/>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452535"/>
    <w:rsid w:val="00466C8D"/>
    <w:rsid w:val="005045E6"/>
    <w:rsid w:val="00521BE8"/>
    <w:rsid w:val="00544C3A"/>
    <w:rsid w:val="005C6BEB"/>
    <w:rsid w:val="007E52A0"/>
    <w:rsid w:val="00800CF4"/>
    <w:rsid w:val="008D5F2F"/>
    <w:rsid w:val="00A80517"/>
    <w:rsid w:val="00A810EB"/>
    <w:rsid w:val="00B10F4F"/>
    <w:rsid w:val="00B76DCF"/>
    <w:rsid w:val="00C95BAC"/>
    <w:rsid w:val="00DD62B1"/>
    <w:rsid w:val="00E53304"/>
    <w:rsid w:val="00EC0F77"/>
    <w:rsid w:val="00F02B5D"/>
    <w:rsid w:val="00F03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rsid w:val="00B76DCF"/>
    <w:pPr>
      <w:jc w:val="both"/>
    </w:pPr>
    <w:rPr>
      <w:sz w:val="24"/>
      <w:szCs w:val="24"/>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76DCF"/>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76DCF"/>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76DCF"/>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76DCF"/>
    <w:pPr>
      <w:ind w:left="720"/>
      <w:contextualSpacing/>
    </w:pPr>
    <w:rPr>
      <w:sz w:val="24"/>
      <w:szCs w:val="24"/>
      <w:lang w:val="lt-LT"/>
    </w:rPr>
  </w:style>
  <w:style w:type="character" w:styleId="Puslapioinaosnuoroda">
    <w:name w:val="footnote reference"/>
    <w:basedOn w:val="Numatytasispastraiposriftas"/>
    <w:uiPriority w:val="99"/>
    <w:semiHidden/>
    <w:unhideWhenUsed/>
    <w:rsid w:val="00B76DCF"/>
    <w:rPr>
      <w:vertAlign w:val="superscript"/>
    </w:rPr>
  </w:style>
  <w:style w:type="character" w:customStyle="1" w:styleId="normaltextrun">
    <w:name w:val="normaltextrun"/>
    <w:basedOn w:val="Numatytasispastraiposriftas"/>
    <w:rsid w:val="00B76DCF"/>
  </w:style>
  <w:style w:type="character" w:styleId="Neapdorotaspaminjimas">
    <w:name w:val="Unresolved Mention"/>
    <w:basedOn w:val="Numatytasispastraiposriftas"/>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2794</Words>
  <Characters>1593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19</cp:revision>
  <dcterms:created xsi:type="dcterms:W3CDTF">2022-11-30T09:41:00Z</dcterms:created>
  <dcterms:modified xsi:type="dcterms:W3CDTF">2023-09-22T10:32:00Z</dcterms:modified>
</cp:coreProperties>
</file>