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39D51813" w:rsidR="005A5832" w:rsidRPr="0088592B" w:rsidRDefault="004437D7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Urologinė endoskopinė įranga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4437D7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4437D7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4437D7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4437D7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4437D7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2437BC1F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4437D7">
              <w:rPr>
                <w:rFonts w:ascii="Cambria" w:hAnsi="Cambria"/>
                <w:b/>
                <w:kern w:val="2"/>
                <w:sz w:val="20"/>
              </w:rPr>
              <w:t>urologinę endoskopinę įrangą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4437D7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4437D7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4437D7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4437D7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55661E52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4437D7">
              <w:rPr>
                <w:rFonts w:ascii="Cambria" w:hAnsi="Cambria"/>
                <w:b/>
                <w:kern w:val="2"/>
                <w:sz w:val="20"/>
              </w:rPr>
              <w:t>12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4437D7">
              <w:rPr>
                <w:rFonts w:ascii="Cambria" w:hAnsi="Cambria"/>
                <w:b/>
                <w:kern w:val="2"/>
                <w:sz w:val="20"/>
              </w:rPr>
              <w:t>dvylika) savaičių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034A85F7" w:rsidR="005A5832" w:rsidRPr="0088592B" w:rsidRDefault="00527376" w:rsidP="004437D7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4437D7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4437D7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4437D7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4437D7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76B5070A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4437D7">
              <w:rPr>
                <w:rFonts w:ascii="Cambria" w:hAnsi="Cambria"/>
                <w:kern w:val="2"/>
                <w:sz w:val="20"/>
              </w:rPr>
              <w:t xml:space="preserve"> (Techninės specifikacijos 12.1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4437D7">
              <w:rPr>
                <w:rFonts w:ascii="Cambria" w:hAnsi="Cambria"/>
                <w:kern w:val="2"/>
                <w:sz w:val="20"/>
              </w:rPr>
              <w:t xml:space="preserve"> (Techninės specifikacijos 12.2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4437D7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4437D7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4437D7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4437D7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4437D7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4437D7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4437D7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4437D7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4437D7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4437D7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4437D7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4437D7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4437D7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4437D7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51853E3C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4437D7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11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4437D7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4437D7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4437D7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4437D7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4437D7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4437D7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4437D7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4437D7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4437D7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4437D7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5064BC34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4437D7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4437D7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4437D7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4437D7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4437D7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4437D7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4437D7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4437D7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4437D7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4437D7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4437D7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4437D7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4437D7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4437D7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4437D7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4437D7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4437D7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4437D7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4437D7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4437D7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4437D7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4437D7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4437D7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4437D7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4437D7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4437D7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4437D7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4437D7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4437D7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4437D7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4437D7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4437D7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4437D7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4437D7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4437D7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6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851"/>
        <w:gridCol w:w="850"/>
        <w:gridCol w:w="1134"/>
        <w:gridCol w:w="993"/>
        <w:gridCol w:w="1036"/>
      </w:tblGrid>
      <w:tr w:rsidR="004437D7" w:rsidRPr="004437D7" w14:paraId="5038E8AE" w14:textId="77777777" w:rsidTr="004437D7">
        <w:trPr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CD7F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5655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C284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E7F2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E5E9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01EC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9240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115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4437D7" w:rsidRPr="004437D7" w14:paraId="44065AFF" w14:textId="77777777" w:rsidTr="004437D7">
        <w:trPr>
          <w:trHeight w:val="2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34430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AB45" w14:textId="77777777" w:rsidR="004437D7" w:rsidRPr="004437D7" w:rsidRDefault="004437D7" w:rsidP="004437D7">
            <w:pPr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Urologinė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endoskopinė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įranga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(1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komplektas</w:t>
            </w:r>
            <w:proofErr w:type="spellEnd"/>
            <w:r w:rsidRPr="004437D7">
              <w:rPr>
                <w:rFonts w:ascii="Cambria" w:hAnsi="Cambria" w:cs="Calibri"/>
                <w:b/>
                <w:bCs/>
                <w:sz w:val="20"/>
                <w:lang w:val="en-US"/>
              </w:rPr>
              <w:t>):</w:t>
            </w:r>
          </w:p>
        </w:tc>
      </w:tr>
      <w:tr w:rsidR="004437D7" w:rsidRPr="004437D7" w14:paraId="64AF4F51" w14:textId="77777777" w:rsidTr="004437D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B5D0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9D9" w14:textId="77777777" w:rsidR="004437D7" w:rsidRPr="004437D7" w:rsidRDefault="004437D7" w:rsidP="004437D7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Vaizdo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monitorius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924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5B7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FCF1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6CC2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4C0E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9F68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4437D7" w:rsidRPr="004437D7" w14:paraId="3F5E29FE" w14:textId="77777777" w:rsidTr="004437D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BE0D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A95" w14:textId="77777777" w:rsidR="004437D7" w:rsidRPr="004437D7" w:rsidRDefault="004437D7" w:rsidP="004437D7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Vaizdo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procesorius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4226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723D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5E1B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2ABF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9B4F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E8D5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4437D7" w:rsidRPr="004437D7" w14:paraId="28E87928" w14:textId="77777777" w:rsidTr="004437D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BD6F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BBA" w14:textId="77777777" w:rsidR="004437D7" w:rsidRPr="004437D7" w:rsidRDefault="004437D7" w:rsidP="004437D7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Kameros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galva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F572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FF51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854A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50EF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ADC7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73AC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4437D7" w:rsidRPr="004437D7" w14:paraId="602FE981" w14:textId="77777777" w:rsidTr="004437D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CE0B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6605" w14:textId="77777777" w:rsidR="004437D7" w:rsidRPr="004437D7" w:rsidRDefault="004437D7" w:rsidP="004437D7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Kameros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galvos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laikiklis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88E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2828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2E77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8451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DF49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E6A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4437D7" w:rsidRPr="004437D7" w14:paraId="247BC7D9" w14:textId="77777777" w:rsidTr="004437D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E144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BAA7" w14:textId="77777777" w:rsidR="004437D7" w:rsidRPr="004437D7" w:rsidRDefault="004437D7" w:rsidP="004437D7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Elektrochirurginis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generatorius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76A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B2F8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962F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447D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712F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08FE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4437D7" w:rsidRPr="004437D7" w14:paraId="66DB9EDF" w14:textId="77777777" w:rsidTr="004437D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A5ED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3A0" w14:textId="77777777" w:rsidR="004437D7" w:rsidRPr="004437D7" w:rsidRDefault="004437D7" w:rsidP="004437D7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Mobilus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vežimėlis</w:t>
            </w:r>
            <w:proofErr w:type="spell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1264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41D2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F7AD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47EB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D253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74BF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4437D7" w:rsidRPr="004437D7" w14:paraId="02A98233" w14:textId="77777777" w:rsidTr="004437D7">
        <w:trPr>
          <w:trHeight w:val="22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C8E6" w14:textId="5D91E803" w:rsidR="004437D7" w:rsidRPr="004437D7" w:rsidRDefault="004437D7" w:rsidP="004437D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EB02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4437D7" w:rsidRPr="004437D7" w14:paraId="21EF1D50" w14:textId="77777777" w:rsidTr="004437D7">
        <w:trPr>
          <w:trHeight w:val="22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4832B" w14:textId="77777777" w:rsidR="004437D7" w:rsidRPr="004437D7" w:rsidRDefault="004437D7" w:rsidP="004437D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BA5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4437D7" w:rsidRPr="004437D7" w14:paraId="6D1A4AB4" w14:textId="77777777" w:rsidTr="004437D7">
        <w:trPr>
          <w:trHeight w:val="22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44DC4" w14:textId="50571F1E" w:rsidR="004437D7" w:rsidRPr="004437D7" w:rsidRDefault="004437D7" w:rsidP="004437D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51E2" w14:textId="77777777" w:rsidR="004437D7" w:rsidRPr="004437D7" w:rsidRDefault="004437D7" w:rsidP="004437D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437D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  <w:bookmarkStart w:id="0" w:name="_GoBack"/>
      <w:bookmarkEnd w:id="0"/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DA606" w14:textId="77777777" w:rsidR="00BF4DC2" w:rsidRDefault="00BF4DC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33491D7" w14:textId="77777777" w:rsidR="00BF4DC2" w:rsidRDefault="00BF4DC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85E75A7" w14:textId="77777777" w:rsidR="00BF4DC2" w:rsidRDefault="00BF4DC2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F884C" w14:textId="77777777" w:rsidR="00BF4DC2" w:rsidRDefault="00BF4DC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8C6C35E" w14:textId="77777777" w:rsidR="00BF4DC2" w:rsidRDefault="00BF4DC2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D236725" w14:textId="77777777" w:rsidR="00BF4DC2" w:rsidRDefault="00BF4DC2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437D7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437D7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BF4DC2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D6F3-D191-45B6-AAD3-AC746F1E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2271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15186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2024-12-19T09:29:00Z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