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3D5FA635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>Pirkimo sąlygų 7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2250AAEC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5.1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2 priedas „</w:t>
            </w:r>
            <w:r w:rsidR="002E3E5A">
              <w:rPr>
                <w:lang w:eastAsia="lt-LT"/>
              </w:rPr>
              <w:t>Techninė specifikacija</w:t>
            </w:r>
            <w:r w:rsidR="00E449ED">
              <w:rPr>
                <w:lang w:eastAsia="lt-LT"/>
              </w:rPr>
              <w:t>“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6EDA8E0B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>(Specialiųjų pirkimo sąlygų 5.1 p.</w:t>
            </w:r>
            <w:r w:rsidR="002E3E5A">
              <w:rPr>
                <w:lang w:eastAsia="lt-LT"/>
              </w:rPr>
              <w:t xml:space="preserve"> ir Techninė specifikacija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25374CDA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5.2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4 priedas „Tiekėjų kvalifikacijos reikalavimai“</w:t>
            </w:r>
            <w:r w:rsidR="00DB1136">
              <w:rPr>
                <w:lang w:eastAsia="lt-LT"/>
              </w:rPr>
              <w:t>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DBDB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42ADA80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5370F4C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8B28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12960A6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7629D5D6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4008"/>
    <w:rsid w:val="001D25F5"/>
    <w:rsid w:val="002E3E5A"/>
    <w:rsid w:val="00387E68"/>
    <w:rsid w:val="004B2CF2"/>
    <w:rsid w:val="00551A1E"/>
    <w:rsid w:val="006F0F3F"/>
    <w:rsid w:val="0080322E"/>
    <w:rsid w:val="009948ED"/>
    <w:rsid w:val="009F56AA"/>
    <w:rsid w:val="00A62AA9"/>
    <w:rsid w:val="00AD2288"/>
    <w:rsid w:val="00B40EDC"/>
    <w:rsid w:val="00CF3E0C"/>
    <w:rsid w:val="00DB1136"/>
    <w:rsid w:val="00DF7A23"/>
    <w:rsid w:val="00E449ED"/>
    <w:rsid w:val="00E46F90"/>
    <w:rsid w:val="00E661B7"/>
    <w:rsid w:val="00F31A58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2</cp:revision>
  <cp:lastPrinted>2017-06-22T06:38:00Z</cp:lastPrinted>
  <dcterms:created xsi:type="dcterms:W3CDTF">2025-12-10T18:27:00Z</dcterms:created>
  <dcterms:modified xsi:type="dcterms:W3CDTF">2025-12-10T18:27:00Z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