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4DAF" w14:textId="77777777" w:rsidR="00EC7159" w:rsidRPr="00287CD2" w:rsidRDefault="00EC7159" w:rsidP="00EC7159">
      <w:pPr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                                                                                                                   Rinkos konsultacijos </w:t>
      </w:r>
    </w:p>
    <w:p w14:paraId="02760CDE" w14:textId="4843EC90" w:rsidR="00EC7159" w:rsidRPr="00990C18" w:rsidRDefault="00EC7159" w:rsidP="00EC7159">
      <w:pPr>
        <w:jc w:val="center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   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1 </w:t>
      </w:r>
      <w:r w:rsidRPr="00287CD2">
        <w:rPr>
          <w:rFonts w:ascii="Times New Roman" w:hAnsi="Times New Roman"/>
          <w:bCs/>
          <w:sz w:val="24"/>
          <w:szCs w:val="24"/>
          <w:lang w:val="lt-LT"/>
        </w:rPr>
        <w:t>priedas</w:t>
      </w:r>
    </w:p>
    <w:p w14:paraId="05D84F68" w14:textId="77777777" w:rsidR="00EC7159" w:rsidRPr="00A2127C" w:rsidRDefault="00EC7159" w:rsidP="00EC7159">
      <w:pPr>
        <w:tabs>
          <w:tab w:val="center" w:pos="4153"/>
          <w:tab w:val="right" w:pos="8306"/>
        </w:tabs>
        <w:rPr>
          <w:rFonts w:ascii="Times New Roman" w:hAnsi="Times New Roman"/>
          <w:i/>
          <w:sz w:val="24"/>
          <w:szCs w:val="24"/>
        </w:rPr>
      </w:pPr>
    </w:p>
    <w:p w14:paraId="566B0972" w14:textId="77777777" w:rsidR="00EC7159" w:rsidRPr="00A2127C" w:rsidRDefault="00EC7159" w:rsidP="00EC7159">
      <w:pPr>
        <w:tabs>
          <w:tab w:val="center" w:pos="4153"/>
          <w:tab w:val="right" w:pos="8306"/>
        </w:tabs>
        <w:rPr>
          <w:rFonts w:ascii="Times New Roman" w:hAnsi="Times New Roman"/>
          <w:i/>
          <w:sz w:val="24"/>
          <w:szCs w:val="24"/>
        </w:rPr>
      </w:pPr>
    </w:p>
    <w:p w14:paraId="635641E2" w14:textId="77777777" w:rsidR="00EC7159" w:rsidRPr="00A2127C" w:rsidRDefault="00EC7159" w:rsidP="00EC7159">
      <w:pPr>
        <w:tabs>
          <w:tab w:val="left" w:pos="709"/>
        </w:tabs>
        <w:ind w:left="-284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2127C">
        <w:rPr>
          <w:rFonts w:ascii="Times New Roman" w:eastAsia="Calibri" w:hAnsi="Times New Roman"/>
          <w:b/>
          <w:sz w:val="24"/>
          <w:szCs w:val="24"/>
        </w:rPr>
        <w:t>TECHNINĖ</w:t>
      </w:r>
      <w:r>
        <w:rPr>
          <w:rFonts w:ascii="Times New Roman" w:eastAsia="Calibri" w:hAnsi="Times New Roman"/>
          <w:b/>
          <w:sz w:val="24"/>
          <w:szCs w:val="24"/>
        </w:rPr>
        <w:t>S</w:t>
      </w:r>
      <w:r w:rsidRPr="00A2127C">
        <w:rPr>
          <w:rFonts w:ascii="Times New Roman" w:eastAsia="Calibri" w:hAnsi="Times New Roman"/>
          <w:b/>
          <w:sz w:val="24"/>
          <w:szCs w:val="24"/>
        </w:rPr>
        <w:t xml:space="preserve"> SPECIFIKACIJ</w:t>
      </w:r>
      <w:r>
        <w:rPr>
          <w:rFonts w:ascii="Times New Roman" w:eastAsia="Calibri" w:hAnsi="Times New Roman"/>
          <w:b/>
          <w:sz w:val="24"/>
          <w:szCs w:val="24"/>
        </w:rPr>
        <w:t>OS PROJEKTAS</w:t>
      </w:r>
    </w:p>
    <w:p w14:paraId="7F2A6DBD" w14:textId="77777777" w:rsidR="00EC7159" w:rsidRPr="00A2127C" w:rsidRDefault="00EC7159" w:rsidP="00EC7159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14:paraId="19C0E86B" w14:textId="77777777" w:rsidR="00EC7159" w:rsidRPr="00A2127C" w:rsidRDefault="00EC7159" w:rsidP="00EC7159">
      <w:pPr>
        <w:tabs>
          <w:tab w:val="left" w:pos="709"/>
        </w:tabs>
        <w:ind w:left="-284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2127C">
        <w:rPr>
          <w:rFonts w:ascii="Times New Roman" w:eastAsia="Calibri" w:hAnsi="Times New Roman"/>
          <w:b/>
          <w:sz w:val="24"/>
          <w:szCs w:val="24"/>
        </w:rPr>
        <w:t>REPREZENTATYVI MOKSLO BENDRUOMENĖS APKLAUSA</w:t>
      </w:r>
    </w:p>
    <w:p w14:paraId="18A114FC" w14:textId="77777777" w:rsidR="00EC7159" w:rsidRPr="00A2127C" w:rsidRDefault="00EC7159" w:rsidP="00EC7159">
      <w:pPr>
        <w:tabs>
          <w:tab w:val="left" w:pos="425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6AEBF4A" w14:textId="77777777" w:rsidR="00EC7159" w:rsidRPr="00A2127C" w:rsidRDefault="00EC7159" w:rsidP="00EC7159">
      <w:pPr>
        <w:tabs>
          <w:tab w:val="left" w:pos="425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2127C">
        <w:rPr>
          <w:rFonts w:ascii="Times New Roman" w:hAnsi="Times New Roman"/>
          <w:b/>
          <w:sz w:val="24"/>
          <w:szCs w:val="24"/>
        </w:rPr>
        <w:t>1. BENDRA INFORMACIJA</w:t>
      </w:r>
      <w:bookmarkStart w:id="0" w:name="_Toc189293399"/>
    </w:p>
    <w:p w14:paraId="28ED7F7B" w14:textId="77777777" w:rsidR="00EC7159" w:rsidRPr="00A2127C" w:rsidRDefault="00EC7159" w:rsidP="00EC7159">
      <w:pPr>
        <w:ind w:firstLine="454"/>
        <w:jc w:val="both"/>
        <w:rPr>
          <w:rFonts w:ascii="Times New Roman" w:eastAsia="Calibri" w:hAnsi="Times New Roman"/>
          <w:sz w:val="24"/>
          <w:szCs w:val="24"/>
        </w:rPr>
      </w:pPr>
    </w:p>
    <w:bookmarkEnd w:id="0"/>
    <w:p w14:paraId="3A40666E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2127C">
        <w:rPr>
          <w:rFonts w:ascii="Times New Roman" w:eastAsia="Calibri" w:hAnsi="Times New Roman"/>
          <w:sz w:val="24"/>
          <w:szCs w:val="24"/>
        </w:rPr>
        <w:t>Lietuvos mokslo taryba (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toliau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– LMT),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siekdama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įvertinti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ir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gerinti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savo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veiklos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poveikį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mokslo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bendruomenei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numato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įsigyti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mokslo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bendruomenės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ir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kitų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LMT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tikslinių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grupių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apklausos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paslaugą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Šia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apklausa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bus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siekiama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>:</w:t>
      </w:r>
    </w:p>
    <w:p w14:paraId="53A64E25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2127C">
        <w:rPr>
          <w:rFonts w:ascii="Times New Roman" w:eastAsia="Calibri" w:hAnsi="Times New Roman"/>
          <w:sz w:val="24"/>
          <w:szCs w:val="24"/>
        </w:rPr>
        <w:t xml:space="preserve">a)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nustatyti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kaip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mokslo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bendruomenės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nariai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vertina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LMT </w:t>
      </w:r>
      <w:proofErr w:type="spellStart"/>
      <w:proofErr w:type="gramStart"/>
      <w:r w:rsidRPr="00A2127C">
        <w:rPr>
          <w:rFonts w:ascii="Times New Roman" w:eastAsia="Calibri" w:hAnsi="Times New Roman"/>
          <w:sz w:val="24"/>
          <w:szCs w:val="24"/>
        </w:rPr>
        <w:t>veiklą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>;</w:t>
      </w:r>
      <w:proofErr w:type="gramEnd"/>
    </w:p>
    <w:p w14:paraId="2E10C685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2127C">
        <w:rPr>
          <w:rFonts w:ascii="Times New Roman" w:eastAsia="Calibri" w:hAnsi="Times New Roman"/>
          <w:sz w:val="24"/>
          <w:szCs w:val="24"/>
        </w:rPr>
        <w:t xml:space="preserve">b)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įvertinti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LMT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pasitikėjimo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lygį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tarp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skirtingų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tikslinių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grupių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>.</w:t>
      </w:r>
    </w:p>
    <w:p w14:paraId="549CB76E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2127C">
        <w:rPr>
          <w:rFonts w:ascii="Times New Roman" w:eastAsia="Calibri" w:hAnsi="Times New Roman"/>
          <w:sz w:val="24"/>
          <w:szCs w:val="24"/>
        </w:rPr>
        <w:t>Pirkimu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įsigyjamos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paslaugos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kurių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metu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tiekėjas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konsultuos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LMT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darbuotojus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dėl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apklausos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vykdymo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pasirenkamų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metodų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imties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nustatymo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klausimynų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rengimo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dalies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tikslinės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grupės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apklausimo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(</w:t>
      </w:r>
      <w:r w:rsidRPr="00A2127C">
        <w:rPr>
          <w:rFonts w:ascii="Times New Roman" w:hAnsi="Times New Roman"/>
          <w:bCs/>
          <w:sz w:val="24"/>
          <w:szCs w:val="24"/>
        </w:rPr>
        <w:t xml:space="preserve">3.2.4.; 3.2.5.; 3.2.6.). Taip pat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paslaugos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teikėjas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atliks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dalies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tikslinės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grupės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apklausą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(</w:t>
      </w:r>
      <w:r w:rsidRPr="00A2127C">
        <w:rPr>
          <w:rFonts w:ascii="Times New Roman" w:hAnsi="Times New Roman"/>
          <w:bCs/>
          <w:sz w:val="24"/>
          <w:szCs w:val="24"/>
        </w:rPr>
        <w:t xml:space="preserve">3.2.1.; 3.2.2.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3.2.3.)</w:t>
      </w:r>
      <w:r w:rsidRPr="00A2127C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atlikus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apklausas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mokslo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bendruomenėje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ir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kitose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LMT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tikslinėse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grupėse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–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teikėjas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susistemins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visus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gautus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duomenis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ir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parengs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apklausos</w:t>
      </w:r>
      <w:proofErr w:type="spellEnd"/>
      <w:r w:rsidRPr="00A212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127C">
        <w:rPr>
          <w:rFonts w:ascii="Times New Roman" w:eastAsia="Calibri" w:hAnsi="Times New Roman"/>
          <w:sz w:val="24"/>
          <w:szCs w:val="24"/>
        </w:rPr>
        <w:t>ataskaitą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toliau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Paslaugos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>).</w:t>
      </w:r>
    </w:p>
    <w:p w14:paraId="1B35CC02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metu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bus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analizuojamas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atsakymų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pasiskirstymas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pagal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tikslines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grupes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nustatoma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pradinė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stebėsenos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rodiklio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reikšmė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2026 m.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Ši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reikšmė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vėliau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taps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atskaitos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tašku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kasmetinėms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apklausoms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LMT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veiklos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vertinimui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>.</w:t>
      </w:r>
    </w:p>
    <w:p w14:paraId="79E0226B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6955DD5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2127C">
        <w:rPr>
          <w:rFonts w:ascii="Times New Roman" w:hAnsi="Times New Roman"/>
          <w:b/>
          <w:sz w:val="24"/>
          <w:szCs w:val="24"/>
        </w:rPr>
        <w:t>2. REIKALAVIMAI PASLAUGAI</w:t>
      </w:r>
    </w:p>
    <w:p w14:paraId="4B3D6AB4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E334952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27C">
        <w:rPr>
          <w:rFonts w:ascii="Times New Roman" w:hAnsi="Times New Roman"/>
          <w:bCs/>
          <w:sz w:val="24"/>
          <w:szCs w:val="24"/>
        </w:rPr>
        <w:t>1.</w:t>
      </w:r>
      <w:r w:rsidRPr="00A2127C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tikslas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įvertinti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mokslo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bendruomenės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narių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požiūrį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į LMT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veiklą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nustatyti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skirtingų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tikslinių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grupių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narių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vertinimą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LMT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atžvilgiu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siekiant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tikslingai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susidėlioti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veiksmus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komunikacijos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paslaugų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administravimo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bei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bendradarbiavimo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mokslo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bendruomene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tobulinimui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. </w:t>
      </w:r>
    </w:p>
    <w:p w14:paraId="60907EAB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27C">
        <w:rPr>
          <w:rFonts w:ascii="Times New Roman" w:hAnsi="Times New Roman"/>
          <w:bCs/>
          <w:sz w:val="24"/>
          <w:szCs w:val="24"/>
        </w:rPr>
        <w:t>2.</w:t>
      </w:r>
      <w:r w:rsidRPr="00A2127C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Klausimynų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apimtys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klausimyną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turi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sudaryti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iki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20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klausimų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iš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kurių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ne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mažiau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kaip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15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turi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būti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uždari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klausimai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klausimų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skaičius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yra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preliminarus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apytikslis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galutinis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klausimų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sąrašas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turi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būti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suderintas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LMT).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Paslaugos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teikėjas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turi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parengti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6 (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šešis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klausimynus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pagal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tikslines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grupes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Galutiniai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anketų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klausimai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turi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atitikti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techninės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specifikacijos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1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punkte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nurodytą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tikslą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>.</w:t>
      </w:r>
    </w:p>
    <w:p w14:paraId="22584296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27C">
        <w:rPr>
          <w:rFonts w:ascii="Times New Roman" w:hAnsi="Times New Roman"/>
          <w:bCs/>
          <w:sz w:val="24"/>
          <w:szCs w:val="24"/>
        </w:rPr>
        <w:t>3.</w:t>
      </w:r>
      <w:r w:rsidRPr="00A2127C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vykdymo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sąlygos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>:</w:t>
      </w:r>
    </w:p>
    <w:p w14:paraId="2EFF2D84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27C">
        <w:rPr>
          <w:rFonts w:ascii="Times New Roman" w:hAnsi="Times New Roman"/>
          <w:bCs/>
          <w:sz w:val="24"/>
          <w:szCs w:val="24"/>
        </w:rPr>
        <w:t>3.1.</w:t>
      </w:r>
      <w:r w:rsidRPr="00A2127C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turi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būti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atliekama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tiesioginės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(CAPI)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arba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kitu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kombinuotu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metodu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kuris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užtikrintų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reprezentatyvią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mokslo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bendruomenės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kitų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LMT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tikslinių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grupių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imtį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tinkamą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duomenų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surinkimą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duomenų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kokybės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kontrolę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Tikslinių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grupių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(3.2.4.; 3.2.5.; 3.2.6.)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vykdys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LMT,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paslaugos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teikėjas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privalo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teikti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konsultacijas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dėl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tinkamų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atlikimo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metodų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imties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klausimynų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A2127C">
        <w:rPr>
          <w:rFonts w:ascii="Times New Roman" w:hAnsi="Times New Roman"/>
          <w:bCs/>
          <w:sz w:val="24"/>
          <w:szCs w:val="24"/>
        </w:rPr>
        <w:t>kt.;</w:t>
      </w:r>
      <w:proofErr w:type="gramEnd"/>
    </w:p>
    <w:p w14:paraId="0E81DD33" w14:textId="77777777" w:rsidR="00EC7159" w:rsidRPr="00BD4B0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BD4B0C">
        <w:rPr>
          <w:rFonts w:ascii="Times New Roman" w:hAnsi="Times New Roman"/>
          <w:bCs/>
          <w:sz w:val="24"/>
          <w:szCs w:val="24"/>
          <w:lang w:val="fr-FR"/>
        </w:rPr>
        <w:t>3.2.</w:t>
      </w:r>
      <w:r w:rsidRPr="00BD4B0C">
        <w:rPr>
          <w:rFonts w:ascii="Times New Roman" w:hAnsi="Times New Roman"/>
          <w:bCs/>
          <w:sz w:val="24"/>
          <w:szCs w:val="24"/>
          <w:lang w:val="fr-FR"/>
        </w:rPr>
        <w:tab/>
      </w:r>
      <w:proofErr w:type="spellStart"/>
      <w:proofErr w:type="gramStart"/>
      <w:r w:rsidRPr="00BD4B0C">
        <w:rPr>
          <w:rFonts w:ascii="Times New Roman" w:hAnsi="Times New Roman"/>
          <w:bCs/>
          <w:sz w:val="24"/>
          <w:szCs w:val="24"/>
          <w:lang w:val="fr-FR"/>
        </w:rPr>
        <w:t>apklausos</w:t>
      </w:r>
      <w:proofErr w:type="spellEnd"/>
      <w:proofErr w:type="gramEnd"/>
      <w:r w:rsidRPr="00BD4B0C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D4B0C">
        <w:rPr>
          <w:rFonts w:ascii="Times New Roman" w:hAnsi="Times New Roman"/>
          <w:bCs/>
          <w:sz w:val="24"/>
          <w:szCs w:val="24"/>
          <w:lang w:val="fr-FR"/>
        </w:rPr>
        <w:t>duomenys</w:t>
      </w:r>
      <w:proofErr w:type="spellEnd"/>
      <w:r w:rsidRPr="00BD4B0C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D4B0C">
        <w:rPr>
          <w:rFonts w:ascii="Times New Roman" w:hAnsi="Times New Roman"/>
          <w:bCs/>
          <w:sz w:val="24"/>
          <w:szCs w:val="24"/>
          <w:lang w:val="fr-FR"/>
        </w:rPr>
        <w:t>turi</w:t>
      </w:r>
      <w:proofErr w:type="spellEnd"/>
      <w:r w:rsidRPr="00BD4B0C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D4B0C">
        <w:rPr>
          <w:rFonts w:ascii="Times New Roman" w:hAnsi="Times New Roman"/>
          <w:bCs/>
          <w:sz w:val="24"/>
          <w:szCs w:val="24"/>
          <w:lang w:val="fr-FR"/>
        </w:rPr>
        <w:t>reprezentuoti</w:t>
      </w:r>
      <w:proofErr w:type="spellEnd"/>
      <w:r w:rsidRPr="00BD4B0C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D4B0C">
        <w:rPr>
          <w:rFonts w:ascii="Times New Roman" w:hAnsi="Times New Roman"/>
          <w:bCs/>
          <w:sz w:val="24"/>
          <w:szCs w:val="24"/>
          <w:lang w:val="fr-FR"/>
        </w:rPr>
        <w:t>šias</w:t>
      </w:r>
      <w:proofErr w:type="spellEnd"/>
      <w:r w:rsidRPr="00BD4B0C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BD4B0C">
        <w:rPr>
          <w:rFonts w:ascii="Times New Roman" w:hAnsi="Times New Roman"/>
          <w:bCs/>
          <w:sz w:val="24"/>
          <w:szCs w:val="24"/>
          <w:lang w:val="fr-FR"/>
        </w:rPr>
        <w:t>grupes</w:t>
      </w:r>
      <w:proofErr w:type="spellEnd"/>
      <w:r w:rsidRPr="00BD4B0C">
        <w:rPr>
          <w:rFonts w:ascii="Times New Roman" w:hAnsi="Times New Roman"/>
          <w:bCs/>
          <w:sz w:val="24"/>
          <w:szCs w:val="24"/>
          <w:lang w:val="fr-FR"/>
        </w:rPr>
        <w:t>:</w:t>
      </w:r>
      <w:proofErr w:type="gramEnd"/>
      <w:r w:rsidRPr="00BD4B0C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</w:p>
    <w:p w14:paraId="270FA281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00A2127C">
        <w:rPr>
          <w:rFonts w:ascii="Times New Roman" w:hAnsi="Times New Roman"/>
          <w:bCs/>
          <w:sz w:val="24"/>
          <w:szCs w:val="24"/>
        </w:rPr>
        <w:t xml:space="preserve">3.2.1. </w:t>
      </w:r>
      <w:r w:rsidRPr="00A2127C">
        <w:rPr>
          <w:rFonts w:ascii="Times New Roman" w:hAnsi="Times New Roman"/>
          <w:sz w:val="24"/>
          <w:szCs w:val="24"/>
          <w:lang w:eastAsia="lt-LT"/>
        </w:rPr>
        <w:t xml:space="preserve">mokslo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studijų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institucijų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proofErr w:type="gramStart"/>
      <w:r w:rsidRPr="00A2127C">
        <w:rPr>
          <w:rFonts w:ascii="Times New Roman" w:hAnsi="Times New Roman"/>
          <w:sz w:val="24"/>
          <w:szCs w:val="24"/>
          <w:lang w:eastAsia="lt-LT"/>
        </w:rPr>
        <w:t>atstovai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>;</w:t>
      </w:r>
      <w:proofErr w:type="gram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1DD9F273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27C">
        <w:rPr>
          <w:rFonts w:ascii="Times New Roman" w:hAnsi="Times New Roman"/>
          <w:bCs/>
          <w:sz w:val="24"/>
          <w:szCs w:val="24"/>
        </w:rPr>
        <w:t xml:space="preserve">3.2.2. Lietuvos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Respublikos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ministerijų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proofErr w:type="gramStart"/>
      <w:r w:rsidRPr="00A2127C">
        <w:rPr>
          <w:rFonts w:ascii="Times New Roman" w:hAnsi="Times New Roman"/>
          <w:sz w:val="24"/>
          <w:szCs w:val="24"/>
          <w:lang w:eastAsia="lt-LT"/>
        </w:rPr>
        <w:t>atstovai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>;</w:t>
      </w:r>
      <w:proofErr w:type="gram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4D36F979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27C">
        <w:rPr>
          <w:rFonts w:ascii="Times New Roman" w:hAnsi="Times New Roman"/>
          <w:bCs/>
          <w:sz w:val="24"/>
          <w:szCs w:val="24"/>
        </w:rPr>
        <w:t xml:space="preserve">3.2.3.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kitų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viešojo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sektoriaus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institucijų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(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ar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)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asociacijų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vadovai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proofErr w:type="gramStart"/>
      <w:r w:rsidRPr="00A2127C">
        <w:rPr>
          <w:rFonts w:ascii="Times New Roman" w:hAnsi="Times New Roman"/>
          <w:sz w:val="24"/>
          <w:szCs w:val="24"/>
          <w:lang w:eastAsia="lt-LT"/>
        </w:rPr>
        <w:t>pavaduotojai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>;</w:t>
      </w:r>
      <w:proofErr w:type="gramEnd"/>
    </w:p>
    <w:p w14:paraId="510D6CAD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27C">
        <w:rPr>
          <w:rFonts w:ascii="Times New Roman" w:hAnsi="Times New Roman"/>
          <w:bCs/>
          <w:sz w:val="24"/>
          <w:szCs w:val="24"/>
        </w:rPr>
        <w:lastRenderedPageBreak/>
        <w:t xml:space="preserve">3.2.4.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pareiškėjai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kurie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teikė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paraiškas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LMT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kvietimams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paskelbtiems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laikotarpiu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nuo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2025 m.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sausio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1 d.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iki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2025 m.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birželio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30 </w:t>
      </w:r>
      <w:proofErr w:type="gramStart"/>
      <w:r w:rsidRPr="00A2127C">
        <w:rPr>
          <w:rFonts w:ascii="Times New Roman" w:hAnsi="Times New Roman"/>
          <w:sz w:val="24"/>
          <w:szCs w:val="24"/>
          <w:lang w:eastAsia="lt-LT"/>
        </w:rPr>
        <w:t>d.;</w:t>
      </w:r>
      <w:proofErr w:type="gram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0B0EFAE6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27C">
        <w:rPr>
          <w:rFonts w:ascii="Times New Roman" w:hAnsi="Times New Roman"/>
          <w:bCs/>
          <w:sz w:val="24"/>
          <w:szCs w:val="24"/>
        </w:rPr>
        <w:t xml:space="preserve">3.2.5.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projektų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vykdytojai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turėję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įsipareigojimų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LMT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laikotarpiu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nuo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2025 m.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sausio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1 d.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iki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2025 m.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birželio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30 d. (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įsipareigojimai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galėjo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nesitęsti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visą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šį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laikotarpį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). </w:t>
      </w:r>
    </w:p>
    <w:p w14:paraId="58BBF90F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27C">
        <w:rPr>
          <w:rFonts w:ascii="Times New Roman" w:hAnsi="Times New Roman"/>
          <w:bCs/>
          <w:sz w:val="24"/>
          <w:szCs w:val="24"/>
        </w:rPr>
        <w:t xml:space="preserve">3.2.6. 2025 m.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Studentų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mokslinės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praktikos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Studentų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dalyvavimo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tarptautinių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stažuočių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JAV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Nacionalinėje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aeronautikos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kosmoso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administracijoje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dalyviai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. </w:t>
      </w:r>
    </w:p>
    <w:p w14:paraId="3E4E946F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00A2127C">
        <w:rPr>
          <w:rFonts w:ascii="Times New Roman" w:hAnsi="Times New Roman"/>
          <w:bCs/>
          <w:sz w:val="24"/>
          <w:szCs w:val="24"/>
        </w:rPr>
        <w:t xml:space="preserve">3.3.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Paslaugos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teikėjas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turi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pasiūlyti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respondentų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atrankos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metodą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užtikrinantį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institucijų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įvairovę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pagal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respondentų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lytį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institucijų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tipą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dydį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regionus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(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taikoma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3.2.1.; 3.2.2.; 3.2.3.; 3.2.4.; 3.2.5.; 3.2.6.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tikslinėms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grupėms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).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Paslaugos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teikėjas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privalo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užtikrinti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apklausos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reprezentatyvumą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pasirūpinti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kad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apklausos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imtis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atitiktų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šį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2127C">
        <w:rPr>
          <w:rFonts w:ascii="Times New Roman" w:hAnsi="Times New Roman"/>
          <w:sz w:val="24"/>
          <w:szCs w:val="24"/>
          <w:lang w:eastAsia="lt-LT"/>
        </w:rPr>
        <w:t>reikalavimą</w:t>
      </w:r>
      <w:proofErr w:type="spellEnd"/>
      <w:r w:rsidRPr="00A2127C">
        <w:rPr>
          <w:rFonts w:ascii="Times New Roman" w:hAnsi="Times New Roman"/>
          <w:sz w:val="24"/>
          <w:szCs w:val="24"/>
          <w:lang w:eastAsia="lt-LT"/>
        </w:rPr>
        <w:t>.</w:t>
      </w:r>
    </w:p>
    <w:p w14:paraId="67A133F3" w14:textId="77777777" w:rsidR="00EC7159" w:rsidRPr="00A2127C" w:rsidRDefault="00EC7159" w:rsidP="00EC7159">
      <w:pPr>
        <w:tabs>
          <w:tab w:val="left" w:pos="1134"/>
          <w:tab w:val="left" w:pos="1276"/>
        </w:tabs>
        <w:jc w:val="both"/>
        <w:rPr>
          <w:rFonts w:ascii="Times New Roman" w:hAnsi="Times New Roman"/>
          <w:bCs/>
          <w:sz w:val="24"/>
          <w:szCs w:val="24"/>
        </w:rPr>
      </w:pPr>
      <w:r w:rsidRPr="00A2127C">
        <w:rPr>
          <w:rFonts w:ascii="Times New Roman" w:hAnsi="Times New Roman"/>
          <w:bCs/>
          <w:sz w:val="24"/>
          <w:szCs w:val="24"/>
        </w:rPr>
        <w:t xml:space="preserve">         3.4.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Pasirengimo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atlikti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metu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paslaugos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teikėjas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parengia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tyrimo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metodiką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klausimynus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nustato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imtį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bei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informacijos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rinkimo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metodus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Pasirengimo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metu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parengiama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išsami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vykdymo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duomenų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analizės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metodika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kurioje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nustatomi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siektini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rodikliai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vertinimo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kriterijai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klausimų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struktūra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terminai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duomenų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rinkimo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procedūros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užtikrinančios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kad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organizavimas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atitiktų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reprezentatyvumo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patikimumo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rezultatų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palyginamumo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reikalavimus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bei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leistų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pagrįstai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įvertinti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įvairių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tikslinių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grupių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nuomonę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apie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LMT 2025 m.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veiklą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>.</w:t>
      </w:r>
    </w:p>
    <w:p w14:paraId="2E52D203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27C">
        <w:rPr>
          <w:rFonts w:ascii="Times New Roman" w:hAnsi="Times New Roman"/>
          <w:bCs/>
          <w:sz w:val="24"/>
          <w:szCs w:val="24"/>
        </w:rPr>
        <w:t>4.</w:t>
      </w:r>
      <w:r w:rsidRPr="00A2127C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Tyrimo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rezultatai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>:</w:t>
      </w:r>
    </w:p>
    <w:p w14:paraId="3A4F83AC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27C">
        <w:rPr>
          <w:rFonts w:ascii="Times New Roman" w:hAnsi="Times New Roman"/>
          <w:bCs/>
          <w:sz w:val="24"/>
          <w:szCs w:val="24"/>
        </w:rPr>
        <w:t>4.1.</w:t>
      </w:r>
      <w:r w:rsidRPr="00A2127C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atlikus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LMT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perduoda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Paslaugos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teikėjui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nuasmenintus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duomenis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teikėjas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suveda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anketų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duomenis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juos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apdoroja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analizuoja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naudodamas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Microsoft Excel, Microsoft Access,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statistinę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SPSS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kitas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lygiavertes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duomenų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suvedimo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apdorojimo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analizavimo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programas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. Gauti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rezultatai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pateikiami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grafine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skaitmenine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jų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išraiška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. Po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grafikais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pateikiamas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gautų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rezultatų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apibendrinimas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bei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išvados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. Gauti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rezultatai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pateikiami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.docx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arba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lygiaverčiu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formatu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Paslaugos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teikėjas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privalo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parengti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PowerPoint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prezentaciją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pristatyti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rezultatus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LMT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organizuojamų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susitikimų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metu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ne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mažiau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nei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2 (du)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kartus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>.</w:t>
      </w:r>
    </w:p>
    <w:p w14:paraId="177B3B5F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27C">
        <w:rPr>
          <w:rFonts w:ascii="Times New Roman" w:hAnsi="Times New Roman"/>
          <w:bCs/>
          <w:sz w:val="24"/>
          <w:szCs w:val="24"/>
        </w:rPr>
        <w:t>4.2.</w:t>
      </w:r>
      <w:r w:rsidRPr="00A2127C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tyrimas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jų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rezultatai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turi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būti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atliekami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pateikiami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lietuvių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kalba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>.</w:t>
      </w:r>
    </w:p>
    <w:p w14:paraId="6DA175D7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27C">
        <w:rPr>
          <w:rFonts w:ascii="Times New Roman" w:hAnsi="Times New Roman"/>
          <w:bCs/>
          <w:sz w:val="24"/>
          <w:szCs w:val="24"/>
        </w:rPr>
        <w:t xml:space="preserve">4.3.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tyrimo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rezultatai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turi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atspindėti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tyrimo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tikslus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nurodyti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teigiamai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vertinančių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respondentų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dalį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procentais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pagal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tikslines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grupes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nurodytas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3.2.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punkte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A2127C">
        <w:rPr>
          <w:rFonts w:ascii="Times New Roman" w:hAnsi="Times New Roman"/>
          <w:bCs/>
          <w:sz w:val="24"/>
          <w:szCs w:val="24"/>
        </w:rPr>
        <w:t>bendrai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>;</w:t>
      </w:r>
      <w:proofErr w:type="gram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</w:p>
    <w:p w14:paraId="66329A23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27C">
        <w:rPr>
          <w:rFonts w:ascii="Times New Roman" w:hAnsi="Times New Roman"/>
          <w:bCs/>
          <w:sz w:val="24"/>
          <w:szCs w:val="24"/>
        </w:rPr>
        <w:t>4.3.</w:t>
      </w:r>
      <w:r w:rsidRPr="00A2127C">
        <w:rPr>
          <w:rFonts w:ascii="Times New Roman" w:hAnsi="Times New Roman"/>
          <w:bCs/>
          <w:sz w:val="24"/>
          <w:szCs w:val="24"/>
        </w:rPr>
        <w:tab/>
        <w:t xml:space="preserve">visa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pateikta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tyrimo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medžiaga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tampa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perkančiosios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organizacijos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t. y. LMT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nuosavybe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>.</w:t>
      </w:r>
    </w:p>
    <w:p w14:paraId="3E50133F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27C">
        <w:rPr>
          <w:rFonts w:ascii="Times New Roman" w:hAnsi="Times New Roman"/>
          <w:bCs/>
          <w:sz w:val="24"/>
          <w:szCs w:val="24"/>
        </w:rPr>
        <w:t>5.</w:t>
      </w:r>
      <w:r w:rsidRPr="00A2127C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Paslaugų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suteikimo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terminai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>:</w:t>
      </w:r>
    </w:p>
    <w:p w14:paraId="20FF2C42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27C">
        <w:rPr>
          <w:rFonts w:ascii="Times New Roman" w:hAnsi="Times New Roman"/>
          <w:bCs/>
          <w:sz w:val="24"/>
          <w:szCs w:val="24"/>
        </w:rPr>
        <w:t>5.1.</w:t>
      </w:r>
      <w:r w:rsidRPr="00A2127C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Teikėjas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ne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ilgiau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nei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per 10 (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dešimt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) d. d.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nuo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sutarties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pasirašymo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datos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privalo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parengti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suderinti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klausimyną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Paslaugos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teikėjas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privalo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apklausti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respondentus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bei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parengti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ataskaitą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analizę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surengti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PowerPoint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prezentaciją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LMT per 45 (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keturiasdešimt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penkias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) d. d.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nuo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pirkimo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sutarties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sudarymo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dienos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>.</w:t>
      </w:r>
    </w:p>
    <w:p w14:paraId="7851A7AE" w14:textId="77777777" w:rsidR="00EC7159" w:rsidRPr="00A2127C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27C">
        <w:rPr>
          <w:rFonts w:ascii="Times New Roman" w:hAnsi="Times New Roman"/>
          <w:bCs/>
          <w:sz w:val="24"/>
          <w:szCs w:val="24"/>
        </w:rPr>
        <w:t>5.2.</w:t>
      </w:r>
      <w:r w:rsidRPr="00A2127C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Paslaugų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teikimo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terminas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gali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būti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pratęstas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vieną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kartą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10 (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dešimties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dienų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laikotarpiui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dėl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nenumatytų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aplinkybių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kurios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nepriklauso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nuo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Teikėjo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trečiųjų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šalių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neveikimas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arba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netinkamas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veikimas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techninėje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specifikacijoje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nurodytų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paslaugų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pakeitimai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127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A2127C">
        <w:rPr>
          <w:rFonts w:ascii="Times New Roman" w:hAnsi="Times New Roman"/>
          <w:bCs/>
          <w:sz w:val="24"/>
          <w:szCs w:val="24"/>
        </w:rPr>
        <w:t xml:space="preserve"> pan.).</w:t>
      </w:r>
    </w:p>
    <w:p w14:paraId="6F9AB7E4" w14:textId="77777777" w:rsidR="00EC7159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ind w:firstLine="567"/>
        <w:jc w:val="both"/>
        <w:rPr>
          <w:bCs/>
          <w:szCs w:val="24"/>
        </w:rPr>
      </w:pPr>
    </w:p>
    <w:p w14:paraId="1D8DA56F" w14:textId="77777777" w:rsidR="00EC7159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jc w:val="both"/>
        <w:rPr>
          <w:b/>
          <w:szCs w:val="24"/>
        </w:rPr>
      </w:pPr>
    </w:p>
    <w:p w14:paraId="5E1053B0" w14:textId="77777777" w:rsidR="00EC7159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jc w:val="both"/>
        <w:rPr>
          <w:b/>
          <w:szCs w:val="24"/>
        </w:rPr>
      </w:pPr>
    </w:p>
    <w:p w14:paraId="336761E7" w14:textId="77777777" w:rsidR="00EC7159" w:rsidRPr="00014B4E" w:rsidRDefault="00EC7159" w:rsidP="00EC7159">
      <w:pPr>
        <w:tabs>
          <w:tab w:val="left" w:pos="425"/>
          <w:tab w:val="left" w:pos="851"/>
          <w:tab w:val="left" w:pos="993"/>
          <w:tab w:val="left" w:pos="1418"/>
          <w:tab w:val="left" w:pos="1843"/>
          <w:tab w:val="left" w:pos="2410"/>
        </w:tabs>
        <w:jc w:val="both"/>
        <w:rPr>
          <w:b/>
          <w:szCs w:val="24"/>
        </w:rPr>
      </w:pPr>
    </w:p>
    <w:p w14:paraId="2023A207" w14:textId="77777777" w:rsidR="00EC7159" w:rsidRDefault="00EC7159" w:rsidP="00EC715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6B629CD4" w14:textId="77777777" w:rsidR="00EC7159" w:rsidRDefault="00EC7159" w:rsidP="00EC715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41276DFF" w14:textId="77777777" w:rsidR="00EC7159" w:rsidRDefault="00EC7159" w:rsidP="00EC715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7E90878A" w14:textId="77777777" w:rsidR="00B777D7" w:rsidRDefault="00B777D7"/>
    <w:sectPr w:rsidR="00B77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20B0604020202020204"/>
    <w:charset w:val="BA"/>
    <w:family w:val="roman"/>
    <w:pitch w:val="variable"/>
    <w:sig w:usb0="00000001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59"/>
    <w:rsid w:val="00311C91"/>
    <w:rsid w:val="00535E38"/>
    <w:rsid w:val="00861BDB"/>
    <w:rsid w:val="00B777D7"/>
    <w:rsid w:val="00E176DF"/>
    <w:rsid w:val="00EC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5776A"/>
  <w15:chartTrackingRefBased/>
  <w15:docId w15:val="{5C151F1B-2687-5349-996B-61B5C2A2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159"/>
    <w:pPr>
      <w:spacing w:after="0" w:line="240" w:lineRule="auto"/>
    </w:pPr>
    <w:rPr>
      <w:rFonts w:ascii="TimesLT" w:eastAsia="Times New Roman" w:hAnsi="TimesLT" w:cs="Times New Roman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1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1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1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1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1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1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1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1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1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1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7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1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7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1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7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1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7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1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Marcinkevičiūtė | Lietuvos mokslo taryba</dc:creator>
  <cp:keywords/>
  <dc:description/>
  <cp:lastModifiedBy>Karolina Marcinkevičiūtė | Lietuvos mokslo taryba</cp:lastModifiedBy>
  <cp:revision>1</cp:revision>
  <dcterms:created xsi:type="dcterms:W3CDTF">2025-12-11T07:06:00Z</dcterms:created>
  <dcterms:modified xsi:type="dcterms:W3CDTF">2025-12-11T07:10:00Z</dcterms:modified>
</cp:coreProperties>
</file>