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1A83B3F9"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093DE9">
        <w:rPr>
          <w:rFonts w:ascii="Times New Roman" w:eastAsia="Arial Unicode MS" w:hAnsi="Times New Roman" w:cs="Times New Roman"/>
          <w:color w:val="000000"/>
          <w:kern w:val="0"/>
          <w:sz w:val="24"/>
          <w:szCs w:val="24"/>
          <w:bdr w:val="nil"/>
          <w14:ligatures w14:val="none"/>
        </w:rPr>
        <w:t>12</w:t>
      </w:r>
      <w:r w:rsidRPr="000258CF">
        <w:rPr>
          <w:rFonts w:ascii="Times New Roman" w:eastAsia="Arial Unicode MS" w:hAnsi="Times New Roman" w:cs="Times New Roman"/>
          <w:color w:val="000000"/>
          <w:kern w:val="0"/>
          <w:sz w:val="24"/>
          <w:szCs w:val="24"/>
          <w:bdr w:val="nil"/>
          <w14:ligatures w14:val="none"/>
        </w:rPr>
        <w:t>-</w:t>
      </w:r>
      <w:r w:rsidR="00093DE9">
        <w:rPr>
          <w:rFonts w:ascii="Times New Roman" w:eastAsia="Arial Unicode MS" w:hAnsi="Times New Roman" w:cs="Times New Roman"/>
          <w:color w:val="000000"/>
          <w:kern w:val="0"/>
          <w:sz w:val="24"/>
          <w:szCs w:val="24"/>
          <w:bdr w:val="nil"/>
          <w14:ligatures w14:val="none"/>
        </w:rPr>
        <w:t>11</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1B7CA2AD" w:rsidR="00C43710" w:rsidRPr="000258CF" w:rsidRDefault="00F0309B"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VIENKARTINIŲ MEDICININIŲ PRIEMONIŲ</w:t>
      </w:r>
      <w:r w:rsidR="00C054C4">
        <w:rPr>
          <w:rFonts w:ascii="Times New Roman" w:eastAsia="Arial Unicode MS" w:hAnsi="Times New Roman" w:cs="Times New Roman"/>
          <w:b/>
          <w:bCs/>
          <w:caps/>
          <w:color w:val="000000"/>
          <w:spacing w:val="4"/>
          <w:kern w:val="0"/>
          <w:sz w:val="24"/>
          <w:szCs w:val="24"/>
          <w:bdr w:val="nil"/>
          <w14:ligatures w14:val="none"/>
        </w:rPr>
        <w:t xml:space="preserve">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5E801373"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48666D">
        <w:rPr>
          <w:rFonts w:ascii="Times New Roman" w:hAnsi="Times New Roman" w:cs="Times New Roman"/>
          <w:b/>
          <w:bCs/>
          <w:i/>
          <w:iCs/>
          <w:color w:val="000000"/>
          <w:kern w:val="0"/>
          <w:sz w:val="24"/>
          <w:szCs w:val="24"/>
        </w:rPr>
        <w:t>vienkartinės medicininės priemonės</w:t>
      </w:r>
      <w:r w:rsidR="00B45D39">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0E5D5C7C"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093DE9">
        <w:rPr>
          <w:rFonts w:ascii="Times New Roman" w:hAnsi="Times New Roman" w:cs="Times New Roman"/>
          <w:b/>
          <w:bCs/>
          <w:i/>
          <w:iCs/>
          <w:color w:val="000000"/>
          <w:kern w:val="0"/>
          <w:sz w:val="24"/>
          <w:szCs w:val="24"/>
        </w:rPr>
        <w:t>2723</w:t>
      </w:r>
      <w:r w:rsidR="0012413A">
        <w:rPr>
          <w:rFonts w:ascii="Times New Roman" w:hAnsi="Times New Roman" w:cs="Times New Roman"/>
          <w:b/>
          <w:bCs/>
          <w:i/>
          <w:iCs/>
          <w:color w:val="000000"/>
          <w:kern w:val="0"/>
          <w:sz w:val="24"/>
          <w:szCs w:val="24"/>
        </w:rPr>
        <w:t>,</w:t>
      </w:r>
      <w:r w:rsidR="00093DE9">
        <w:rPr>
          <w:rFonts w:ascii="Times New Roman" w:hAnsi="Times New Roman" w:cs="Times New Roman"/>
          <w:b/>
          <w:bCs/>
          <w:i/>
          <w:iCs/>
          <w:color w:val="000000"/>
          <w:kern w:val="0"/>
          <w:sz w:val="24"/>
          <w:szCs w:val="24"/>
        </w:rPr>
        <w:t>7</w:t>
      </w:r>
      <w:r w:rsidR="0012413A">
        <w:rPr>
          <w:rFonts w:ascii="Times New Roman" w:hAnsi="Times New Roman" w:cs="Times New Roman"/>
          <w:b/>
          <w:bCs/>
          <w:i/>
          <w:iCs/>
          <w:color w:val="000000"/>
          <w:kern w:val="0"/>
          <w:sz w:val="24"/>
          <w:szCs w:val="24"/>
        </w:rPr>
        <w:t>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093DE9">
        <w:rPr>
          <w:rFonts w:ascii="Times New Roman" w:hAnsi="Times New Roman" w:cs="Times New Roman"/>
          <w:b/>
          <w:bCs/>
          <w:i/>
          <w:iCs/>
          <w:color w:val="000000"/>
          <w:kern w:val="0"/>
          <w:sz w:val="24"/>
          <w:szCs w:val="24"/>
        </w:rPr>
        <w:t>du tūkstančiai septyni šimtai dvidešimt trys eurai septyniasdešimt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08296E42" w14:textId="13705AD6"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262E3F">
        <w:rPr>
          <w:rFonts w:ascii="Times New Roman" w:hAnsi="Times New Roman" w:cs="Times New Roman"/>
          <w:color w:val="000000"/>
          <w:kern w:val="0"/>
          <w:sz w:val="24"/>
          <w:szCs w:val="24"/>
        </w:rPr>
        <w:t>pdf</w:t>
      </w:r>
      <w:proofErr w:type="spellEnd"/>
      <w:r w:rsidRPr="00262E3F">
        <w:rPr>
          <w:rFonts w:ascii="Times New Roman" w:hAnsi="Times New Roman" w:cs="Times New Roman"/>
          <w:color w:val="000000"/>
          <w:kern w:val="0"/>
          <w:sz w:val="24"/>
          <w:szCs w:val="24"/>
        </w:rPr>
        <w:t xml:space="preserve">, jpg, </w:t>
      </w:r>
      <w:proofErr w:type="spellStart"/>
      <w:r w:rsidRPr="00262E3F">
        <w:rPr>
          <w:rFonts w:ascii="Times New Roman" w:hAnsi="Times New Roman" w:cs="Times New Roman"/>
          <w:color w:val="000000"/>
          <w:kern w:val="0"/>
          <w:sz w:val="24"/>
          <w:szCs w:val="24"/>
        </w:rPr>
        <w:t>xlsx</w:t>
      </w:r>
      <w:proofErr w:type="spellEnd"/>
      <w:r w:rsidRPr="00262E3F">
        <w:rPr>
          <w:rFonts w:ascii="Times New Roman" w:hAnsi="Times New Roman" w:cs="Times New Roman"/>
          <w:color w:val="000000"/>
          <w:kern w:val="0"/>
          <w:sz w:val="24"/>
          <w:szCs w:val="24"/>
        </w:rPr>
        <w:t xml:space="preserve">, </w:t>
      </w:r>
      <w:proofErr w:type="spellStart"/>
      <w:r w:rsidRPr="00262E3F">
        <w:rPr>
          <w:rFonts w:ascii="Times New Roman" w:hAnsi="Times New Roman" w:cs="Times New Roman"/>
          <w:color w:val="000000"/>
          <w:kern w:val="0"/>
          <w:sz w:val="24"/>
          <w:szCs w:val="24"/>
        </w:rPr>
        <w:t>docx</w:t>
      </w:r>
      <w:proofErr w:type="spellEnd"/>
      <w:r w:rsidRPr="00262E3F">
        <w:rPr>
          <w:rFonts w:ascii="Times New Roman" w:hAnsi="Times New Roman" w:cs="Times New Roman"/>
          <w:color w:val="000000"/>
          <w:kern w:val="0"/>
          <w:sz w:val="24"/>
          <w:szCs w:val="24"/>
        </w:rPr>
        <w:t xml:space="preserve">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64210C7A" w14:textId="69360D29" w:rsidR="00265F33" w:rsidRDefault="00265F33" w:rsidP="00265F33">
      <w:pPr>
        <w:spacing w:line="276" w:lineRule="auto"/>
        <w:ind w:right="-1" w:firstLine="855"/>
        <w:jc w:val="center"/>
        <w:rPr>
          <w:rFonts w:ascii="Times New Roman" w:eastAsia="Calibri" w:hAnsi="Times New Roman" w:cs="Times New Roman"/>
          <w:b/>
          <w:sz w:val="24"/>
          <w:szCs w:val="24"/>
        </w:rPr>
      </w:pPr>
      <w:r>
        <w:rPr>
          <w:rFonts w:ascii="Times New Roman" w:eastAsia="Calibri" w:hAnsi="Times New Roman" w:cs="Times New Roman"/>
          <w:b/>
          <w:sz w:val="24"/>
          <w:szCs w:val="24"/>
        </w:rPr>
        <w:t>TECHNINĖ SPECIFIKACIJA</w:t>
      </w:r>
    </w:p>
    <w:p w14:paraId="37BF6E18" w14:textId="629E0B36" w:rsidR="0048666D" w:rsidRPr="00C539BA" w:rsidRDefault="0048666D" w:rsidP="0048666D">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45EF6530" w14:textId="77777777" w:rsidR="0048666D" w:rsidRPr="00C539BA" w:rsidRDefault="0048666D" w:rsidP="00265F33">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vienkartinių medicininių priemonių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0C09AD72" w14:textId="77777777" w:rsidR="0048666D" w:rsidRDefault="0048666D" w:rsidP="00265F33">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22F458D7" w14:textId="77777777" w:rsidR="0048666D" w:rsidRPr="00C539BA" w:rsidRDefault="0048666D" w:rsidP="0048666D">
      <w:pPr>
        <w:tabs>
          <w:tab w:val="left" w:pos="7230"/>
        </w:tabs>
        <w:spacing w:after="0" w:line="240" w:lineRule="auto"/>
        <w:ind w:firstLine="851"/>
        <w:jc w:val="both"/>
        <w:rPr>
          <w:rFonts w:ascii="Calibri" w:eastAsia="Calibri" w:hAnsi="Calibri" w:cs="Times New Roman"/>
          <w:b/>
          <w:bCs/>
          <w:caps/>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2379"/>
        <w:gridCol w:w="3402"/>
        <w:gridCol w:w="2835"/>
      </w:tblGrid>
      <w:tr w:rsidR="005553ED" w:rsidRPr="00C539BA" w14:paraId="4C36C975" w14:textId="56E94B9E" w:rsidTr="005553ED">
        <w:tc>
          <w:tcPr>
            <w:tcW w:w="882" w:type="dxa"/>
            <w:tcBorders>
              <w:top w:val="single" w:sz="4" w:space="0" w:color="auto"/>
              <w:left w:val="single" w:sz="4" w:space="0" w:color="auto"/>
              <w:bottom w:val="single" w:sz="4" w:space="0" w:color="auto"/>
              <w:right w:val="single" w:sz="4" w:space="0" w:color="auto"/>
            </w:tcBorders>
          </w:tcPr>
          <w:p w14:paraId="1301029B" w14:textId="24867192" w:rsidR="005553ED" w:rsidRPr="00AC1962" w:rsidRDefault="005553ED" w:rsidP="005553E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2379" w:type="dxa"/>
            <w:tcBorders>
              <w:top w:val="single" w:sz="4" w:space="0" w:color="auto"/>
              <w:left w:val="single" w:sz="4" w:space="0" w:color="auto"/>
              <w:bottom w:val="single" w:sz="4" w:space="0" w:color="auto"/>
              <w:right w:val="single" w:sz="4" w:space="0" w:color="auto"/>
            </w:tcBorders>
            <w:vAlign w:val="center"/>
          </w:tcPr>
          <w:p w14:paraId="28CDA743" w14:textId="59787609" w:rsidR="005553ED" w:rsidRPr="00AC1962" w:rsidRDefault="005553ED" w:rsidP="005553E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74967C98" w14:textId="43057647" w:rsidR="005553ED" w:rsidRPr="00AC1962" w:rsidRDefault="005553ED" w:rsidP="005553E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c>
          <w:tcPr>
            <w:tcW w:w="2835" w:type="dxa"/>
            <w:tcBorders>
              <w:top w:val="single" w:sz="4" w:space="0" w:color="auto"/>
              <w:left w:val="single" w:sz="4" w:space="0" w:color="auto"/>
              <w:bottom w:val="single" w:sz="4" w:space="0" w:color="auto"/>
              <w:right w:val="single" w:sz="4" w:space="0" w:color="auto"/>
            </w:tcBorders>
          </w:tcPr>
          <w:p w14:paraId="6140B7B2" w14:textId="77777777" w:rsidR="005553ED" w:rsidRPr="00CB3671" w:rsidRDefault="005553ED" w:rsidP="005553ED">
            <w:pPr>
              <w:ind w:hanging="98"/>
              <w:jc w:val="center"/>
              <w:rPr>
                <w:rFonts w:ascii="Times New Roman" w:hAnsi="Times New Roman" w:cs="Times New Roman"/>
                <w:b/>
                <w:bCs/>
                <w:noProof/>
                <w:sz w:val="24"/>
                <w:szCs w:val="24"/>
              </w:rPr>
            </w:pPr>
            <w:r w:rsidRPr="00CB3671">
              <w:rPr>
                <w:rFonts w:ascii="Times New Roman" w:hAnsi="Times New Roman" w:cs="Times New Roman"/>
                <w:b/>
                <w:bCs/>
                <w:noProof/>
                <w:sz w:val="24"/>
                <w:szCs w:val="24"/>
              </w:rPr>
              <w:t>Tiekėjo siūlomų parametrų</w:t>
            </w:r>
            <w:r w:rsidRPr="00CB3671">
              <w:rPr>
                <w:rFonts w:ascii="Times New Roman" w:hAnsi="Times New Roman" w:cs="Times New Roman"/>
                <w:noProof/>
                <w:sz w:val="24"/>
                <w:szCs w:val="24"/>
              </w:rPr>
              <w:t xml:space="preserve"> </w:t>
            </w:r>
            <w:r w:rsidRPr="00CB3671">
              <w:rPr>
                <w:rFonts w:ascii="Times New Roman" w:hAnsi="Times New Roman" w:cs="Times New Roman"/>
                <w:b/>
                <w:bCs/>
                <w:noProof/>
                <w:sz w:val="24"/>
                <w:szCs w:val="24"/>
              </w:rPr>
              <w:t xml:space="preserve">reikšmės </w:t>
            </w:r>
          </w:p>
          <w:p w14:paraId="6AC76ADE" w14:textId="4A05D571" w:rsidR="005553ED" w:rsidRPr="00AC1962" w:rsidRDefault="005553ED" w:rsidP="005553ED">
            <w:pPr>
              <w:jc w:val="center"/>
              <w:rPr>
                <w:rFonts w:ascii="Times New Roman" w:eastAsia="Calibri" w:hAnsi="Times New Roman" w:cs="Times New Roman"/>
                <w:b/>
                <w:bCs/>
                <w:sz w:val="24"/>
                <w:szCs w:val="24"/>
              </w:rPr>
            </w:pPr>
            <w:r w:rsidRPr="00CB3671">
              <w:rPr>
                <w:rFonts w:ascii="Times New Roman" w:hAnsi="Times New Roman" w:cs="Times New Roman"/>
                <w:b/>
                <w:bCs/>
                <w:i/>
                <w:noProof/>
                <w:sz w:val="24"/>
                <w:szCs w:val="24"/>
              </w:rPr>
              <w:t>(Įrašyti reikalingą Taip arba Ne, arba nurodyti konkrečiai)</w:t>
            </w:r>
            <w:r w:rsidR="00861052">
              <w:rPr>
                <w:rFonts w:ascii="Times New Roman" w:hAnsi="Times New Roman" w:cs="Times New Roman"/>
                <w:b/>
                <w:bCs/>
                <w:i/>
                <w:noProof/>
                <w:sz w:val="24"/>
                <w:szCs w:val="24"/>
              </w:rPr>
              <w:t>*</w:t>
            </w:r>
          </w:p>
        </w:tc>
      </w:tr>
      <w:tr w:rsidR="005553ED" w:rsidRPr="00C539BA" w14:paraId="1B76BFF4" w14:textId="5334B538" w:rsidTr="005553ED">
        <w:tc>
          <w:tcPr>
            <w:tcW w:w="882" w:type="dxa"/>
            <w:vMerge w:val="restart"/>
            <w:tcBorders>
              <w:top w:val="single" w:sz="4" w:space="0" w:color="auto"/>
              <w:left w:val="single" w:sz="4" w:space="0" w:color="auto"/>
              <w:right w:val="single" w:sz="4" w:space="0" w:color="auto"/>
            </w:tcBorders>
          </w:tcPr>
          <w:p w14:paraId="6CDB5941" w14:textId="77777777" w:rsidR="005553ED" w:rsidRPr="003026BC" w:rsidRDefault="005553ED" w:rsidP="005553ED">
            <w:pPr>
              <w:pStyle w:val="Sraopastraipa"/>
              <w:numPr>
                <w:ilvl w:val="0"/>
                <w:numId w:val="10"/>
              </w:numPr>
              <w:spacing w:after="160" w:line="259" w:lineRule="auto"/>
              <w:ind w:left="360"/>
              <w:rPr>
                <w:szCs w:val="24"/>
              </w:rPr>
            </w:pPr>
          </w:p>
        </w:tc>
        <w:tc>
          <w:tcPr>
            <w:tcW w:w="2379" w:type="dxa"/>
            <w:vMerge w:val="restart"/>
            <w:tcBorders>
              <w:top w:val="single" w:sz="4" w:space="0" w:color="auto"/>
              <w:left w:val="single" w:sz="4" w:space="0" w:color="auto"/>
              <w:right w:val="single" w:sz="4" w:space="0" w:color="auto"/>
            </w:tcBorders>
          </w:tcPr>
          <w:p w14:paraId="43974873" w14:textId="77777777" w:rsidR="005553ED" w:rsidRPr="00AB7957" w:rsidRDefault="005553ED" w:rsidP="005553ED">
            <w:pPr>
              <w:rPr>
                <w:rFonts w:ascii="Times New Roman" w:hAnsi="Times New Roman" w:cs="Times New Roman"/>
                <w:sz w:val="24"/>
                <w:szCs w:val="24"/>
              </w:rPr>
            </w:pPr>
            <w:r w:rsidRPr="00AB7957">
              <w:rPr>
                <w:rFonts w:ascii="Times New Roman" w:hAnsi="Times New Roman" w:cs="Times New Roman"/>
                <w:sz w:val="24"/>
                <w:szCs w:val="24"/>
              </w:rPr>
              <w:t>Maitinimo sistema</w:t>
            </w:r>
          </w:p>
          <w:p w14:paraId="1DC348A2" w14:textId="77777777" w:rsidR="005553ED" w:rsidRPr="00AB7957" w:rsidRDefault="005553ED" w:rsidP="005553ED">
            <w:pPr>
              <w:rPr>
                <w:rFonts w:ascii="Times New Roman" w:hAnsi="Times New Roman" w:cs="Times New Roman"/>
                <w:sz w:val="24"/>
                <w:szCs w:val="24"/>
              </w:rPr>
            </w:pPr>
          </w:p>
          <w:p w14:paraId="2056E5AD" w14:textId="77777777" w:rsidR="005553ED" w:rsidRPr="00FA77EA" w:rsidRDefault="005553ED" w:rsidP="005553ED">
            <w:pPr>
              <w:spacing w:after="0"/>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0B5D9F1" w14:textId="059C3538" w:rsidR="005553ED" w:rsidRPr="00FA77EA" w:rsidRDefault="005553ED" w:rsidP="005553ED">
            <w:pPr>
              <w:spacing w:after="0"/>
              <w:jc w:val="both"/>
              <w:rPr>
                <w:rFonts w:ascii="Times New Roman" w:eastAsia="Times New Roman" w:hAnsi="Times New Roman" w:cs="Times New Roman"/>
                <w:kern w:val="0"/>
                <w:sz w:val="24"/>
                <w:szCs w:val="24"/>
                <w14:ligatures w14:val="none"/>
              </w:rPr>
            </w:pPr>
            <w:r w:rsidRPr="00AB7957">
              <w:rPr>
                <w:rFonts w:ascii="Times New Roman" w:hAnsi="Times New Roman" w:cs="Times New Roman"/>
                <w:sz w:val="24"/>
                <w:szCs w:val="24"/>
              </w:rPr>
              <w:t xml:space="preserve">Maitinimo sistema skirta </w:t>
            </w:r>
            <w:proofErr w:type="spellStart"/>
            <w:r w:rsidRPr="00AB7957">
              <w:rPr>
                <w:rFonts w:ascii="Times New Roman" w:hAnsi="Times New Roman" w:cs="Times New Roman"/>
                <w:sz w:val="24"/>
                <w:szCs w:val="24"/>
              </w:rPr>
              <w:t>enterinio</w:t>
            </w:r>
            <w:proofErr w:type="spellEnd"/>
            <w:r w:rsidRPr="00AB7957">
              <w:rPr>
                <w:rFonts w:ascii="Times New Roman" w:hAnsi="Times New Roman" w:cs="Times New Roman"/>
                <w:sz w:val="24"/>
                <w:szCs w:val="24"/>
              </w:rPr>
              <w:t xml:space="preserve"> mišinio lašinimui gravitacinio būdo pagalba </w:t>
            </w:r>
          </w:p>
        </w:tc>
        <w:tc>
          <w:tcPr>
            <w:tcW w:w="2835" w:type="dxa"/>
            <w:tcBorders>
              <w:top w:val="single" w:sz="4" w:space="0" w:color="auto"/>
              <w:left w:val="single" w:sz="4" w:space="0" w:color="auto"/>
              <w:bottom w:val="single" w:sz="4" w:space="0" w:color="auto"/>
              <w:right w:val="single" w:sz="4" w:space="0" w:color="auto"/>
            </w:tcBorders>
          </w:tcPr>
          <w:p w14:paraId="7B14371D" w14:textId="038C5DA3" w:rsidR="005553ED" w:rsidRPr="005553ED" w:rsidRDefault="005553ED" w:rsidP="005553ED">
            <w:pPr>
              <w:spacing w:after="0"/>
              <w:jc w:val="center"/>
              <w:rPr>
                <w:rFonts w:ascii="Times New Roman" w:hAnsi="Times New Roman" w:cs="Times New Roman"/>
                <w:iCs/>
                <w:sz w:val="24"/>
                <w:szCs w:val="24"/>
              </w:rPr>
            </w:pPr>
            <w:r w:rsidRPr="005553ED">
              <w:rPr>
                <w:rFonts w:ascii="Times New Roman" w:hAnsi="Times New Roman" w:cs="Times New Roman"/>
                <w:iCs/>
                <w:noProof/>
                <w:sz w:val="24"/>
                <w:szCs w:val="24"/>
              </w:rPr>
              <w:t>Taip arba Ne</w:t>
            </w:r>
          </w:p>
        </w:tc>
      </w:tr>
      <w:tr w:rsidR="005553ED" w:rsidRPr="00C539BA" w14:paraId="3CFBF507" w14:textId="77777777" w:rsidTr="005553ED">
        <w:tc>
          <w:tcPr>
            <w:tcW w:w="882" w:type="dxa"/>
            <w:vMerge/>
            <w:tcBorders>
              <w:left w:val="single" w:sz="4" w:space="0" w:color="auto"/>
              <w:right w:val="single" w:sz="4" w:space="0" w:color="auto"/>
            </w:tcBorders>
          </w:tcPr>
          <w:p w14:paraId="35719277" w14:textId="77777777" w:rsidR="005553ED" w:rsidRPr="003026BC" w:rsidRDefault="005553ED" w:rsidP="005553ED">
            <w:pPr>
              <w:pStyle w:val="Sraopastraipa"/>
              <w:numPr>
                <w:ilvl w:val="0"/>
                <w:numId w:val="10"/>
              </w:numPr>
              <w:spacing w:after="160" w:line="259" w:lineRule="auto"/>
              <w:ind w:left="360"/>
              <w:rPr>
                <w:szCs w:val="24"/>
              </w:rPr>
            </w:pPr>
          </w:p>
        </w:tc>
        <w:tc>
          <w:tcPr>
            <w:tcW w:w="2379" w:type="dxa"/>
            <w:vMerge/>
            <w:tcBorders>
              <w:left w:val="single" w:sz="4" w:space="0" w:color="auto"/>
              <w:right w:val="single" w:sz="4" w:space="0" w:color="auto"/>
            </w:tcBorders>
          </w:tcPr>
          <w:p w14:paraId="610C9FF8" w14:textId="77777777" w:rsidR="005553ED" w:rsidRPr="00AB7957" w:rsidRDefault="005553ED" w:rsidP="005553ED">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C61C489" w14:textId="5FBEF103" w:rsidR="005553ED" w:rsidRPr="00AB7957" w:rsidRDefault="005553ED" w:rsidP="005553ED">
            <w:pPr>
              <w:spacing w:after="0"/>
              <w:jc w:val="both"/>
              <w:rPr>
                <w:rFonts w:ascii="Times New Roman" w:hAnsi="Times New Roman" w:cs="Times New Roman"/>
                <w:sz w:val="24"/>
                <w:szCs w:val="24"/>
              </w:rPr>
            </w:pPr>
            <w:r>
              <w:rPr>
                <w:rFonts w:ascii="Times New Roman" w:hAnsi="Times New Roman" w:cs="Times New Roman"/>
                <w:sz w:val="24"/>
                <w:szCs w:val="24"/>
              </w:rPr>
              <w:t>B</w:t>
            </w:r>
            <w:r w:rsidRPr="00AB7957">
              <w:rPr>
                <w:rFonts w:ascii="Times New Roman" w:hAnsi="Times New Roman" w:cs="Times New Roman"/>
                <w:sz w:val="24"/>
                <w:szCs w:val="24"/>
              </w:rPr>
              <w:t>e rezervuaro</w:t>
            </w:r>
          </w:p>
        </w:tc>
        <w:tc>
          <w:tcPr>
            <w:tcW w:w="2835" w:type="dxa"/>
            <w:tcBorders>
              <w:top w:val="single" w:sz="4" w:space="0" w:color="auto"/>
              <w:left w:val="single" w:sz="4" w:space="0" w:color="auto"/>
              <w:bottom w:val="single" w:sz="4" w:space="0" w:color="auto"/>
              <w:right w:val="single" w:sz="4" w:space="0" w:color="auto"/>
            </w:tcBorders>
          </w:tcPr>
          <w:p w14:paraId="1BE94C72" w14:textId="3AF0D6A9" w:rsidR="005553ED" w:rsidRPr="005553ED" w:rsidRDefault="005553ED" w:rsidP="005553ED">
            <w:pPr>
              <w:spacing w:after="0"/>
              <w:jc w:val="center"/>
              <w:rPr>
                <w:rFonts w:ascii="Times New Roman" w:hAnsi="Times New Roman" w:cs="Times New Roman"/>
                <w:iCs/>
                <w:sz w:val="24"/>
                <w:szCs w:val="24"/>
              </w:rPr>
            </w:pPr>
            <w:r w:rsidRPr="005553ED">
              <w:rPr>
                <w:rFonts w:ascii="Times New Roman" w:hAnsi="Times New Roman" w:cs="Times New Roman"/>
                <w:iCs/>
                <w:noProof/>
                <w:sz w:val="24"/>
                <w:szCs w:val="24"/>
              </w:rPr>
              <w:t>Taip arba Ne</w:t>
            </w:r>
          </w:p>
        </w:tc>
      </w:tr>
      <w:tr w:rsidR="005553ED" w:rsidRPr="00C539BA" w14:paraId="4F72F67B" w14:textId="77777777" w:rsidTr="005553ED">
        <w:tc>
          <w:tcPr>
            <w:tcW w:w="882" w:type="dxa"/>
            <w:vMerge/>
            <w:tcBorders>
              <w:left w:val="single" w:sz="4" w:space="0" w:color="auto"/>
              <w:right w:val="single" w:sz="4" w:space="0" w:color="auto"/>
            </w:tcBorders>
          </w:tcPr>
          <w:p w14:paraId="56E3A279" w14:textId="77777777" w:rsidR="005553ED" w:rsidRPr="003026BC" w:rsidRDefault="005553ED" w:rsidP="005553ED">
            <w:pPr>
              <w:pStyle w:val="Sraopastraipa"/>
              <w:numPr>
                <w:ilvl w:val="0"/>
                <w:numId w:val="10"/>
              </w:numPr>
              <w:spacing w:after="160" w:line="259" w:lineRule="auto"/>
              <w:ind w:left="360"/>
              <w:rPr>
                <w:szCs w:val="24"/>
              </w:rPr>
            </w:pPr>
          </w:p>
        </w:tc>
        <w:tc>
          <w:tcPr>
            <w:tcW w:w="2379" w:type="dxa"/>
            <w:vMerge/>
            <w:tcBorders>
              <w:left w:val="single" w:sz="4" w:space="0" w:color="auto"/>
              <w:right w:val="single" w:sz="4" w:space="0" w:color="auto"/>
            </w:tcBorders>
          </w:tcPr>
          <w:p w14:paraId="75DCCF33" w14:textId="77777777" w:rsidR="005553ED" w:rsidRPr="00AB7957" w:rsidRDefault="005553ED" w:rsidP="005553ED">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305D02A" w14:textId="4C2A157A" w:rsidR="005553ED" w:rsidRPr="00AB7957" w:rsidRDefault="005553ED" w:rsidP="005553ED">
            <w:pPr>
              <w:spacing w:after="0"/>
              <w:jc w:val="both"/>
              <w:rPr>
                <w:rFonts w:ascii="Times New Roman" w:hAnsi="Times New Roman" w:cs="Times New Roman"/>
                <w:sz w:val="24"/>
                <w:szCs w:val="24"/>
              </w:rPr>
            </w:pPr>
            <w:r w:rsidRPr="00AB7957">
              <w:rPr>
                <w:rFonts w:ascii="Times New Roman" w:hAnsi="Times New Roman" w:cs="Times New Roman"/>
                <w:sz w:val="24"/>
                <w:szCs w:val="24"/>
              </w:rPr>
              <w:t>Iš PVC</w:t>
            </w:r>
          </w:p>
        </w:tc>
        <w:tc>
          <w:tcPr>
            <w:tcW w:w="2835" w:type="dxa"/>
            <w:tcBorders>
              <w:top w:val="single" w:sz="4" w:space="0" w:color="auto"/>
              <w:left w:val="single" w:sz="4" w:space="0" w:color="auto"/>
              <w:bottom w:val="single" w:sz="4" w:space="0" w:color="auto"/>
              <w:right w:val="single" w:sz="4" w:space="0" w:color="auto"/>
            </w:tcBorders>
          </w:tcPr>
          <w:p w14:paraId="3C246E90" w14:textId="4467DDD2" w:rsidR="005553ED" w:rsidRPr="005553ED" w:rsidRDefault="005553ED" w:rsidP="005553ED">
            <w:pPr>
              <w:spacing w:after="0"/>
              <w:jc w:val="center"/>
              <w:rPr>
                <w:rFonts w:ascii="Times New Roman" w:hAnsi="Times New Roman" w:cs="Times New Roman"/>
                <w:iCs/>
                <w:sz w:val="24"/>
                <w:szCs w:val="24"/>
              </w:rPr>
            </w:pPr>
            <w:r w:rsidRPr="005553ED">
              <w:rPr>
                <w:rFonts w:ascii="Times New Roman" w:hAnsi="Times New Roman" w:cs="Times New Roman"/>
                <w:iCs/>
                <w:noProof/>
                <w:sz w:val="24"/>
                <w:szCs w:val="24"/>
              </w:rPr>
              <w:t>Taip arba Ne</w:t>
            </w:r>
          </w:p>
        </w:tc>
      </w:tr>
      <w:tr w:rsidR="005553ED" w:rsidRPr="00C539BA" w14:paraId="2BFAA14E" w14:textId="77777777" w:rsidTr="005553ED">
        <w:tc>
          <w:tcPr>
            <w:tcW w:w="882" w:type="dxa"/>
            <w:vMerge/>
            <w:tcBorders>
              <w:left w:val="single" w:sz="4" w:space="0" w:color="auto"/>
              <w:right w:val="single" w:sz="4" w:space="0" w:color="auto"/>
            </w:tcBorders>
          </w:tcPr>
          <w:p w14:paraId="57904135" w14:textId="77777777" w:rsidR="005553ED" w:rsidRPr="003026BC" w:rsidRDefault="005553ED" w:rsidP="005553ED">
            <w:pPr>
              <w:pStyle w:val="Sraopastraipa"/>
              <w:numPr>
                <w:ilvl w:val="0"/>
                <w:numId w:val="10"/>
              </w:numPr>
              <w:spacing w:after="160" w:line="259" w:lineRule="auto"/>
              <w:ind w:left="360"/>
              <w:rPr>
                <w:szCs w:val="24"/>
              </w:rPr>
            </w:pPr>
          </w:p>
        </w:tc>
        <w:tc>
          <w:tcPr>
            <w:tcW w:w="2379" w:type="dxa"/>
            <w:vMerge/>
            <w:tcBorders>
              <w:left w:val="single" w:sz="4" w:space="0" w:color="auto"/>
              <w:right w:val="single" w:sz="4" w:space="0" w:color="auto"/>
            </w:tcBorders>
          </w:tcPr>
          <w:p w14:paraId="54227EB8" w14:textId="77777777" w:rsidR="005553ED" w:rsidRPr="00AB7957" w:rsidRDefault="005553ED" w:rsidP="005553ED">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A644B55" w14:textId="7581519F" w:rsidR="005553ED" w:rsidRPr="00AB7957" w:rsidRDefault="005553ED" w:rsidP="005553ED">
            <w:pPr>
              <w:spacing w:after="0"/>
              <w:jc w:val="both"/>
              <w:rPr>
                <w:rFonts w:ascii="Times New Roman" w:hAnsi="Times New Roman" w:cs="Times New Roman"/>
                <w:sz w:val="24"/>
                <w:szCs w:val="24"/>
              </w:rPr>
            </w:pPr>
            <w:r>
              <w:rPr>
                <w:rFonts w:ascii="Times New Roman" w:hAnsi="Times New Roman" w:cs="Times New Roman"/>
                <w:sz w:val="24"/>
                <w:szCs w:val="24"/>
              </w:rPr>
              <w:t>B</w:t>
            </w:r>
            <w:r w:rsidRPr="00AB7957">
              <w:rPr>
                <w:rFonts w:ascii="Times New Roman" w:hAnsi="Times New Roman" w:cs="Times New Roman"/>
                <w:sz w:val="24"/>
                <w:szCs w:val="24"/>
              </w:rPr>
              <w:t>e latekso</w:t>
            </w:r>
          </w:p>
        </w:tc>
        <w:tc>
          <w:tcPr>
            <w:tcW w:w="2835" w:type="dxa"/>
            <w:tcBorders>
              <w:top w:val="single" w:sz="4" w:space="0" w:color="auto"/>
              <w:left w:val="single" w:sz="4" w:space="0" w:color="auto"/>
              <w:bottom w:val="single" w:sz="4" w:space="0" w:color="auto"/>
              <w:right w:val="single" w:sz="4" w:space="0" w:color="auto"/>
            </w:tcBorders>
          </w:tcPr>
          <w:p w14:paraId="3F240718" w14:textId="5FB5A59E" w:rsidR="005553ED" w:rsidRPr="005553ED" w:rsidRDefault="005553ED" w:rsidP="005553ED">
            <w:pPr>
              <w:spacing w:after="0"/>
              <w:jc w:val="center"/>
              <w:rPr>
                <w:rFonts w:ascii="Times New Roman" w:hAnsi="Times New Roman" w:cs="Times New Roman"/>
                <w:iCs/>
                <w:sz w:val="24"/>
                <w:szCs w:val="24"/>
              </w:rPr>
            </w:pPr>
            <w:r w:rsidRPr="005553ED">
              <w:rPr>
                <w:rFonts w:ascii="Times New Roman" w:hAnsi="Times New Roman" w:cs="Times New Roman"/>
                <w:iCs/>
                <w:noProof/>
                <w:sz w:val="24"/>
                <w:szCs w:val="24"/>
              </w:rPr>
              <w:t>Taip arba Ne</w:t>
            </w:r>
          </w:p>
        </w:tc>
      </w:tr>
      <w:tr w:rsidR="005553ED" w:rsidRPr="00C539BA" w14:paraId="1E4EB2E1" w14:textId="77777777" w:rsidTr="005553ED">
        <w:tc>
          <w:tcPr>
            <w:tcW w:w="882" w:type="dxa"/>
            <w:vMerge/>
            <w:tcBorders>
              <w:left w:val="single" w:sz="4" w:space="0" w:color="auto"/>
              <w:right w:val="single" w:sz="4" w:space="0" w:color="auto"/>
            </w:tcBorders>
          </w:tcPr>
          <w:p w14:paraId="2F585365" w14:textId="77777777" w:rsidR="005553ED" w:rsidRPr="003026BC" w:rsidRDefault="005553ED" w:rsidP="005553ED">
            <w:pPr>
              <w:pStyle w:val="Sraopastraipa"/>
              <w:numPr>
                <w:ilvl w:val="0"/>
                <w:numId w:val="10"/>
              </w:numPr>
              <w:spacing w:after="160" w:line="259" w:lineRule="auto"/>
              <w:ind w:left="360"/>
              <w:rPr>
                <w:szCs w:val="24"/>
              </w:rPr>
            </w:pPr>
          </w:p>
        </w:tc>
        <w:tc>
          <w:tcPr>
            <w:tcW w:w="2379" w:type="dxa"/>
            <w:vMerge/>
            <w:tcBorders>
              <w:left w:val="single" w:sz="4" w:space="0" w:color="auto"/>
              <w:right w:val="single" w:sz="4" w:space="0" w:color="auto"/>
            </w:tcBorders>
          </w:tcPr>
          <w:p w14:paraId="6A8413DE" w14:textId="77777777" w:rsidR="005553ED" w:rsidRPr="00AB7957" w:rsidRDefault="005553ED" w:rsidP="005553ED">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7FB251B" w14:textId="412E1B34" w:rsidR="005553ED" w:rsidRPr="00AB7957" w:rsidRDefault="005553ED" w:rsidP="005553ED">
            <w:pPr>
              <w:spacing w:after="0"/>
              <w:jc w:val="both"/>
              <w:rPr>
                <w:rFonts w:ascii="Times New Roman" w:hAnsi="Times New Roman" w:cs="Times New Roman"/>
                <w:sz w:val="24"/>
                <w:szCs w:val="24"/>
              </w:rPr>
            </w:pPr>
            <w:r>
              <w:rPr>
                <w:rFonts w:ascii="Times New Roman" w:hAnsi="Times New Roman" w:cs="Times New Roman"/>
                <w:sz w:val="24"/>
                <w:szCs w:val="24"/>
              </w:rPr>
              <w:t>B</w:t>
            </w:r>
            <w:r w:rsidRPr="00AB7957">
              <w:rPr>
                <w:rFonts w:ascii="Times New Roman" w:hAnsi="Times New Roman" w:cs="Times New Roman"/>
                <w:sz w:val="24"/>
                <w:szCs w:val="24"/>
              </w:rPr>
              <w:t>e toksinio priedo DEHP</w:t>
            </w:r>
          </w:p>
        </w:tc>
        <w:tc>
          <w:tcPr>
            <w:tcW w:w="2835" w:type="dxa"/>
            <w:tcBorders>
              <w:top w:val="single" w:sz="4" w:space="0" w:color="auto"/>
              <w:left w:val="single" w:sz="4" w:space="0" w:color="auto"/>
              <w:bottom w:val="single" w:sz="4" w:space="0" w:color="auto"/>
              <w:right w:val="single" w:sz="4" w:space="0" w:color="auto"/>
            </w:tcBorders>
          </w:tcPr>
          <w:p w14:paraId="47F4B7AE" w14:textId="569F808E" w:rsidR="005553ED" w:rsidRPr="005553ED" w:rsidRDefault="005553ED" w:rsidP="005553ED">
            <w:pPr>
              <w:spacing w:after="0"/>
              <w:jc w:val="center"/>
              <w:rPr>
                <w:rFonts w:ascii="Times New Roman" w:hAnsi="Times New Roman" w:cs="Times New Roman"/>
                <w:iCs/>
                <w:sz w:val="24"/>
                <w:szCs w:val="24"/>
              </w:rPr>
            </w:pPr>
            <w:r w:rsidRPr="005553ED">
              <w:rPr>
                <w:rFonts w:ascii="Times New Roman" w:hAnsi="Times New Roman" w:cs="Times New Roman"/>
                <w:iCs/>
                <w:noProof/>
                <w:sz w:val="24"/>
                <w:szCs w:val="24"/>
              </w:rPr>
              <w:t>Taip arba Ne</w:t>
            </w:r>
          </w:p>
        </w:tc>
      </w:tr>
      <w:tr w:rsidR="005553ED" w:rsidRPr="00C539BA" w14:paraId="68A4032E" w14:textId="77777777" w:rsidTr="005553ED">
        <w:tc>
          <w:tcPr>
            <w:tcW w:w="882" w:type="dxa"/>
            <w:vMerge/>
            <w:tcBorders>
              <w:left w:val="single" w:sz="4" w:space="0" w:color="auto"/>
              <w:right w:val="single" w:sz="4" w:space="0" w:color="auto"/>
            </w:tcBorders>
          </w:tcPr>
          <w:p w14:paraId="1B472839" w14:textId="77777777" w:rsidR="005553ED" w:rsidRPr="003026BC" w:rsidRDefault="005553ED" w:rsidP="005553ED">
            <w:pPr>
              <w:pStyle w:val="Sraopastraipa"/>
              <w:numPr>
                <w:ilvl w:val="0"/>
                <w:numId w:val="10"/>
              </w:numPr>
              <w:spacing w:after="160" w:line="259" w:lineRule="auto"/>
              <w:ind w:left="360"/>
              <w:rPr>
                <w:szCs w:val="24"/>
              </w:rPr>
            </w:pPr>
          </w:p>
        </w:tc>
        <w:tc>
          <w:tcPr>
            <w:tcW w:w="2379" w:type="dxa"/>
            <w:vMerge/>
            <w:tcBorders>
              <w:left w:val="single" w:sz="4" w:space="0" w:color="auto"/>
              <w:right w:val="single" w:sz="4" w:space="0" w:color="auto"/>
            </w:tcBorders>
          </w:tcPr>
          <w:p w14:paraId="13DED82B" w14:textId="77777777" w:rsidR="005553ED" w:rsidRPr="00AB7957" w:rsidRDefault="005553ED" w:rsidP="005553ED">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717ABB5" w14:textId="55FD3851" w:rsidR="005553ED" w:rsidRPr="00AB7957" w:rsidRDefault="005553ED" w:rsidP="005553ED">
            <w:pPr>
              <w:spacing w:after="0"/>
              <w:jc w:val="both"/>
              <w:rPr>
                <w:rFonts w:ascii="Times New Roman" w:hAnsi="Times New Roman" w:cs="Times New Roman"/>
                <w:sz w:val="24"/>
                <w:szCs w:val="24"/>
              </w:rPr>
            </w:pPr>
            <w:r w:rsidRPr="00AB7957">
              <w:rPr>
                <w:rFonts w:ascii="Times New Roman" w:hAnsi="Times New Roman" w:cs="Times New Roman"/>
                <w:sz w:val="24"/>
                <w:szCs w:val="24"/>
              </w:rPr>
              <w:t>Jungiama prie pakuotės per aštrų antgalį.</w:t>
            </w:r>
          </w:p>
        </w:tc>
        <w:tc>
          <w:tcPr>
            <w:tcW w:w="2835" w:type="dxa"/>
            <w:tcBorders>
              <w:top w:val="single" w:sz="4" w:space="0" w:color="auto"/>
              <w:left w:val="single" w:sz="4" w:space="0" w:color="auto"/>
              <w:bottom w:val="single" w:sz="4" w:space="0" w:color="auto"/>
              <w:right w:val="single" w:sz="4" w:space="0" w:color="auto"/>
            </w:tcBorders>
          </w:tcPr>
          <w:p w14:paraId="7223F1F4" w14:textId="40139F7A" w:rsidR="005553ED" w:rsidRPr="005553ED" w:rsidRDefault="005553ED" w:rsidP="005553ED">
            <w:pPr>
              <w:spacing w:after="0"/>
              <w:jc w:val="center"/>
              <w:rPr>
                <w:rFonts w:ascii="Times New Roman" w:hAnsi="Times New Roman" w:cs="Times New Roman"/>
                <w:iCs/>
                <w:sz w:val="24"/>
                <w:szCs w:val="24"/>
              </w:rPr>
            </w:pPr>
            <w:r w:rsidRPr="005553ED">
              <w:rPr>
                <w:rFonts w:ascii="Times New Roman" w:hAnsi="Times New Roman" w:cs="Times New Roman"/>
                <w:iCs/>
                <w:noProof/>
                <w:sz w:val="24"/>
                <w:szCs w:val="24"/>
              </w:rPr>
              <w:t>Taip arba Ne</w:t>
            </w:r>
          </w:p>
        </w:tc>
      </w:tr>
    </w:tbl>
    <w:p w14:paraId="4C30E755" w14:textId="77777777" w:rsidR="00587F60" w:rsidRPr="00587F60" w:rsidRDefault="00587F60" w:rsidP="00587F60">
      <w:pPr>
        <w:rPr>
          <w:rFonts w:ascii="Times New Roman" w:hAnsi="Times New Roman" w:cs="Times New Roman"/>
        </w:rPr>
      </w:pPr>
    </w:p>
    <w:p w14:paraId="5C2A175A" w14:textId="4FA7D9A0" w:rsidR="008B7F90" w:rsidRPr="00861052" w:rsidRDefault="00861052" w:rsidP="00861052">
      <w:pPr>
        <w:pStyle w:val="Sraopastraipa"/>
        <w:ind w:left="0"/>
      </w:pPr>
      <w:r>
        <w:rPr>
          <w:b/>
          <w:bCs/>
          <w:i/>
          <w:noProof/>
          <w:szCs w:val="24"/>
        </w:rPr>
        <w:t>*pildo tiekėjas teikiantis pasiūlymą</w:t>
      </w:r>
    </w:p>
    <w:p w14:paraId="1F85171F" w14:textId="77777777" w:rsidR="0048666D" w:rsidRDefault="0048666D" w:rsidP="00451CB6">
      <w:pPr>
        <w:rPr>
          <w:rFonts w:ascii="Times New Roman" w:hAnsi="Times New Roman" w:cs="Times New Roman"/>
        </w:rPr>
      </w:pPr>
    </w:p>
    <w:p w14:paraId="2F6A5B0A" w14:textId="77777777" w:rsidR="0048666D" w:rsidRDefault="0048666D" w:rsidP="00451CB6">
      <w:pPr>
        <w:rPr>
          <w:rFonts w:ascii="Times New Roman" w:hAnsi="Times New Roman" w:cs="Times New Roman"/>
        </w:rPr>
      </w:pPr>
    </w:p>
    <w:p w14:paraId="3216DFD7" w14:textId="77777777" w:rsidR="0048666D" w:rsidRDefault="0048666D" w:rsidP="00451CB6">
      <w:pPr>
        <w:rPr>
          <w:rFonts w:ascii="Times New Roman" w:hAnsi="Times New Roman" w:cs="Times New Roman"/>
        </w:rPr>
      </w:pPr>
    </w:p>
    <w:p w14:paraId="43101530" w14:textId="77777777" w:rsidR="0048666D" w:rsidRDefault="0048666D" w:rsidP="00451CB6">
      <w:pPr>
        <w:rPr>
          <w:rFonts w:ascii="Times New Roman" w:hAnsi="Times New Roman" w:cs="Times New Roman"/>
        </w:rPr>
      </w:pPr>
    </w:p>
    <w:p w14:paraId="028C48B5" w14:textId="77777777" w:rsidR="00093DE9" w:rsidRDefault="00093DE9" w:rsidP="00451CB6">
      <w:pPr>
        <w:rPr>
          <w:rFonts w:ascii="Times New Roman" w:hAnsi="Times New Roman" w:cs="Times New Roman"/>
        </w:rPr>
      </w:pPr>
    </w:p>
    <w:p w14:paraId="299C4A16" w14:textId="77777777" w:rsidR="00093DE9" w:rsidRDefault="00093DE9" w:rsidP="00451CB6">
      <w:pPr>
        <w:rPr>
          <w:rFonts w:ascii="Times New Roman" w:hAnsi="Times New Roman" w:cs="Times New Roman"/>
        </w:rPr>
      </w:pPr>
    </w:p>
    <w:p w14:paraId="171D27DE" w14:textId="77777777" w:rsidR="00093DE9" w:rsidRDefault="00093DE9" w:rsidP="00451CB6">
      <w:pPr>
        <w:rPr>
          <w:rFonts w:ascii="Times New Roman" w:hAnsi="Times New Roman" w:cs="Times New Roman"/>
        </w:rPr>
      </w:pPr>
    </w:p>
    <w:p w14:paraId="14A4B8E2" w14:textId="77777777" w:rsidR="00093DE9" w:rsidRDefault="00093DE9" w:rsidP="00451CB6">
      <w:pPr>
        <w:rPr>
          <w:rFonts w:ascii="Times New Roman" w:hAnsi="Times New Roman" w:cs="Times New Roman"/>
        </w:rPr>
      </w:pPr>
    </w:p>
    <w:p w14:paraId="7EFC5635" w14:textId="77777777" w:rsidR="00093DE9" w:rsidRDefault="00093DE9" w:rsidP="00451CB6">
      <w:pPr>
        <w:rPr>
          <w:rFonts w:ascii="Times New Roman" w:hAnsi="Times New Roman" w:cs="Times New Roman"/>
        </w:rPr>
      </w:pPr>
    </w:p>
    <w:p w14:paraId="381A61DF" w14:textId="77777777" w:rsidR="00093DE9" w:rsidRDefault="00093DE9" w:rsidP="00451CB6">
      <w:pPr>
        <w:rPr>
          <w:rFonts w:ascii="Times New Roman" w:hAnsi="Times New Roman" w:cs="Times New Roman"/>
        </w:rPr>
      </w:pPr>
    </w:p>
    <w:p w14:paraId="3CC68C9F" w14:textId="77777777" w:rsidR="00093DE9" w:rsidRDefault="00093DE9" w:rsidP="00451CB6">
      <w:pPr>
        <w:rPr>
          <w:rFonts w:ascii="Times New Roman" w:hAnsi="Times New Roman" w:cs="Times New Roman"/>
        </w:rPr>
      </w:pPr>
    </w:p>
    <w:p w14:paraId="27E3A775" w14:textId="77777777" w:rsidR="00093DE9" w:rsidRDefault="00093DE9" w:rsidP="00451CB6">
      <w:pPr>
        <w:rPr>
          <w:rFonts w:ascii="Times New Roman" w:hAnsi="Times New Roman" w:cs="Times New Roman"/>
        </w:rPr>
      </w:pPr>
    </w:p>
    <w:p w14:paraId="74655E63" w14:textId="77777777" w:rsidR="00093DE9" w:rsidRDefault="00093DE9" w:rsidP="00451CB6">
      <w:pPr>
        <w:rPr>
          <w:rFonts w:ascii="Times New Roman" w:hAnsi="Times New Roman" w:cs="Times New Roman"/>
        </w:rPr>
      </w:pPr>
    </w:p>
    <w:p w14:paraId="72892870" w14:textId="77777777" w:rsidR="00093DE9" w:rsidRDefault="00093DE9" w:rsidP="00451CB6">
      <w:pPr>
        <w:rPr>
          <w:rFonts w:ascii="Times New Roman" w:hAnsi="Times New Roman" w:cs="Times New Roman"/>
        </w:rPr>
      </w:pPr>
    </w:p>
    <w:p w14:paraId="64DE3B21" w14:textId="77777777" w:rsidR="00093DE9" w:rsidRDefault="00093DE9" w:rsidP="00451CB6">
      <w:pPr>
        <w:rPr>
          <w:rFonts w:ascii="Times New Roman" w:hAnsi="Times New Roman" w:cs="Times New Roman"/>
        </w:rPr>
      </w:pPr>
    </w:p>
    <w:p w14:paraId="5F1CEC20" w14:textId="349EAB7B" w:rsidR="008B7F90" w:rsidRPr="006D056C" w:rsidRDefault="005553ED"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 xml:space="preserve">VšĮ Šiaulių ilgalaikio gydymo ir </w:t>
            </w:r>
            <w:proofErr w:type="spellStart"/>
            <w:r w:rsidRPr="006D056C">
              <w:rPr>
                <w:rFonts w:eastAsia="Lucida Sans Unicode"/>
                <w:sz w:val="24"/>
                <w:szCs w:val="24"/>
              </w:rPr>
              <w:t>geriatrijos</w:t>
            </w:r>
            <w:proofErr w:type="spellEnd"/>
            <w:r w:rsidRPr="006D056C">
              <w:rPr>
                <w:rFonts w:eastAsia="Lucida Sans Unicode"/>
                <w:sz w:val="24"/>
                <w:szCs w:val="24"/>
              </w:rPr>
              <w:t xml:space="preserve">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0E847489"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48666D">
        <w:rPr>
          <w:rFonts w:ascii="Times New Roman" w:eastAsia="Lucida Sans Unicode" w:hAnsi="Times New Roman" w:cs="Times New Roman"/>
          <w:b/>
          <w:sz w:val="24"/>
          <w:szCs w:val="24"/>
          <w14:ligatures w14:val="none"/>
        </w:rPr>
        <w:t>VIENKARTINIŲ MEDICININIŲ PRIEMONIŲ</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7316AB31"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02599E">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5553ED" w:rsidRPr="006D056C" w14:paraId="34A87044" w14:textId="77777777" w:rsidTr="0097649E">
        <w:trPr>
          <w:trHeight w:val="1151"/>
          <w:jc w:val="center"/>
        </w:trPr>
        <w:tc>
          <w:tcPr>
            <w:tcW w:w="1080" w:type="dxa"/>
          </w:tcPr>
          <w:p w14:paraId="3479FA9E" w14:textId="77777777" w:rsidR="005553ED" w:rsidRPr="006D056C" w:rsidRDefault="005553ED" w:rsidP="005553ED">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46904FCC" w14:textId="20B92BAD" w:rsidR="005553ED" w:rsidRPr="005553ED" w:rsidRDefault="005553ED" w:rsidP="005553ED">
            <w:pPr>
              <w:rPr>
                <w:rFonts w:ascii="Times New Roman" w:hAnsi="Times New Roman" w:cs="Times New Roman"/>
                <w:sz w:val="24"/>
                <w:szCs w:val="24"/>
              </w:rPr>
            </w:pPr>
            <w:r w:rsidRPr="00AB7957">
              <w:rPr>
                <w:rFonts w:ascii="Times New Roman" w:hAnsi="Times New Roman" w:cs="Times New Roman"/>
                <w:sz w:val="24"/>
                <w:szCs w:val="24"/>
              </w:rPr>
              <w:t>Maitinimo sistema</w:t>
            </w:r>
            <w:r>
              <w:rPr>
                <w:rFonts w:ascii="Times New Roman" w:hAnsi="Times New Roman" w:cs="Times New Roman"/>
                <w:sz w:val="24"/>
                <w:szCs w:val="24"/>
              </w:rPr>
              <w:t xml:space="preserve">, </w:t>
            </w:r>
            <w:r w:rsidRPr="00AB7957">
              <w:rPr>
                <w:rFonts w:ascii="Times New Roman" w:hAnsi="Times New Roman" w:cs="Times New Roman"/>
                <w:sz w:val="24"/>
                <w:szCs w:val="24"/>
              </w:rPr>
              <w:t xml:space="preserve">skirta </w:t>
            </w:r>
            <w:proofErr w:type="spellStart"/>
            <w:r w:rsidRPr="00AB7957">
              <w:rPr>
                <w:rFonts w:ascii="Times New Roman" w:hAnsi="Times New Roman" w:cs="Times New Roman"/>
                <w:sz w:val="24"/>
                <w:szCs w:val="24"/>
              </w:rPr>
              <w:t>enterinio</w:t>
            </w:r>
            <w:proofErr w:type="spellEnd"/>
            <w:r w:rsidRPr="00AB7957">
              <w:rPr>
                <w:rFonts w:ascii="Times New Roman" w:hAnsi="Times New Roman" w:cs="Times New Roman"/>
                <w:sz w:val="24"/>
                <w:szCs w:val="24"/>
              </w:rPr>
              <w:t xml:space="preserve"> mišinio lašinimui gravitacinio būdo pagalba</w:t>
            </w:r>
          </w:p>
        </w:tc>
        <w:tc>
          <w:tcPr>
            <w:tcW w:w="939" w:type="dxa"/>
          </w:tcPr>
          <w:p w14:paraId="29521B21" w14:textId="65D9A783" w:rsidR="005553ED" w:rsidRPr="008F2250" w:rsidRDefault="005553ED" w:rsidP="005553ED">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4DE7888B" w14:textId="65260922" w:rsidR="005553ED" w:rsidRPr="008F2250" w:rsidRDefault="005553ED" w:rsidP="005553ED">
            <w:pPr>
              <w:jc w:val="center"/>
              <w:rPr>
                <w:rFonts w:ascii="Times New Roman" w:hAnsi="Times New Roman" w:cs="Times New Roman"/>
                <w:noProof/>
                <w:sz w:val="24"/>
                <w:szCs w:val="24"/>
              </w:rPr>
            </w:pPr>
            <w:r>
              <w:rPr>
                <w:rFonts w:ascii="Times New Roman" w:hAnsi="Times New Roman" w:cs="Times New Roman"/>
                <w:noProof/>
                <w:sz w:val="24"/>
                <w:szCs w:val="24"/>
              </w:rPr>
              <w:t>3</w:t>
            </w:r>
            <w:r w:rsidR="00093DE9">
              <w:rPr>
                <w:rFonts w:ascii="Times New Roman" w:hAnsi="Times New Roman" w:cs="Times New Roman"/>
                <w:noProof/>
                <w:sz w:val="24"/>
                <w:szCs w:val="24"/>
              </w:rPr>
              <w:t>3</w:t>
            </w:r>
            <w:r>
              <w:rPr>
                <w:rFonts w:ascii="Times New Roman" w:hAnsi="Times New Roman" w:cs="Times New Roman"/>
                <w:noProof/>
                <w:sz w:val="24"/>
                <w:szCs w:val="24"/>
              </w:rPr>
              <w:t>0</w:t>
            </w:r>
          </w:p>
        </w:tc>
        <w:tc>
          <w:tcPr>
            <w:tcW w:w="1475" w:type="dxa"/>
            <w:vAlign w:val="center"/>
          </w:tcPr>
          <w:p w14:paraId="466E283E" w14:textId="77777777" w:rsidR="005553ED" w:rsidRPr="008F2250" w:rsidRDefault="005553ED" w:rsidP="005553ED">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5553ED" w:rsidRPr="008F2250" w:rsidRDefault="005553ED" w:rsidP="005553ED">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078C57F5"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02599E">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5553ED">
      <w:pPr>
        <w:widowControl w:val="0"/>
        <w:numPr>
          <w:ilvl w:val="1"/>
          <w:numId w:val="4"/>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5553ED">
      <w:pPr>
        <w:widowControl w:val="0"/>
        <w:numPr>
          <w:ilvl w:val="0"/>
          <w:numId w:val="4"/>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 xml:space="preserve">Ar dokumente yra konfidencialios </w:t>
            </w:r>
            <w:r w:rsidRPr="006D056C">
              <w:rPr>
                <w:rFonts w:eastAsia="Lucida Sans Unicode"/>
                <w:b/>
                <w:bCs/>
                <w:sz w:val="24"/>
                <w:szCs w:val="24"/>
              </w:rPr>
              <w:lastRenderedPageBreak/>
              <w:t>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 xml:space="preserve">Paaiškinimas, kokia konkreti informacija </w:t>
            </w:r>
            <w:r w:rsidRPr="006D056C">
              <w:rPr>
                <w:rFonts w:eastAsia="Lucida Sans Unicode"/>
                <w:b/>
                <w:bCs/>
                <w:sz w:val="24"/>
                <w:szCs w:val="24"/>
              </w:rPr>
              <w:lastRenderedPageBreak/>
              <w:t>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lastRenderedPageBreak/>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5553ED">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5553ED">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5553ED">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5553ED">
      <w:pPr>
        <w:widowControl w:val="0"/>
        <w:numPr>
          <w:ilvl w:val="0"/>
          <w:numId w:val="3"/>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265F33">
      <w:pPr>
        <w:tabs>
          <w:tab w:val="left" w:pos="7230"/>
        </w:tabs>
        <w:spacing w:after="0" w:line="240" w:lineRule="auto"/>
        <w:ind w:right="282"/>
        <w:rPr>
          <w:rFonts w:ascii="Times New Roman" w:hAnsi="Times New Roman" w:cs="Times New Roman"/>
          <w:sz w:val="24"/>
          <w:szCs w:val="24"/>
        </w:rPr>
      </w:pPr>
    </w:p>
    <w:p w14:paraId="516BBFF2" w14:textId="77777777" w:rsidR="00093DE9" w:rsidRDefault="00093DE9" w:rsidP="00265F33">
      <w:pPr>
        <w:tabs>
          <w:tab w:val="left" w:pos="7230"/>
        </w:tabs>
        <w:spacing w:after="0" w:line="240" w:lineRule="auto"/>
        <w:ind w:right="282"/>
        <w:rPr>
          <w:rFonts w:ascii="Times New Roman" w:hAnsi="Times New Roman" w:cs="Times New Roman"/>
          <w:sz w:val="24"/>
          <w:szCs w:val="24"/>
        </w:rPr>
      </w:pPr>
    </w:p>
    <w:p w14:paraId="423E6E86" w14:textId="77777777" w:rsidR="00093DE9" w:rsidRDefault="00093DE9" w:rsidP="00265F33">
      <w:pPr>
        <w:tabs>
          <w:tab w:val="left" w:pos="7230"/>
        </w:tabs>
        <w:spacing w:after="0" w:line="240" w:lineRule="auto"/>
        <w:ind w:right="282"/>
        <w:rPr>
          <w:rFonts w:ascii="Times New Roman" w:hAnsi="Times New Roman" w:cs="Times New Roman"/>
          <w:sz w:val="24"/>
          <w:szCs w:val="24"/>
        </w:rPr>
      </w:pPr>
    </w:p>
    <w:p w14:paraId="07717F4D" w14:textId="77777777" w:rsidR="00093DE9" w:rsidRDefault="00093DE9" w:rsidP="00265F33">
      <w:pPr>
        <w:tabs>
          <w:tab w:val="left" w:pos="7230"/>
        </w:tabs>
        <w:spacing w:after="0" w:line="240" w:lineRule="auto"/>
        <w:ind w:right="282"/>
        <w:rPr>
          <w:rFonts w:ascii="Times New Roman" w:hAnsi="Times New Roman" w:cs="Times New Roman"/>
          <w:sz w:val="24"/>
          <w:szCs w:val="24"/>
        </w:rPr>
      </w:pPr>
    </w:p>
    <w:p w14:paraId="6EBA7A61" w14:textId="77777777" w:rsidR="00093DE9" w:rsidRDefault="00093DE9" w:rsidP="00265F33">
      <w:pPr>
        <w:tabs>
          <w:tab w:val="left" w:pos="7230"/>
        </w:tabs>
        <w:spacing w:after="0" w:line="240" w:lineRule="auto"/>
        <w:ind w:right="282"/>
        <w:rPr>
          <w:rFonts w:ascii="Times New Roman" w:hAnsi="Times New Roman" w:cs="Times New Roman"/>
          <w:sz w:val="24"/>
          <w:szCs w:val="24"/>
        </w:rPr>
      </w:pPr>
    </w:p>
    <w:p w14:paraId="2B63A1A5" w14:textId="77777777" w:rsidR="00093DE9" w:rsidRDefault="00093DE9" w:rsidP="00265F33">
      <w:pPr>
        <w:tabs>
          <w:tab w:val="left" w:pos="7230"/>
        </w:tabs>
        <w:spacing w:after="0" w:line="240" w:lineRule="auto"/>
        <w:ind w:right="282"/>
        <w:rPr>
          <w:rFonts w:ascii="Times New Roman" w:hAnsi="Times New Roman" w:cs="Times New Roman"/>
          <w:sz w:val="24"/>
          <w:szCs w:val="24"/>
        </w:rPr>
      </w:pPr>
    </w:p>
    <w:p w14:paraId="49B111B8" w14:textId="77777777" w:rsidR="00093DE9" w:rsidRDefault="00093DE9" w:rsidP="00265F33">
      <w:pPr>
        <w:tabs>
          <w:tab w:val="left" w:pos="7230"/>
        </w:tabs>
        <w:spacing w:after="0" w:line="240" w:lineRule="auto"/>
        <w:ind w:right="282"/>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13439F45" w14:textId="77777777" w:rsidR="000C43D6" w:rsidRDefault="000C43D6" w:rsidP="009748B5">
      <w:pPr>
        <w:tabs>
          <w:tab w:val="left" w:pos="7230"/>
        </w:tabs>
        <w:spacing w:after="0" w:line="240" w:lineRule="auto"/>
        <w:ind w:left="6237" w:right="282"/>
        <w:jc w:val="right"/>
        <w:rPr>
          <w:rFonts w:ascii="Times New Roman" w:hAnsi="Times New Roman" w:cs="Times New Roman"/>
          <w:sz w:val="24"/>
          <w:szCs w:val="24"/>
        </w:rPr>
      </w:pPr>
    </w:p>
    <w:p w14:paraId="0A158F14" w14:textId="77777777" w:rsidR="000C43D6" w:rsidRDefault="000C43D6" w:rsidP="009748B5">
      <w:pPr>
        <w:tabs>
          <w:tab w:val="left" w:pos="7230"/>
        </w:tabs>
        <w:spacing w:after="0" w:line="240" w:lineRule="auto"/>
        <w:ind w:left="6237" w:right="282"/>
        <w:jc w:val="right"/>
        <w:rPr>
          <w:rFonts w:ascii="Times New Roman" w:hAnsi="Times New Roman" w:cs="Times New Roman"/>
          <w:sz w:val="24"/>
          <w:szCs w:val="24"/>
        </w:rPr>
      </w:pPr>
    </w:p>
    <w:p w14:paraId="4BF14E60" w14:textId="77777777" w:rsidR="000C43D6" w:rsidRDefault="000C43D6" w:rsidP="009748B5">
      <w:pPr>
        <w:tabs>
          <w:tab w:val="left" w:pos="7230"/>
        </w:tabs>
        <w:spacing w:after="0" w:line="240" w:lineRule="auto"/>
        <w:ind w:left="6237" w:right="282"/>
        <w:jc w:val="right"/>
        <w:rPr>
          <w:rFonts w:ascii="Times New Roman" w:hAnsi="Times New Roman" w:cs="Times New Roman"/>
          <w:sz w:val="24"/>
          <w:szCs w:val="24"/>
        </w:rPr>
      </w:pPr>
    </w:p>
    <w:p w14:paraId="5A454F97" w14:textId="03588FDF"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PROEJKTAS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w:t>
      </w:r>
      <w:proofErr w:type="spellStart"/>
      <w:r w:rsidRPr="00281836">
        <w:rPr>
          <w:rFonts w:ascii="Times New Roman" w:eastAsia="Arial Unicode MS" w:hAnsi="Times New Roman" w:cs="Times New Roman"/>
          <w:color w:val="000000"/>
          <w:sz w:val="24"/>
          <w:szCs w:val="24"/>
          <w:lang w:eastAsia="zh-CN"/>
        </w:rPr>
        <w:t>as</w:t>
      </w:r>
      <w:proofErr w:type="spellEnd"/>
      <w:r w:rsidRPr="00281836">
        <w:rPr>
          <w:rFonts w:ascii="Times New Roman" w:eastAsia="Arial Unicode MS" w:hAnsi="Times New Roman" w:cs="Times New Roman"/>
          <w:color w:val="000000"/>
          <w:sz w:val="24"/>
          <w:szCs w:val="24"/>
          <w:lang w:eastAsia="zh-CN"/>
        </w:rPr>
        <w:t>) ………………………………… (pareigos, vardas, pavardė), veikiančio (-</w:t>
      </w:r>
      <w:proofErr w:type="spellStart"/>
      <w:r w:rsidRPr="00281836">
        <w:rPr>
          <w:rFonts w:ascii="Times New Roman" w:eastAsia="Arial Unicode MS" w:hAnsi="Times New Roman" w:cs="Times New Roman"/>
          <w:color w:val="000000"/>
          <w:sz w:val="24"/>
          <w:szCs w:val="24"/>
          <w:lang w:eastAsia="zh-CN"/>
        </w:rPr>
        <w:t>ios</w:t>
      </w:r>
      <w:proofErr w:type="spellEnd"/>
      <w:r w:rsidRPr="00281836">
        <w:rPr>
          <w:rFonts w:ascii="Times New Roman" w:eastAsia="Arial Unicode MS" w:hAnsi="Times New Roman" w:cs="Times New Roman"/>
          <w:color w:val="000000"/>
          <w:sz w:val="24"/>
          <w:szCs w:val="24"/>
          <w:lang w:eastAsia="zh-CN"/>
        </w:rPr>
        <w:t>)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5C09F346" w:rsidR="009748B5" w:rsidRPr="00281836" w:rsidRDefault="009748B5" w:rsidP="005553ED">
      <w:pPr>
        <w:numPr>
          <w:ilvl w:val="1"/>
          <w:numId w:val="6"/>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0048666D">
        <w:rPr>
          <w:rFonts w:ascii="Times New Roman" w:hAnsi="Times New Roman" w:cs="Times New Roman"/>
          <w:i/>
          <w:iCs/>
          <w:sz w:val="24"/>
          <w:szCs w:val="24"/>
        </w:rPr>
        <w:t>vienkartinės medicininės priemonės</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w:t>
      </w:r>
      <w:r w:rsidR="0048666D">
        <w:rPr>
          <w:rFonts w:ascii="Times New Roman" w:eastAsia="SimSun" w:hAnsi="Times New Roman" w:cs="Times New Roman"/>
          <w:bCs/>
          <w:sz w:val="24"/>
          <w:szCs w:val="24"/>
          <w:bdr w:val="none" w:sz="0" w:space="0" w:color="auto" w:frame="1"/>
          <w:lang w:eastAsia="zh-CN" w:bidi="hi-IN"/>
        </w:rPr>
        <w:t>čios</w:t>
      </w:r>
      <w:r w:rsidRPr="00281836">
        <w:rPr>
          <w:rFonts w:ascii="Times New Roman" w:eastAsia="SimSun" w:hAnsi="Times New Roman" w:cs="Times New Roman"/>
          <w:bCs/>
          <w:sz w:val="24"/>
          <w:szCs w:val="24"/>
          <w:bdr w:val="none" w:sz="0" w:space="0" w:color="auto" w:frame="1"/>
          <w:lang w:eastAsia="zh-CN" w:bidi="hi-IN"/>
        </w:rPr>
        <w:t xml:space="preserve">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5553ED">
      <w:pPr>
        <w:pStyle w:val="Sraopastraipa"/>
        <w:numPr>
          <w:ilvl w:val="1"/>
          <w:numId w:val="6"/>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5553ED">
      <w:pPr>
        <w:numPr>
          <w:ilvl w:val="1"/>
          <w:numId w:val="6"/>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5553ED">
      <w:pPr>
        <w:numPr>
          <w:ilvl w:val="1"/>
          <w:numId w:val="7"/>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5553ED">
      <w:pPr>
        <w:pStyle w:val="Sraopastraipa"/>
        <w:numPr>
          <w:ilvl w:val="1"/>
          <w:numId w:val="7"/>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5553ED">
      <w:pPr>
        <w:numPr>
          <w:ilvl w:val="1"/>
          <w:numId w:val="8"/>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5553ED">
      <w:pPr>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5553ED">
      <w:pPr>
        <w:numPr>
          <w:ilvl w:val="1"/>
          <w:numId w:val="8"/>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5553ED">
      <w:pPr>
        <w:numPr>
          <w:ilvl w:val="1"/>
          <w:numId w:val="8"/>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5553ED">
      <w:pPr>
        <w:numPr>
          <w:ilvl w:val="1"/>
          <w:numId w:val="8"/>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w:t>
      </w:r>
      <w:r w:rsidRPr="00281836">
        <w:rPr>
          <w:rFonts w:ascii="Times New Roman" w:eastAsia="SimSun" w:hAnsi="Times New Roman" w:cs="Times New Roman"/>
          <w:sz w:val="24"/>
          <w:szCs w:val="24"/>
          <w:bdr w:val="none" w:sz="0" w:space="0" w:color="auto" w:frame="1"/>
          <w:lang w:eastAsia="zh-CN" w:bidi="hi-IN"/>
        </w:rPr>
        <w:lastRenderedPageBreak/>
        <w:t xml:space="preserve">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000000"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lastRenderedPageBreak/>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5553ED">
      <w:pPr>
        <w:widowControl w:val="0"/>
        <w:numPr>
          <w:ilvl w:val="1"/>
          <w:numId w:val="9"/>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5553ED">
      <w:pPr>
        <w:widowControl w:val="0"/>
        <w:numPr>
          <w:ilvl w:val="1"/>
          <w:numId w:val="9"/>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281836">
        <w:rPr>
          <w:rFonts w:ascii="Times New Roman" w:eastAsia="Arial Unicode MS" w:hAnsi="Times New Roman" w:cs="Times New Roman"/>
          <w:iCs/>
          <w:sz w:val="24"/>
          <w:szCs w:val="24"/>
          <w:bdr w:val="none" w:sz="0" w:space="0" w:color="auto" w:frame="1"/>
        </w:rPr>
        <w:lastRenderedPageBreak/>
        <w:t>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796A72DE" w14:textId="77777777" w:rsidR="0048666D" w:rsidRDefault="009748B5" w:rsidP="0048666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07BA242" w14:textId="77777777" w:rsidR="0048666D" w:rsidRDefault="0048666D" w:rsidP="0048666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03C5A5F0" w:rsidR="009748B5" w:rsidRPr="0048666D" w:rsidRDefault="009748B5" w:rsidP="0048666D">
      <w:pPr>
        <w:suppressAutoHyphens/>
        <w:autoSpaceDN w:val="0"/>
        <w:spacing w:after="0" w:line="240" w:lineRule="auto"/>
        <w:ind w:firstLine="709"/>
        <w:jc w:val="center"/>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lastRenderedPageBreak/>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0D874676"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0C43D6">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0C43D6">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0C43D6">
        <w:rPr>
          <w:rFonts w:ascii="Times New Roman" w:eastAsia="SimSun" w:hAnsi="Times New Roman" w:cs="Times New Roman"/>
          <w:color w:val="000000"/>
          <w:sz w:val="24"/>
          <w:szCs w:val="24"/>
          <w:bdr w:val="none" w:sz="0" w:space="0" w:color="auto" w:frame="1"/>
          <w:lang w:eastAsia="zh-CN" w:bidi="hi-IN"/>
        </w:rPr>
        <w:t>ų.</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 xml:space="preserve">Violeta </w:t>
            </w:r>
            <w:proofErr w:type="spellStart"/>
            <w:r w:rsidRPr="00F571F9">
              <w:rPr>
                <w:rFonts w:ascii="Times New Roman" w:eastAsia="SimSun" w:hAnsi="Times New Roman" w:cs="Times New Roman"/>
                <w:sz w:val="24"/>
                <w:szCs w:val="24"/>
                <w:bdr w:val="none" w:sz="0" w:space="0" w:color="auto" w:frame="1"/>
                <w:lang w:eastAsia="zh-CN" w:bidi="hi-IN"/>
              </w:rPr>
              <w:t>Eitutytė</w:t>
            </w:r>
            <w:proofErr w:type="spellEnd"/>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5B1EF317"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w:t>
            </w:r>
            <w:r w:rsidRPr="00093DE9">
              <w:rPr>
                <w:rFonts w:ascii="Times New Roman" w:eastAsia="Times New Roman" w:hAnsi="Times New Roman" w:cs="Times New Roman"/>
                <w:bCs/>
                <w:sz w:val="32"/>
                <w:szCs w:val="32"/>
                <w:bdr w:val="none" w:sz="0" w:space="0" w:color="auto" w:frame="1"/>
                <w:lang w:eastAsia="zh-CN" w:bidi="hi-IN"/>
              </w:rPr>
              <w:t xml:space="preserve"> </w:t>
            </w:r>
            <w:r w:rsidR="00093DE9" w:rsidRPr="00093DE9">
              <w:rPr>
                <w:rFonts w:ascii="Times New Roman" w:hAnsi="Times New Roman"/>
                <w:bCs/>
                <w:sz w:val="24"/>
                <w:szCs w:val="24"/>
              </w:rPr>
              <w:t>671 14565</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VšĮ Šiaulių </w:t>
            </w:r>
            <w:proofErr w:type="spellStart"/>
            <w:r w:rsidRPr="00281836">
              <w:rPr>
                <w:rFonts w:ascii="Times New Roman" w:eastAsia="Calibri" w:hAnsi="Times New Roman" w:cs="Times New Roman"/>
                <w:color w:val="000000"/>
                <w:sz w:val="24"/>
                <w:szCs w:val="24"/>
                <w:lang w:eastAsia="lt-LT"/>
              </w:rPr>
              <w:t>ilgalikio</w:t>
            </w:r>
            <w:proofErr w:type="spellEnd"/>
            <w:r w:rsidRPr="00281836">
              <w:rPr>
                <w:rFonts w:ascii="Times New Roman" w:eastAsia="Calibri" w:hAnsi="Times New Roman" w:cs="Times New Roman"/>
                <w:color w:val="000000"/>
                <w:sz w:val="24"/>
                <w:szCs w:val="24"/>
                <w:lang w:eastAsia="lt-LT"/>
              </w:rPr>
              <w:t xml:space="preserve"> gydymo ir </w:t>
            </w:r>
            <w:proofErr w:type="spellStart"/>
            <w:r w:rsidRPr="00281836">
              <w:rPr>
                <w:rFonts w:ascii="Times New Roman" w:eastAsia="Calibri" w:hAnsi="Times New Roman" w:cs="Times New Roman"/>
                <w:color w:val="000000"/>
                <w:sz w:val="24"/>
                <w:szCs w:val="24"/>
                <w:lang w:eastAsia="lt-LT"/>
              </w:rPr>
              <w:t>geriatrijos</w:t>
            </w:r>
            <w:proofErr w:type="spellEnd"/>
            <w:r w:rsidRPr="00281836">
              <w:rPr>
                <w:rFonts w:ascii="Times New Roman" w:eastAsia="Calibri" w:hAnsi="Times New Roman" w:cs="Times New Roman"/>
                <w:color w:val="000000"/>
                <w:sz w:val="24"/>
                <w:szCs w:val="24"/>
                <w:lang w:eastAsia="lt-LT"/>
              </w:rPr>
              <w:t xml:space="preserve">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Inga </w:t>
            </w:r>
            <w:proofErr w:type="spellStart"/>
            <w:r w:rsidRPr="00281836">
              <w:rPr>
                <w:rFonts w:ascii="Times New Roman" w:eastAsia="Calibri" w:hAnsi="Times New Roman" w:cs="Times New Roman"/>
                <w:sz w:val="24"/>
                <w:szCs w:val="24"/>
                <w:lang w:eastAsia="lt-LT"/>
              </w:rPr>
              <w:t>Tamosinaitė</w:t>
            </w:r>
            <w:proofErr w:type="spellEnd"/>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Bankas, </w:t>
            </w:r>
            <w:proofErr w:type="spellStart"/>
            <w:r w:rsidRPr="00281836">
              <w:rPr>
                <w:rFonts w:ascii="Times New Roman" w:eastAsia="Calibri" w:hAnsi="Times New Roman" w:cs="Times New Roman"/>
                <w:sz w:val="24"/>
                <w:szCs w:val="24"/>
                <w:lang w:eastAsia="lt-LT"/>
              </w:rPr>
              <w:t>b.k</w:t>
            </w:r>
            <w:proofErr w:type="spellEnd"/>
            <w:r w:rsidRPr="00281836">
              <w:rPr>
                <w:rFonts w:ascii="Times New Roman" w:eastAsia="Calibri" w:hAnsi="Times New Roman" w:cs="Times New Roman"/>
                <w:sz w:val="24"/>
                <w:szCs w:val="24"/>
                <w:lang w:eastAsia="lt-LT"/>
              </w:rPr>
              <w:t>.</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1B5AE4B0" w14:textId="77777777" w:rsidR="00AF3465" w:rsidRDefault="00AF3465" w:rsidP="0048666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E843" w14:textId="77777777" w:rsidR="00EE7E62" w:rsidRDefault="00EE7E62" w:rsidP="00BE68E4">
      <w:pPr>
        <w:spacing w:after="0" w:line="240" w:lineRule="auto"/>
      </w:pPr>
      <w:r>
        <w:separator/>
      </w:r>
    </w:p>
  </w:endnote>
  <w:endnote w:type="continuationSeparator" w:id="0">
    <w:p w14:paraId="4212DABC" w14:textId="77777777" w:rsidR="00EE7E62" w:rsidRDefault="00EE7E62"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A1EC" w14:textId="77777777" w:rsidR="00EE7E62" w:rsidRDefault="00EE7E62" w:rsidP="00BE68E4">
      <w:pPr>
        <w:spacing w:after="0" w:line="240" w:lineRule="auto"/>
      </w:pPr>
      <w:r>
        <w:separator/>
      </w:r>
    </w:p>
  </w:footnote>
  <w:footnote w:type="continuationSeparator" w:id="0">
    <w:p w14:paraId="2E3FB448" w14:textId="77777777" w:rsidR="00EE7E62" w:rsidRDefault="00EE7E62"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A119BA"/>
    <w:multiLevelType w:val="hybridMultilevel"/>
    <w:tmpl w:val="4AFE6CA8"/>
    <w:lvl w:ilvl="0" w:tplc="D6FC2F70">
      <w:start w:val="2"/>
      <w:numFmt w:val="bullet"/>
      <w:lvlText w:val=""/>
      <w:lvlJc w:val="left"/>
      <w:pPr>
        <w:ind w:left="1080" w:hanging="360"/>
      </w:pPr>
      <w:rPr>
        <w:rFonts w:ascii="Symbol" w:eastAsia="Calibri" w:hAnsi="Symbol" w:cs="Times New Roman" w:hint="default"/>
        <w:b/>
        <w:i/>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C77332"/>
    <w:multiLevelType w:val="hybridMultilevel"/>
    <w:tmpl w:val="C2C0E720"/>
    <w:lvl w:ilvl="0" w:tplc="68E2FE6A">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3304B6"/>
    <w:multiLevelType w:val="hybridMultilevel"/>
    <w:tmpl w:val="048005C2"/>
    <w:lvl w:ilvl="0" w:tplc="585C5108">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1931425042">
    <w:abstractNumId w:val="7"/>
  </w:num>
  <w:num w:numId="2" w16cid:durableId="1598827560">
    <w:abstractNumId w:val="6"/>
  </w:num>
  <w:num w:numId="3" w16cid:durableId="1612661166">
    <w:abstractNumId w:val="0"/>
  </w:num>
  <w:num w:numId="4" w16cid:durableId="1796362399">
    <w:abstractNumId w:val="9"/>
  </w:num>
  <w:num w:numId="5" w16cid:durableId="340159452">
    <w:abstractNumId w:val="4"/>
  </w:num>
  <w:num w:numId="6" w16cid:durableId="1249383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0362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88117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55541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196903">
    <w:abstractNumId w:val="10"/>
  </w:num>
  <w:num w:numId="11" w16cid:durableId="1593125721">
    <w:abstractNumId w:val="2"/>
  </w:num>
  <w:num w:numId="12" w16cid:durableId="527988704">
    <w:abstractNumId w:val="3"/>
  </w:num>
  <w:num w:numId="13" w16cid:durableId="17469946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3F42"/>
    <w:rsid w:val="000822F8"/>
    <w:rsid w:val="00093B4B"/>
    <w:rsid w:val="00093DE9"/>
    <w:rsid w:val="00096BCE"/>
    <w:rsid w:val="0009784F"/>
    <w:rsid w:val="000A13DE"/>
    <w:rsid w:val="000A2A50"/>
    <w:rsid w:val="000A4F9F"/>
    <w:rsid w:val="000A6D7C"/>
    <w:rsid w:val="000B648C"/>
    <w:rsid w:val="000C2E71"/>
    <w:rsid w:val="000C3D21"/>
    <w:rsid w:val="000C43D6"/>
    <w:rsid w:val="000D23D3"/>
    <w:rsid w:val="000D687A"/>
    <w:rsid w:val="000F0FAE"/>
    <w:rsid w:val="001030F8"/>
    <w:rsid w:val="00104CCA"/>
    <w:rsid w:val="00106FC1"/>
    <w:rsid w:val="001133F6"/>
    <w:rsid w:val="00114E8A"/>
    <w:rsid w:val="00117DA4"/>
    <w:rsid w:val="00120139"/>
    <w:rsid w:val="00123C24"/>
    <w:rsid w:val="0012413A"/>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F60BF"/>
    <w:rsid w:val="00201A8E"/>
    <w:rsid w:val="00203927"/>
    <w:rsid w:val="00212827"/>
    <w:rsid w:val="0021742E"/>
    <w:rsid w:val="00223561"/>
    <w:rsid w:val="00223794"/>
    <w:rsid w:val="002325A7"/>
    <w:rsid w:val="0024426B"/>
    <w:rsid w:val="002507E5"/>
    <w:rsid w:val="00257737"/>
    <w:rsid w:val="00262E3F"/>
    <w:rsid w:val="00265F33"/>
    <w:rsid w:val="00282894"/>
    <w:rsid w:val="002855A8"/>
    <w:rsid w:val="002927EA"/>
    <w:rsid w:val="002B49BF"/>
    <w:rsid w:val="002B6880"/>
    <w:rsid w:val="002B6896"/>
    <w:rsid w:val="002C1AAB"/>
    <w:rsid w:val="002C3893"/>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87E5C"/>
    <w:rsid w:val="00391025"/>
    <w:rsid w:val="00396A2B"/>
    <w:rsid w:val="00396E75"/>
    <w:rsid w:val="003A7760"/>
    <w:rsid w:val="003C1F8C"/>
    <w:rsid w:val="003C589C"/>
    <w:rsid w:val="003C7106"/>
    <w:rsid w:val="003D1108"/>
    <w:rsid w:val="003D2764"/>
    <w:rsid w:val="003D6449"/>
    <w:rsid w:val="003F3049"/>
    <w:rsid w:val="003F51CE"/>
    <w:rsid w:val="003F7402"/>
    <w:rsid w:val="003F7865"/>
    <w:rsid w:val="00411470"/>
    <w:rsid w:val="00415082"/>
    <w:rsid w:val="004217BF"/>
    <w:rsid w:val="00433017"/>
    <w:rsid w:val="0044014E"/>
    <w:rsid w:val="0044220F"/>
    <w:rsid w:val="004425BD"/>
    <w:rsid w:val="00443306"/>
    <w:rsid w:val="00443657"/>
    <w:rsid w:val="00444C03"/>
    <w:rsid w:val="0045046A"/>
    <w:rsid w:val="00450860"/>
    <w:rsid w:val="00450906"/>
    <w:rsid w:val="00451CB6"/>
    <w:rsid w:val="00454C5F"/>
    <w:rsid w:val="004629CD"/>
    <w:rsid w:val="00473853"/>
    <w:rsid w:val="0047666F"/>
    <w:rsid w:val="00476DA1"/>
    <w:rsid w:val="00483E68"/>
    <w:rsid w:val="00484143"/>
    <w:rsid w:val="0048666D"/>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3ED"/>
    <w:rsid w:val="00555FE7"/>
    <w:rsid w:val="00560E2F"/>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3DCC"/>
    <w:rsid w:val="00686799"/>
    <w:rsid w:val="006B7972"/>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37B1"/>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6DA"/>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50D63"/>
    <w:rsid w:val="00851DDB"/>
    <w:rsid w:val="0085694E"/>
    <w:rsid w:val="00861052"/>
    <w:rsid w:val="008639F7"/>
    <w:rsid w:val="008666BB"/>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3339"/>
    <w:rsid w:val="00A04657"/>
    <w:rsid w:val="00A05A7F"/>
    <w:rsid w:val="00A06B16"/>
    <w:rsid w:val="00A22E1F"/>
    <w:rsid w:val="00A24491"/>
    <w:rsid w:val="00A27165"/>
    <w:rsid w:val="00A31712"/>
    <w:rsid w:val="00A41F8F"/>
    <w:rsid w:val="00A50D20"/>
    <w:rsid w:val="00A512C7"/>
    <w:rsid w:val="00A51AA9"/>
    <w:rsid w:val="00A5267B"/>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D77F5"/>
    <w:rsid w:val="00DE34C9"/>
    <w:rsid w:val="00DE7378"/>
    <w:rsid w:val="00DF0CFA"/>
    <w:rsid w:val="00DF25B1"/>
    <w:rsid w:val="00E004BE"/>
    <w:rsid w:val="00E22325"/>
    <w:rsid w:val="00E2575A"/>
    <w:rsid w:val="00E3057F"/>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E7E62"/>
    <w:rsid w:val="00EF1F68"/>
    <w:rsid w:val="00EF2DF4"/>
    <w:rsid w:val="00EF323E"/>
    <w:rsid w:val="00EF748E"/>
    <w:rsid w:val="00F02674"/>
    <w:rsid w:val="00F02982"/>
    <w:rsid w:val="00F02BDD"/>
    <w:rsid w:val="00F0309B"/>
    <w:rsid w:val="00F04D51"/>
    <w:rsid w:val="00F120D5"/>
    <w:rsid w:val="00F17CC4"/>
    <w:rsid w:val="00F210E0"/>
    <w:rsid w:val="00F219FA"/>
    <w:rsid w:val="00F31AC1"/>
    <w:rsid w:val="00F50A9C"/>
    <w:rsid w:val="00F64BC2"/>
    <w:rsid w:val="00F7527F"/>
    <w:rsid w:val="00F800F2"/>
    <w:rsid w:val="00F87BB7"/>
    <w:rsid w:val="00F9220A"/>
    <w:rsid w:val="00FA48E3"/>
    <w:rsid w:val="00FB603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21</Pages>
  <Words>39350</Words>
  <Characters>22430</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48</cp:revision>
  <dcterms:created xsi:type="dcterms:W3CDTF">2025-03-13T13:28:00Z</dcterms:created>
  <dcterms:modified xsi:type="dcterms:W3CDTF">2025-12-11T08:45:00Z</dcterms:modified>
</cp:coreProperties>
</file>