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FB710F">
              <w:rPr>
                <w:rFonts w:asciiTheme="majorHAnsi" w:hAnsiTheme="majorHAnsi"/>
                <w:sz w:val="20"/>
                <w:szCs w:val="20"/>
              </w:rPr>
              <w:t>0</w:t>
            </w:r>
            <w:r w:rsidR="00BB5E44" w:rsidRPr="00E871E0">
              <w:rPr>
                <w:rFonts w:asciiTheme="majorHAnsi" w:hAnsiTheme="majorHAnsi"/>
                <w:sz w:val="20"/>
                <w:szCs w:val="20"/>
              </w:rPr>
              <w:t xml:space="preserve"> 37) 32 63 60, (</w:t>
            </w:r>
            <w:r w:rsidR="00FB710F">
              <w:rPr>
                <w:rFonts w:asciiTheme="majorHAnsi" w:hAnsiTheme="majorHAnsi"/>
                <w:sz w:val="20"/>
                <w:szCs w:val="20"/>
              </w:rPr>
              <w:t>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w:t>
            </w:r>
            <w:r w:rsidR="00FB710F">
              <w:rPr>
                <w:rFonts w:asciiTheme="majorHAnsi" w:hAnsiTheme="majorHAnsi"/>
                <w:sz w:val="20"/>
                <w:szCs w:val="20"/>
              </w:rPr>
              <w:t>0</w:t>
            </w:r>
            <w:r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w:t>
            </w:r>
            <w:r w:rsidR="00D66BFF">
              <w:rPr>
                <w:rFonts w:asciiTheme="majorHAnsi" w:hAnsiTheme="majorHAnsi"/>
                <w:sz w:val="20"/>
                <w:szCs w:val="20"/>
              </w:rPr>
              <w:t xml:space="preserve"> </w:t>
            </w:r>
            <w:r w:rsidR="00BB5E44" w:rsidRPr="00E871E0">
              <w:rPr>
                <w:rFonts w:asciiTheme="majorHAnsi" w:hAnsiTheme="majorHAnsi"/>
                <w:sz w:val="20"/>
                <w:szCs w:val="20"/>
              </w:rPr>
              <w:t>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04743E">
            <w:pPr>
              <w:jc w:val="center"/>
              <w:rPr>
                <w:rFonts w:asciiTheme="majorHAnsi" w:hAnsiTheme="majorHAnsi"/>
                <w:b/>
                <w:sz w:val="22"/>
                <w:szCs w:val="22"/>
              </w:rPr>
            </w:pPr>
            <w:r w:rsidRPr="00E871E0">
              <w:rPr>
                <w:rFonts w:asciiTheme="majorHAnsi" w:hAnsiTheme="majorHAnsi"/>
                <w:b/>
                <w:sz w:val="22"/>
                <w:szCs w:val="22"/>
              </w:rPr>
              <w:t>„</w:t>
            </w:r>
            <w:r w:rsidR="00900E69">
              <w:rPr>
                <w:rFonts w:asciiTheme="majorHAnsi" w:hAnsiTheme="majorHAnsi"/>
                <w:b/>
                <w:color w:val="000000"/>
                <w:sz w:val="22"/>
                <w:szCs w:val="22"/>
              </w:rPr>
              <w:t>LENTYNĖLĖS NEŠIOJAMAM KOMPIUTERIUI</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900E69">
        <w:rPr>
          <w:rFonts w:asciiTheme="majorHAnsi" w:hAnsiTheme="majorHAnsi"/>
          <w:b/>
          <w:sz w:val="22"/>
          <w:szCs w:val="22"/>
        </w:rPr>
        <w:t>lentynėlių nešiojamam kompiuteriui</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900E69" w:rsidRDefault="00707458" w:rsidP="00900E69">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900E69" w:rsidRDefault="00900E69" w:rsidP="00900E69">
      <w:pPr>
        <w:tabs>
          <w:tab w:val="left" w:pos="1134"/>
          <w:tab w:val="left" w:pos="1418"/>
        </w:tabs>
        <w:ind w:firstLine="866"/>
        <w:jc w:val="both"/>
        <w:rPr>
          <w:rFonts w:ascii="Cambria" w:hAnsi="Cambria"/>
          <w:sz w:val="22"/>
          <w:szCs w:val="22"/>
        </w:rPr>
      </w:pPr>
      <w:r>
        <w:rPr>
          <w:rFonts w:ascii="Cambria" w:hAnsi="Cambria"/>
          <w:sz w:val="22"/>
          <w:szCs w:val="22"/>
        </w:rPr>
        <w:t xml:space="preserve">1.5. </w:t>
      </w:r>
      <w:r w:rsidR="00103A0C" w:rsidRPr="00707458">
        <w:rPr>
          <w:rFonts w:ascii="Cambria" w:hAnsi="Cambria"/>
          <w:sz w:val="22"/>
          <w:szCs w:val="22"/>
        </w:rPr>
        <w:t xml:space="preserve">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w:t>
      </w:r>
      <w:r w:rsidR="00103A0C" w:rsidRPr="00900E69">
        <w:rPr>
          <w:rFonts w:ascii="Cambria" w:hAnsi="Cambria"/>
          <w:sz w:val="22"/>
          <w:szCs w:val="22"/>
        </w:rPr>
        <w:t>kontrolės taisyklėse.</w:t>
      </w:r>
    </w:p>
    <w:p w:rsidR="00900E69" w:rsidRDefault="00900E69" w:rsidP="00900E69">
      <w:pPr>
        <w:tabs>
          <w:tab w:val="left" w:pos="1134"/>
          <w:tab w:val="left" w:pos="1418"/>
        </w:tabs>
        <w:ind w:firstLine="866"/>
        <w:jc w:val="both"/>
        <w:rPr>
          <w:rFonts w:ascii="Cambria" w:hAnsi="Cambria"/>
          <w:sz w:val="22"/>
          <w:szCs w:val="22"/>
        </w:rPr>
      </w:pPr>
      <w:r>
        <w:t xml:space="preserve">1.6. </w:t>
      </w:r>
      <w:r w:rsidR="00305C97" w:rsidRPr="00900E69">
        <w:t>Perkančioji organizacija yra  pridėtinės vertės mokesčio (toliau vadinama – PVM) mokėtoja.</w:t>
      </w:r>
    </w:p>
    <w:p w:rsidR="00900E69" w:rsidRDefault="00900E69" w:rsidP="00900E69">
      <w:pPr>
        <w:tabs>
          <w:tab w:val="left" w:pos="1134"/>
          <w:tab w:val="left" w:pos="1418"/>
        </w:tabs>
        <w:ind w:firstLine="866"/>
        <w:jc w:val="both"/>
        <w:rPr>
          <w:rFonts w:ascii="Cambria" w:hAnsi="Cambria"/>
          <w:sz w:val="22"/>
          <w:szCs w:val="22"/>
        </w:rPr>
      </w:pPr>
      <w:r>
        <w:rPr>
          <w:rFonts w:ascii="Cambria" w:hAnsi="Cambria"/>
          <w:sz w:val="22"/>
          <w:szCs w:val="22"/>
        </w:rPr>
        <w:t xml:space="preserve">1.7. </w:t>
      </w:r>
      <w:r w:rsidR="00305C97"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00305C97" w:rsidRPr="00707458">
        <w:rPr>
          <w:rFonts w:ascii="Cambria" w:hAnsi="Cambria"/>
          <w:sz w:val="22"/>
          <w:szCs w:val="22"/>
        </w:rPr>
        <w:t xml:space="preserve">, el. p. </w:t>
      </w:r>
      <w:hyperlink r:id="rId9" w:history="1">
        <w:r w:rsidR="00305C97" w:rsidRPr="00707458">
          <w:rPr>
            <w:rStyle w:val="Hipersaitas"/>
            <w:rFonts w:ascii="Cambria" w:hAnsi="Cambria"/>
            <w:sz w:val="22"/>
            <w:szCs w:val="22"/>
          </w:rPr>
          <w:t>daiva.zvirblyte@kaunoklinikos.lt</w:t>
        </w:r>
      </w:hyperlink>
      <w:r w:rsidR="00305C97" w:rsidRPr="00707458">
        <w:rPr>
          <w:rFonts w:ascii="Cambria" w:hAnsi="Cambria"/>
          <w:sz w:val="22"/>
          <w:szCs w:val="22"/>
        </w:rPr>
        <w:t>.</w:t>
      </w:r>
    </w:p>
    <w:p w:rsidR="00305C97" w:rsidRPr="00900E69" w:rsidRDefault="00900E69" w:rsidP="00900E69">
      <w:pPr>
        <w:tabs>
          <w:tab w:val="left" w:pos="1134"/>
          <w:tab w:val="left" w:pos="1418"/>
        </w:tabs>
        <w:ind w:firstLine="866"/>
        <w:jc w:val="both"/>
        <w:rPr>
          <w:rFonts w:ascii="Cambria" w:hAnsi="Cambria"/>
          <w:sz w:val="22"/>
          <w:szCs w:val="22"/>
        </w:rPr>
      </w:pPr>
      <w:r>
        <w:rPr>
          <w:rFonts w:ascii="Cambria" w:hAnsi="Cambria"/>
          <w:iCs/>
          <w:color w:val="000000"/>
          <w:spacing w:val="6"/>
          <w:sz w:val="22"/>
          <w:szCs w:val="22"/>
          <w:lang w:val="en-US"/>
        </w:rPr>
        <w:t xml:space="preserve">1.8. </w:t>
      </w:r>
      <w:r w:rsidR="00305C97"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lastRenderedPageBreak/>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5A617F">
      <w:pPr>
        <w:ind w:firstLine="567"/>
        <w:jc w:val="both"/>
        <w:rPr>
          <w:rFonts w:asciiTheme="majorHAnsi" w:hAnsiTheme="majorHAnsi"/>
          <w:sz w:val="22"/>
          <w:szCs w:val="22"/>
        </w:rPr>
      </w:pPr>
    </w:p>
    <w:p w:rsidR="0036549F" w:rsidRDefault="00305C97" w:rsidP="0036549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900E69">
        <w:rPr>
          <w:rFonts w:asciiTheme="majorHAnsi" w:hAnsiTheme="majorHAnsi"/>
          <w:b/>
          <w:sz w:val="22"/>
          <w:szCs w:val="22"/>
        </w:rPr>
        <w:t>lentynėles nešiojamam kompiuteriui</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36549F" w:rsidRDefault="0036549F" w:rsidP="0036549F">
      <w:pPr>
        <w:ind w:firstLine="851"/>
        <w:jc w:val="both"/>
        <w:rPr>
          <w:rFonts w:ascii="Cambria" w:hAnsi="Cambria"/>
          <w:sz w:val="22"/>
          <w:szCs w:val="22"/>
        </w:rPr>
      </w:pPr>
      <w:r>
        <w:rPr>
          <w:rFonts w:ascii="Cambria" w:hAnsi="Cambria" w:cstheme="minorHAnsi"/>
          <w:sz w:val="22"/>
          <w:szCs w:val="22"/>
        </w:rPr>
        <w:t xml:space="preserve">2.2. </w:t>
      </w: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6549F" w:rsidRPr="003C6BA3" w:rsidRDefault="0036549F" w:rsidP="0036549F">
      <w:pPr>
        <w:ind w:firstLine="851"/>
        <w:jc w:val="both"/>
        <w:rPr>
          <w:rFonts w:ascii="Cambria" w:hAnsi="Cambria"/>
          <w:sz w:val="22"/>
          <w:szCs w:val="22"/>
        </w:rPr>
      </w:pPr>
      <w:r>
        <w:rPr>
          <w:rFonts w:ascii="Cambria" w:hAnsi="Cambria" w:cstheme="minorHAnsi"/>
          <w:sz w:val="22"/>
          <w:szCs w:val="22"/>
        </w:rPr>
        <w:t xml:space="preserve">2.3. </w:t>
      </w: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57436" w:rsidRDefault="00857436" w:rsidP="00857436">
      <w:pPr>
        <w:ind w:firstLine="851"/>
        <w:jc w:val="both"/>
        <w:rPr>
          <w:rFonts w:ascii="Cambria" w:hAnsi="Cambria"/>
          <w:sz w:val="22"/>
          <w:szCs w:val="22"/>
        </w:rPr>
      </w:pPr>
      <w:r w:rsidRPr="003C6BA3">
        <w:rPr>
          <w:rFonts w:ascii="Cambria" w:hAnsi="Cambria"/>
          <w:sz w:val="22"/>
          <w:szCs w:val="22"/>
        </w:rPr>
        <w:t>2.</w:t>
      </w:r>
      <w:r w:rsidR="0036549F">
        <w:rPr>
          <w:rFonts w:ascii="Cambria" w:hAnsi="Cambria"/>
          <w:sz w:val="22"/>
          <w:szCs w:val="22"/>
        </w:rPr>
        <w:t>4</w:t>
      </w:r>
      <w:r w:rsidRPr="003C6BA3">
        <w:rPr>
          <w:rFonts w:ascii="Cambria" w:hAnsi="Cambria"/>
          <w:sz w:val="22"/>
          <w:szCs w:val="22"/>
        </w:rPr>
        <w:t xml:space="preserve">.  Pirkimo objektas </w:t>
      </w:r>
      <w:r w:rsidR="00FB710F">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514E7E">
        <w:rPr>
          <w:rFonts w:ascii="Cambria" w:hAnsi="Cambria"/>
          <w:sz w:val="22"/>
          <w:szCs w:val="22"/>
        </w:rPr>
        <w:t xml:space="preserve"> </w:t>
      </w:r>
      <w:r w:rsidRPr="003C6BA3">
        <w:rPr>
          <w:rFonts w:ascii="Cambria" w:hAnsi="Cambria"/>
          <w:sz w:val="22"/>
          <w:szCs w:val="22"/>
        </w:rPr>
        <w:t>atskiras</w:t>
      </w:r>
      <w:r w:rsidR="00514E7E">
        <w:rPr>
          <w:rFonts w:ascii="Cambria" w:hAnsi="Cambria"/>
          <w:sz w:val="22"/>
          <w:szCs w:val="22"/>
        </w:rPr>
        <w:t xml:space="preserve"> pirkimo</w:t>
      </w:r>
      <w:r w:rsidRPr="003C6BA3">
        <w:rPr>
          <w:rFonts w:ascii="Cambria" w:hAnsi="Cambria"/>
          <w:sz w:val="22"/>
          <w:szCs w:val="22"/>
        </w:rPr>
        <w:t xml:space="preserve"> dalis.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w:t>
      </w:r>
      <w:r w:rsidR="0036549F">
        <w:rPr>
          <w:rFonts w:ascii="Cambria" w:hAnsi="Cambria"/>
          <w:color w:val="000000" w:themeColor="text1"/>
          <w:sz w:val="22"/>
          <w:szCs w:val="22"/>
        </w:rPr>
        <w:t>5</w:t>
      </w:r>
      <w:r w:rsidRPr="003C6BA3">
        <w:rPr>
          <w:rFonts w:ascii="Cambria" w:hAnsi="Cambria"/>
          <w:color w:val="000000" w:themeColor="text1"/>
          <w:sz w:val="22"/>
          <w:szCs w:val="22"/>
        </w:rPr>
        <w:t>.</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w:t>
      </w:r>
      <w:r w:rsidR="0036549F">
        <w:rPr>
          <w:rFonts w:ascii="Cambria" w:hAnsi="Cambria"/>
          <w:color w:val="000000"/>
          <w:sz w:val="22"/>
          <w:szCs w:val="22"/>
        </w:rPr>
        <w:t>6</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w:t>
      </w:r>
      <w:r w:rsidR="0036549F">
        <w:rPr>
          <w:rFonts w:asciiTheme="majorHAnsi" w:hAnsiTheme="majorHAnsi"/>
          <w:sz w:val="22"/>
          <w:szCs w:val="22"/>
        </w:rPr>
        <w:t>7</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2.</w:t>
      </w:r>
      <w:r w:rsidR="0036549F">
        <w:rPr>
          <w:rFonts w:asciiTheme="majorHAnsi" w:hAnsiTheme="majorHAnsi"/>
          <w:sz w:val="22"/>
          <w:szCs w:val="22"/>
        </w:rPr>
        <w:t>8</w:t>
      </w:r>
      <w:r w:rsidRPr="00E871E0">
        <w:rPr>
          <w:rFonts w:asciiTheme="majorHAnsi" w:hAnsiTheme="majorHAnsi"/>
          <w:sz w:val="22"/>
          <w:szCs w:val="22"/>
        </w:rPr>
        <w:t xml:space="preserve">.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 xml:space="preserve">ės </w:t>
      </w:r>
      <w:r w:rsidRPr="00E871E0">
        <w:rPr>
          <w:rFonts w:asciiTheme="majorHAnsi" w:hAnsiTheme="majorHAnsi"/>
        </w:rPr>
        <w:lastRenderedPageBreak/>
        <w:t>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5F7341"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5F7341">
        <w:rPr>
          <w:rFonts w:asciiTheme="majorHAnsi" w:hAnsiTheme="majorHAnsi"/>
          <w:b w:val="0"/>
          <w:sz w:val="22"/>
          <w:szCs w:val="22"/>
        </w:rPr>
        <w:t>6.1.</w:t>
      </w:r>
      <w:r w:rsidRPr="005F7341">
        <w:rPr>
          <w:rFonts w:asciiTheme="majorHAnsi" w:eastAsia="Times New Roman" w:hAnsiTheme="majorHAnsi"/>
          <w:b w:val="0"/>
          <w:sz w:val="22"/>
          <w:szCs w:val="22"/>
        </w:rPr>
        <w:t xml:space="preserve"> Pasiūlymų pateikimo terminas </w:t>
      </w:r>
      <w:r w:rsidRPr="005F7341">
        <w:rPr>
          <w:rStyle w:val="WW-DefaultParagraphFont1"/>
          <w:rFonts w:asciiTheme="majorHAnsi" w:eastAsia="Times New Roman" w:hAnsiTheme="majorHAnsi"/>
          <w:color w:val="000000"/>
          <w:sz w:val="22"/>
          <w:szCs w:val="22"/>
          <w:lang w:eastAsia="lt-LT"/>
        </w:rPr>
        <w:t xml:space="preserve"> </w:t>
      </w:r>
      <w:r w:rsidR="005352B7" w:rsidRPr="005F7341">
        <w:rPr>
          <w:rStyle w:val="WW-DefaultParagraphFont1"/>
          <w:rFonts w:asciiTheme="majorHAnsi" w:eastAsia="Times New Roman" w:hAnsiTheme="majorHAnsi"/>
          <w:bCs/>
          <w:color w:val="548DD4" w:themeColor="text2" w:themeTint="99"/>
          <w:spacing w:val="-4"/>
          <w:sz w:val="22"/>
          <w:szCs w:val="22"/>
          <w:u w:val="single"/>
          <w:lang w:eastAsia="lt-LT"/>
        </w:rPr>
        <w:t>2025</w:t>
      </w:r>
      <w:r w:rsidRPr="005F7341">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900E69" w:rsidRPr="005F7341">
        <w:rPr>
          <w:rStyle w:val="WW-DefaultParagraphFont1"/>
          <w:rFonts w:asciiTheme="majorHAnsi" w:eastAsia="Times New Roman" w:hAnsiTheme="majorHAnsi"/>
          <w:bCs/>
          <w:color w:val="548DD4" w:themeColor="text2" w:themeTint="99"/>
          <w:spacing w:val="-4"/>
          <w:sz w:val="22"/>
          <w:szCs w:val="22"/>
          <w:u w:val="single"/>
          <w:lang w:eastAsia="lt-LT"/>
        </w:rPr>
        <w:t xml:space="preserve">gruodžio </w:t>
      </w:r>
      <w:r w:rsidR="005F7341" w:rsidRPr="005F7341">
        <w:rPr>
          <w:rStyle w:val="WW-DefaultParagraphFont1"/>
          <w:rFonts w:asciiTheme="majorHAnsi" w:eastAsia="Times New Roman" w:hAnsiTheme="majorHAnsi"/>
          <w:bCs/>
          <w:color w:val="548DD4" w:themeColor="text2" w:themeTint="99"/>
          <w:spacing w:val="-4"/>
          <w:sz w:val="22"/>
          <w:szCs w:val="22"/>
          <w:u w:val="single"/>
          <w:lang w:eastAsia="lt-LT"/>
        </w:rPr>
        <w:t xml:space="preserve">18 </w:t>
      </w:r>
      <w:r w:rsidR="006903DB" w:rsidRPr="005F7341">
        <w:rPr>
          <w:rStyle w:val="WW-DefaultParagraphFont1"/>
          <w:rFonts w:asciiTheme="majorHAnsi" w:eastAsia="Times New Roman" w:hAnsiTheme="majorHAnsi"/>
          <w:bCs/>
          <w:color w:val="548DD4" w:themeColor="text2" w:themeTint="99"/>
          <w:spacing w:val="-4"/>
          <w:sz w:val="22"/>
          <w:szCs w:val="22"/>
          <w:u w:val="single"/>
          <w:lang w:eastAsia="lt-LT"/>
        </w:rPr>
        <w:t>d. 08</w:t>
      </w:r>
      <w:r w:rsidR="00443024" w:rsidRPr="005F7341">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D66BFF" w:rsidRPr="005F7341">
        <w:rPr>
          <w:rStyle w:val="WW-DefaultParagraphFont1"/>
          <w:rFonts w:asciiTheme="majorHAnsi" w:eastAsia="Times New Roman" w:hAnsiTheme="majorHAnsi"/>
          <w:bCs/>
          <w:color w:val="548DD4" w:themeColor="text2" w:themeTint="99"/>
          <w:spacing w:val="-4"/>
          <w:sz w:val="22"/>
          <w:szCs w:val="22"/>
          <w:u w:val="single"/>
          <w:lang w:eastAsia="lt-LT"/>
        </w:rPr>
        <w:t>15</w:t>
      </w:r>
      <w:r w:rsidRPr="005F7341">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lastRenderedPageBreak/>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5F7341"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5F7341">
        <w:rPr>
          <w:rFonts w:asciiTheme="majorHAnsi" w:hAnsiTheme="majorHAnsi"/>
          <w:lang w:val="lt-LT"/>
        </w:rPr>
        <w:t xml:space="preserve">kaip iki </w:t>
      </w:r>
      <w:r w:rsidR="005352B7" w:rsidRPr="005F7341">
        <w:rPr>
          <w:rFonts w:asciiTheme="majorHAnsi" w:hAnsiTheme="majorHAnsi"/>
          <w:b/>
          <w:color w:val="548DD4" w:themeColor="text2" w:themeTint="99"/>
          <w:lang w:val="lt-LT"/>
        </w:rPr>
        <w:t>202</w:t>
      </w:r>
      <w:r w:rsidR="00900E69" w:rsidRPr="005F7341">
        <w:rPr>
          <w:rFonts w:asciiTheme="majorHAnsi" w:hAnsiTheme="majorHAnsi"/>
          <w:b/>
          <w:color w:val="548DD4" w:themeColor="text2" w:themeTint="99"/>
          <w:lang w:val="lt-LT"/>
        </w:rPr>
        <w:t>6-04-</w:t>
      </w:r>
      <w:r w:rsidR="005F7341" w:rsidRPr="005F7341">
        <w:rPr>
          <w:rFonts w:asciiTheme="majorHAnsi" w:hAnsiTheme="majorHAnsi"/>
          <w:b/>
          <w:color w:val="548DD4" w:themeColor="text2" w:themeTint="99"/>
          <w:lang w:val="lt-LT"/>
        </w:rPr>
        <w:t>18</w:t>
      </w:r>
      <w:r w:rsidRPr="005F7341">
        <w:rPr>
          <w:rFonts w:asciiTheme="majorHAnsi" w:hAnsiTheme="majorHAnsi"/>
          <w:b/>
          <w:color w:val="548DD4" w:themeColor="text2" w:themeTint="99"/>
          <w:lang w:val="lt-LT"/>
        </w:rPr>
        <w:t>.</w:t>
      </w:r>
      <w:r w:rsidRPr="005F7341">
        <w:rPr>
          <w:rFonts w:asciiTheme="majorHAnsi" w:hAnsiTheme="majorHAnsi"/>
          <w:lang w:val="pt-PT"/>
        </w:rPr>
        <w:t xml:space="preserve"> Jeigu pasi</w:t>
      </w:r>
      <w:r w:rsidRPr="005F7341">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FB710F">
        <w:rPr>
          <w:rFonts w:asciiTheme="majorHAnsi" w:hAnsiTheme="majorHAnsi"/>
          <w:b/>
          <w:iCs/>
          <w:shd w:val="clear" w:color="auto" w:fill="D9D9D9" w:themeFill="background1" w:themeFillShade="D9"/>
        </w:rPr>
        <w:t xml:space="preserve">Užpildyta </w:t>
      </w:r>
      <w:r w:rsidR="005352B7" w:rsidRPr="00FB710F">
        <w:rPr>
          <w:rFonts w:asciiTheme="majorHAnsi" w:hAnsiTheme="majorHAnsi"/>
          <w:b/>
          <w:iCs/>
          <w:shd w:val="clear" w:color="auto" w:fill="D9D9D9" w:themeFill="background1" w:themeFillShade="D9"/>
        </w:rPr>
        <w:t>ir pasirašyta</w:t>
      </w:r>
      <w:r w:rsidR="005352B7">
        <w:rPr>
          <w:rFonts w:asciiTheme="majorHAnsi" w:hAnsiTheme="majorHAnsi"/>
          <w:iCs/>
          <w:shd w:val="clear" w:color="auto" w:fill="D9D9D9" w:themeFill="background1" w:themeFillShade="D9"/>
        </w:rPr>
        <w:t xml:space="preserve">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 xml:space="preserve">iūlomos </w:t>
      </w:r>
      <w:r w:rsidR="00514E7E">
        <w:rPr>
          <w:rFonts w:ascii="Cambria" w:hAnsi="Cambria"/>
        </w:rPr>
        <w:t>parametrų reikšmės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w:t>
      </w:r>
      <w:proofErr w:type="gramStart"/>
      <w:r w:rsidR="00C428D9" w:rsidRPr="007E245D">
        <w:rPr>
          <w:rFonts w:ascii="Cambria" w:hAnsi="Cambria"/>
          <w:b/>
          <w:u w:val="single"/>
          <w:shd w:val="clear" w:color="auto" w:fill="D9D9D9" w:themeFill="background1" w:themeFillShade="D9"/>
        </w:rPr>
        <w:t>lygiavertė“</w:t>
      </w:r>
      <w:proofErr w:type="gramEnd"/>
      <w:r w:rsidR="00C428D9" w:rsidRPr="007E245D">
        <w:rPr>
          <w:rFonts w:ascii="Cambria" w:hAnsi="Cambria"/>
          <w:b/>
          <w:u w:val="single"/>
          <w:shd w:val="clear" w:color="auto" w:fill="D9D9D9" w:themeFill="background1" w:themeFillShade="D9"/>
        </w:rPr>
        <w:t>,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514E7E">
        <w:rPr>
          <w:rFonts w:asciiTheme="majorHAnsi" w:hAnsiTheme="majorHAnsi"/>
          <w:b/>
          <w:color w:val="FF0000"/>
        </w:rPr>
        <w:t>formatu</w:t>
      </w:r>
      <w:r w:rsidR="00C428D9" w:rsidRPr="00E871E0">
        <w:rPr>
          <w:rFonts w:asciiTheme="majorHAnsi" w:hAnsiTheme="majorHAnsi"/>
          <w:b/>
          <w:color w:val="FF0000"/>
        </w:rPr>
        <w:t>.</w:t>
      </w:r>
    </w:p>
    <w:p w:rsidR="00900E69"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w:t>
      </w:r>
      <w:r w:rsidR="00514E7E">
        <w:rPr>
          <w:rFonts w:ascii="Cambria" w:hAnsi="Cambria"/>
          <w:color w:val="auto"/>
        </w:rPr>
        <w:t>7</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w:t>
      </w:r>
      <w:r w:rsidR="00584E76" w:rsidRPr="00FB710F">
        <w:rPr>
          <w:rFonts w:asciiTheme="majorHAnsi" w:hAnsiTheme="majorHAnsi"/>
          <w:b/>
        </w:rPr>
        <w:t xml:space="preserve">dokumentus </w:t>
      </w:r>
      <w:r w:rsidR="00584E76" w:rsidRPr="00900E69">
        <w:rPr>
          <w:rFonts w:asciiTheme="majorHAnsi" w:hAnsiTheme="majorHAnsi"/>
          <w:b/>
        </w:rPr>
        <w:t>(</w:t>
      </w:r>
      <w:r w:rsidR="00900E69" w:rsidRPr="00900E69">
        <w:rPr>
          <w:rFonts w:asciiTheme="majorHAnsi" w:eastAsia="Times New Roman" w:hAnsiTheme="majorHAnsi" w:cs="Times New Roman"/>
          <w:b/>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584E76" w:rsidRPr="00900E69">
        <w:rPr>
          <w:rFonts w:asciiTheme="majorHAnsi" w:hAnsiTheme="majorHAnsi"/>
          <w:b/>
        </w:rPr>
        <w:t>) originalo</w:t>
      </w:r>
      <w:r w:rsidR="00584E76" w:rsidRPr="00AE6E58">
        <w:rPr>
          <w:rFonts w:ascii="Cambria" w:hAnsi="Cambria"/>
          <w:b/>
        </w:rPr>
        <w:t xml:space="preserve">,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w:t>
      </w:r>
    </w:p>
    <w:p w:rsidR="00584E76" w:rsidRPr="00AE6E58" w:rsidRDefault="00584E76" w:rsidP="00584E76">
      <w:pPr>
        <w:pStyle w:val="Body2"/>
        <w:shd w:val="clear" w:color="auto" w:fill="D9D9D9" w:themeFill="background1" w:themeFillShade="D9"/>
        <w:spacing w:after="0"/>
        <w:ind w:firstLine="851"/>
        <w:rPr>
          <w:rFonts w:ascii="Cambria" w:hAnsi="Cambria"/>
          <w:b/>
        </w:rPr>
      </w:pPr>
      <w:r w:rsidRPr="00AE6E58">
        <w:rPr>
          <w:rFonts w:ascii="Cambria" w:hAnsi="Cambria"/>
          <w:b/>
        </w:rPr>
        <w:t xml:space="preserve">Originaliame </w:t>
      </w:r>
      <w:r>
        <w:rPr>
          <w:rFonts w:ascii="Cambria" w:hAnsi="Cambria"/>
          <w:b/>
        </w:rPr>
        <w:t>gamintojo</w:t>
      </w:r>
      <w:r w:rsidRPr="00AE6E58">
        <w:rPr>
          <w:rFonts w:ascii="Cambria" w:hAnsi="Cambria"/>
          <w:b/>
        </w:rPr>
        <w:t xml:space="preserve"> dokumente privalo būti atžyma, kurį techninės specifikacijos lentelės parametrą patvirtina nurodytas parametras, o</w:t>
      </w:r>
      <w:r w:rsidRPr="00AE6E58">
        <w:rPr>
          <w:rFonts w:ascii="Cambria" w:hAnsi="Cambria"/>
          <w:b/>
          <w:lang w:val="lt-LT"/>
        </w:rPr>
        <w:t xml:space="preserve"> šių pirkimo dokumentų 4 priedo </w:t>
      </w:r>
      <w:r w:rsidRPr="00AE6E58">
        <w:rPr>
          <w:rFonts w:ascii="Cambria" w:hAnsi="Cambria"/>
          <w:b/>
          <w:lang w:val="lt-LT"/>
        </w:rPr>
        <w:lastRenderedPageBreak/>
        <w:t xml:space="preserve">„Techninė </w:t>
      </w:r>
      <w:proofErr w:type="gramStart"/>
      <w:r w:rsidRPr="00AE6E58">
        <w:rPr>
          <w:rFonts w:ascii="Cambria" w:hAnsi="Cambria"/>
          <w:b/>
          <w:lang w:val="lt-LT"/>
        </w:rPr>
        <w:t>specifikacija“ grafoje</w:t>
      </w:r>
      <w:proofErr w:type="gramEnd"/>
      <w:r w:rsidRPr="00AE6E58">
        <w:rPr>
          <w:rFonts w:ascii="Cambria" w:hAnsi="Cambria"/>
          <w:b/>
          <w:lang w:val="lt-LT"/>
        </w:rPr>
        <w:t xml:space="preserve"> </w:t>
      </w:r>
      <w:r w:rsidRPr="000E1BCD">
        <w:rPr>
          <w:rFonts w:ascii="Cambria" w:hAnsi="Cambria"/>
          <w:b/>
          <w:lang w:val="lt-LT"/>
        </w:rPr>
        <w:t>„</w:t>
      </w:r>
      <w:r w:rsidR="000E1BCD" w:rsidRPr="000E1BCD">
        <w:rPr>
          <w:rFonts w:asciiTheme="majorHAnsi" w:hAnsiTheme="majorHAnsi"/>
          <w:b/>
        </w:rPr>
        <w:t xml:space="preserve">Siūlomos </w:t>
      </w:r>
      <w:r w:rsidR="00514E7E">
        <w:rPr>
          <w:rFonts w:asciiTheme="majorHAnsi" w:hAnsiTheme="majorHAnsi"/>
          <w:b/>
        </w:rPr>
        <w:t>parametrų reikšmės</w:t>
      </w:r>
      <w:r w:rsidRPr="00AE6E58">
        <w:rPr>
          <w:rFonts w:ascii="Cambria" w:hAnsi="Cambria"/>
          <w:b/>
          <w:lang w:val="lt-LT"/>
        </w:rPr>
        <w:t xml:space="preserve">“ turi būti nurodytas puslapis, kuriame yra atžyma. </w:t>
      </w:r>
      <w:r w:rsidRPr="00AE6E58">
        <w:rPr>
          <w:rFonts w:ascii="Cambria" w:hAnsi="Cambria"/>
          <w:b/>
          <w:iCs/>
          <w:u w:val="single"/>
        </w:rPr>
        <w:t>Pateikiamos skaitmeninės dokumentų kopijos.</w:t>
      </w:r>
      <w:r w:rsidRPr="00AE6E58">
        <w:rPr>
          <w:rFonts w:ascii="Cambria" w:hAnsi="Cambria"/>
          <w:b/>
        </w:rPr>
        <w:t xml:space="preserve"> </w:t>
      </w:r>
    </w:p>
    <w:p w:rsidR="00584E76" w:rsidRDefault="00584E76" w:rsidP="00584E76">
      <w:pPr>
        <w:shd w:val="clear" w:color="auto" w:fill="D9D9D9" w:themeFill="background1" w:themeFillShade="D9"/>
        <w:ind w:firstLine="851"/>
        <w:jc w:val="both"/>
        <w:rPr>
          <w:rFonts w:ascii="Cambria" w:hAnsi="Cambria"/>
          <w:b/>
          <w:sz w:val="22"/>
          <w:szCs w:val="22"/>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2D4681"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F3686D" w:rsidRPr="00F3686D" w:rsidRDefault="00F3686D" w:rsidP="00F3686D">
      <w:pPr>
        <w:pStyle w:val="Body2"/>
        <w:shd w:val="clear" w:color="auto" w:fill="D9D9D9" w:themeFill="background1" w:themeFillShade="D9"/>
        <w:spacing w:after="0"/>
        <w:ind w:firstLine="851"/>
        <w:rPr>
          <w:rFonts w:asciiTheme="majorHAnsi" w:hAnsiTheme="majorHAnsi" w:cs="Times New Roman"/>
          <w:color w:val="auto"/>
        </w:rPr>
      </w:pPr>
      <w:r>
        <w:rPr>
          <w:rFonts w:asciiTheme="majorHAnsi" w:hAnsiTheme="majorHAnsi"/>
        </w:rPr>
        <w:t>6.9.9</w:t>
      </w:r>
      <w:r w:rsidRPr="00E871E0">
        <w:rPr>
          <w:rFonts w:asciiTheme="majorHAnsi" w:hAnsiTheme="majorHAnsi"/>
        </w:rPr>
        <w:t xml:space="preserve">. Komisijai pareikalavus, komisijos nurodytu terminu būtina pateikti siūlomų prekių pavyzdžius išbandymui.  </w:t>
      </w:r>
      <w:r w:rsidRPr="00E871E0">
        <w:rPr>
          <w:rFonts w:asciiTheme="majorHAnsi" w:hAnsiTheme="majorHAnsi" w:cs="Times New Roman"/>
          <w:color w:val="auto"/>
        </w:rPr>
        <w:t>Prekių pavyzdžių pateikimo iš</w:t>
      </w:r>
      <w:r w:rsidRPr="00E871E0">
        <w:rPr>
          <w:rFonts w:asciiTheme="majorHAnsi" w:hAnsiTheme="majorHAnsi" w:cs="Times New Roman"/>
          <w:color w:val="auto"/>
          <w:lang w:val="pt-PT"/>
        </w:rPr>
        <w:t>laidas dengia tiek</w:t>
      </w:r>
      <w:r w:rsidRPr="00E871E0">
        <w:rPr>
          <w:rFonts w:asciiTheme="majorHAnsi" w:hAnsiTheme="majorHAnsi" w:cs="Times New Roman"/>
          <w:color w:val="auto"/>
        </w:rPr>
        <w:t>ėjai. Perkančioji organizacija neprisiima prekių pavyzdžių atsitiktinio sugadinimo ar sunaikinimo išlaidų.</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Default="001673D1" w:rsidP="005A617F">
      <w:pPr>
        <w:jc w:val="center"/>
        <w:rPr>
          <w:rFonts w:asciiTheme="majorHAnsi" w:hAnsiTheme="majorHAnsi"/>
          <w:b/>
          <w:sz w:val="22"/>
          <w:szCs w:val="22"/>
        </w:rPr>
      </w:pPr>
    </w:p>
    <w:p w:rsidR="0036549F" w:rsidRDefault="0036549F" w:rsidP="005A617F">
      <w:pPr>
        <w:jc w:val="center"/>
        <w:rPr>
          <w:rFonts w:asciiTheme="majorHAnsi" w:hAnsiTheme="majorHAnsi"/>
          <w:b/>
          <w:sz w:val="22"/>
          <w:szCs w:val="22"/>
        </w:rPr>
      </w:pPr>
    </w:p>
    <w:p w:rsidR="0036549F" w:rsidRPr="00E871E0" w:rsidRDefault="0036549F"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lastRenderedPageBreak/>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xml:space="preserve">, </w:t>
      </w:r>
      <w:bookmarkStart w:id="1" w:name="_GoBack"/>
      <w:bookmarkEnd w:id="1"/>
      <w:r w:rsidRPr="005F7341">
        <w:rPr>
          <w:rFonts w:asciiTheme="majorHAnsi" w:hAnsiTheme="majorHAnsi"/>
          <w:sz w:val="22"/>
          <w:szCs w:val="22"/>
        </w:rPr>
        <w:t>Eivenių g. 2, L</w:t>
      </w:r>
      <w:r w:rsidR="0032038F" w:rsidRPr="005F7341">
        <w:rPr>
          <w:rFonts w:asciiTheme="majorHAnsi" w:hAnsiTheme="majorHAnsi"/>
          <w:sz w:val="22"/>
          <w:szCs w:val="22"/>
        </w:rPr>
        <w:t>T-50161 Kaunas, Viešųjų pirkimų tarnyboje</w:t>
      </w:r>
      <w:r w:rsidR="002D174A" w:rsidRPr="005F7341">
        <w:rPr>
          <w:rFonts w:asciiTheme="majorHAnsi" w:hAnsiTheme="majorHAnsi"/>
          <w:sz w:val="22"/>
          <w:szCs w:val="22"/>
        </w:rPr>
        <w:t xml:space="preserve"> </w:t>
      </w:r>
      <w:r w:rsidR="005352B7" w:rsidRPr="005F7341">
        <w:rPr>
          <w:rFonts w:asciiTheme="majorHAnsi" w:hAnsiTheme="majorHAnsi"/>
          <w:b/>
          <w:iCs/>
          <w:color w:val="548DD4" w:themeColor="text2" w:themeTint="99"/>
          <w:sz w:val="22"/>
          <w:szCs w:val="22"/>
        </w:rPr>
        <w:t>2025</w:t>
      </w:r>
      <w:r w:rsidRPr="005F7341">
        <w:rPr>
          <w:rFonts w:asciiTheme="majorHAnsi" w:hAnsiTheme="majorHAnsi"/>
          <w:b/>
          <w:iCs/>
          <w:color w:val="548DD4" w:themeColor="text2" w:themeTint="99"/>
          <w:sz w:val="22"/>
          <w:szCs w:val="22"/>
        </w:rPr>
        <w:t xml:space="preserve"> m. </w:t>
      </w:r>
      <w:r w:rsidR="00900E69" w:rsidRPr="005F7341">
        <w:rPr>
          <w:rFonts w:asciiTheme="majorHAnsi" w:hAnsiTheme="majorHAnsi"/>
          <w:b/>
          <w:iCs/>
          <w:color w:val="548DD4" w:themeColor="text2" w:themeTint="99"/>
          <w:sz w:val="22"/>
          <w:szCs w:val="22"/>
        </w:rPr>
        <w:t xml:space="preserve">gruodžio </w:t>
      </w:r>
      <w:r w:rsidR="005F7341" w:rsidRPr="005F7341">
        <w:rPr>
          <w:rFonts w:asciiTheme="majorHAnsi" w:hAnsiTheme="majorHAnsi"/>
          <w:b/>
          <w:iCs/>
          <w:color w:val="548DD4" w:themeColor="text2" w:themeTint="99"/>
          <w:sz w:val="22"/>
          <w:szCs w:val="22"/>
        </w:rPr>
        <w:t>18</w:t>
      </w:r>
      <w:r w:rsidR="006903DB" w:rsidRPr="005F7341">
        <w:rPr>
          <w:rFonts w:asciiTheme="majorHAnsi" w:hAnsiTheme="majorHAnsi"/>
          <w:b/>
          <w:iCs/>
          <w:color w:val="548DD4" w:themeColor="text2" w:themeTint="99"/>
          <w:sz w:val="22"/>
          <w:szCs w:val="22"/>
        </w:rPr>
        <w:t xml:space="preserve"> d. 08</w:t>
      </w:r>
      <w:r w:rsidR="00443024" w:rsidRPr="005F7341">
        <w:rPr>
          <w:rFonts w:asciiTheme="majorHAnsi" w:hAnsiTheme="majorHAnsi"/>
          <w:b/>
          <w:iCs/>
          <w:color w:val="548DD4" w:themeColor="text2" w:themeTint="99"/>
          <w:sz w:val="22"/>
          <w:szCs w:val="22"/>
        </w:rPr>
        <w:t xml:space="preserve"> val. </w:t>
      </w:r>
      <w:r w:rsidR="00D66BFF" w:rsidRPr="005F7341">
        <w:rPr>
          <w:rFonts w:asciiTheme="majorHAnsi" w:hAnsiTheme="majorHAnsi"/>
          <w:b/>
          <w:iCs/>
          <w:color w:val="548DD4" w:themeColor="text2" w:themeTint="99"/>
          <w:sz w:val="22"/>
          <w:szCs w:val="22"/>
        </w:rPr>
        <w:t>45</w:t>
      </w:r>
      <w:r w:rsidRPr="005F7341">
        <w:rPr>
          <w:rFonts w:asciiTheme="majorHAnsi" w:hAnsiTheme="majorHAnsi"/>
          <w:b/>
          <w:iCs/>
          <w:color w:val="548DD4" w:themeColor="text2" w:themeTint="99"/>
          <w:sz w:val="22"/>
          <w:szCs w:val="22"/>
        </w:rPr>
        <w:t xml:space="preserve"> min</w:t>
      </w:r>
      <w:r w:rsidRPr="005F7341">
        <w:rPr>
          <w:rFonts w:asciiTheme="majorHAnsi" w:hAnsiTheme="majorHAnsi"/>
          <w:b/>
          <w:iCs/>
          <w:sz w:val="22"/>
          <w:szCs w:val="22"/>
        </w:rPr>
        <w:t>.</w:t>
      </w:r>
      <w:r w:rsidRPr="005F7341">
        <w:rPr>
          <w:rFonts w:asciiTheme="majorHAnsi" w:hAnsiTheme="majorHAnsi"/>
          <w:iCs/>
          <w:sz w:val="22"/>
          <w:szCs w:val="22"/>
        </w:rPr>
        <w:t xml:space="preserve"> </w:t>
      </w:r>
      <w:r w:rsidRPr="005F7341">
        <w:rPr>
          <w:rFonts w:asciiTheme="majorHAnsi" w:hAnsiTheme="majorHAnsi"/>
          <w:iCs/>
          <w:sz w:val="22"/>
          <w:szCs w:val="22"/>
          <w:u w:val="single"/>
        </w:rPr>
        <w:t xml:space="preserve">Jei </w:t>
      </w:r>
      <w:r w:rsidRPr="005F7341">
        <w:rPr>
          <w:rFonts w:asciiTheme="majorHAnsi" w:hAnsiTheme="majorHAnsi"/>
          <w:iCs/>
          <w:sz w:val="22"/>
          <w:szCs w:val="22"/>
          <w:u w:val="single"/>
        </w:rPr>
        <w:lastRenderedPageBreak/>
        <w:t xml:space="preserve">pasiūlymas teikiamas šifruotas, slaptažodis turi būti pateiktas </w:t>
      </w:r>
      <w:r w:rsidR="005352B7" w:rsidRPr="005F7341">
        <w:rPr>
          <w:rFonts w:asciiTheme="majorHAnsi" w:hAnsiTheme="majorHAnsi"/>
          <w:b/>
          <w:iCs/>
          <w:color w:val="548DD4" w:themeColor="text2" w:themeTint="99"/>
          <w:sz w:val="22"/>
          <w:szCs w:val="22"/>
          <w:u w:val="single"/>
        </w:rPr>
        <w:t>2025</w:t>
      </w:r>
      <w:r w:rsidRPr="005F7341">
        <w:rPr>
          <w:rFonts w:asciiTheme="majorHAnsi" w:hAnsiTheme="majorHAnsi"/>
          <w:b/>
          <w:iCs/>
          <w:color w:val="548DD4" w:themeColor="text2" w:themeTint="99"/>
          <w:sz w:val="22"/>
          <w:szCs w:val="22"/>
          <w:u w:val="single"/>
        </w:rPr>
        <w:t xml:space="preserve"> m. </w:t>
      </w:r>
      <w:r w:rsidR="00900E69" w:rsidRPr="005F7341">
        <w:rPr>
          <w:rFonts w:asciiTheme="majorHAnsi" w:hAnsiTheme="majorHAnsi"/>
          <w:b/>
          <w:iCs/>
          <w:color w:val="548DD4" w:themeColor="text2" w:themeTint="99"/>
          <w:sz w:val="22"/>
          <w:szCs w:val="22"/>
          <w:u w:val="single"/>
        </w:rPr>
        <w:t>gruodžio</w:t>
      </w:r>
      <w:r w:rsidR="0086614F" w:rsidRPr="005F7341">
        <w:rPr>
          <w:rFonts w:asciiTheme="majorHAnsi" w:hAnsiTheme="majorHAnsi"/>
          <w:b/>
          <w:iCs/>
          <w:color w:val="548DD4" w:themeColor="text2" w:themeTint="99"/>
          <w:sz w:val="22"/>
          <w:szCs w:val="22"/>
          <w:u w:val="single"/>
        </w:rPr>
        <w:t xml:space="preserve"> </w:t>
      </w:r>
      <w:r w:rsidR="005F7341" w:rsidRPr="005F7341">
        <w:rPr>
          <w:rFonts w:asciiTheme="majorHAnsi" w:hAnsiTheme="majorHAnsi"/>
          <w:b/>
          <w:iCs/>
          <w:color w:val="548DD4" w:themeColor="text2" w:themeTint="99"/>
          <w:sz w:val="22"/>
          <w:szCs w:val="22"/>
          <w:u w:val="single"/>
        </w:rPr>
        <w:t xml:space="preserve">18 </w:t>
      </w:r>
      <w:r w:rsidRPr="005F7341">
        <w:rPr>
          <w:rFonts w:asciiTheme="majorHAnsi" w:hAnsiTheme="majorHAnsi"/>
          <w:b/>
          <w:iCs/>
          <w:color w:val="548DD4" w:themeColor="text2" w:themeTint="99"/>
          <w:sz w:val="22"/>
          <w:szCs w:val="22"/>
          <w:u w:val="single"/>
        </w:rPr>
        <w:t>d.</w:t>
      </w:r>
      <w:r w:rsidRPr="005F7341">
        <w:rPr>
          <w:rFonts w:asciiTheme="majorHAnsi" w:hAnsiTheme="majorHAnsi"/>
          <w:iCs/>
          <w:color w:val="548DD4" w:themeColor="text2" w:themeTint="99"/>
          <w:sz w:val="22"/>
          <w:szCs w:val="22"/>
          <w:u w:val="single"/>
        </w:rPr>
        <w:t xml:space="preserve"> intervale </w:t>
      </w:r>
      <w:r w:rsidR="006903DB" w:rsidRPr="005F7341">
        <w:rPr>
          <w:rFonts w:asciiTheme="majorHAnsi" w:hAnsiTheme="majorHAnsi"/>
          <w:b/>
          <w:iCs/>
          <w:color w:val="548DD4" w:themeColor="text2" w:themeTint="99"/>
          <w:sz w:val="22"/>
          <w:szCs w:val="22"/>
          <w:u w:val="single"/>
        </w:rPr>
        <w:t>08</w:t>
      </w:r>
      <w:r w:rsidR="00DD4F9C" w:rsidRPr="005F7341">
        <w:rPr>
          <w:rFonts w:asciiTheme="majorHAnsi" w:hAnsiTheme="majorHAnsi"/>
          <w:b/>
          <w:iCs/>
          <w:color w:val="548DD4" w:themeColor="text2" w:themeTint="99"/>
          <w:sz w:val="22"/>
          <w:szCs w:val="22"/>
          <w:u w:val="single"/>
        </w:rPr>
        <w:t>.</w:t>
      </w:r>
      <w:r w:rsidR="00D66BFF" w:rsidRPr="005F7341">
        <w:rPr>
          <w:rFonts w:asciiTheme="majorHAnsi" w:hAnsiTheme="majorHAnsi"/>
          <w:b/>
          <w:iCs/>
          <w:color w:val="548DD4" w:themeColor="text2" w:themeTint="99"/>
          <w:sz w:val="22"/>
          <w:szCs w:val="22"/>
          <w:u w:val="single"/>
        </w:rPr>
        <w:t>15</w:t>
      </w:r>
      <w:r w:rsidR="003D3011" w:rsidRPr="005F7341">
        <w:rPr>
          <w:rFonts w:asciiTheme="majorHAnsi" w:hAnsiTheme="majorHAnsi"/>
          <w:b/>
          <w:iCs/>
          <w:color w:val="548DD4" w:themeColor="text2" w:themeTint="99"/>
          <w:sz w:val="22"/>
          <w:szCs w:val="22"/>
          <w:u w:val="single"/>
        </w:rPr>
        <w:t xml:space="preserve"> –</w:t>
      </w:r>
      <w:r w:rsidR="006903DB" w:rsidRPr="005F7341">
        <w:rPr>
          <w:rFonts w:asciiTheme="majorHAnsi" w:hAnsiTheme="majorHAnsi"/>
          <w:b/>
          <w:iCs/>
          <w:color w:val="548DD4" w:themeColor="text2" w:themeTint="99"/>
          <w:sz w:val="22"/>
          <w:szCs w:val="22"/>
          <w:u w:val="single"/>
        </w:rPr>
        <w:t xml:space="preserve"> 08</w:t>
      </w:r>
      <w:r w:rsidR="00443024" w:rsidRPr="005F7341">
        <w:rPr>
          <w:rFonts w:asciiTheme="majorHAnsi" w:hAnsiTheme="majorHAnsi"/>
          <w:b/>
          <w:iCs/>
          <w:color w:val="548DD4" w:themeColor="text2" w:themeTint="99"/>
          <w:sz w:val="22"/>
          <w:szCs w:val="22"/>
          <w:u w:val="single"/>
        </w:rPr>
        <w:t>.</w:t>
      </w:r>
      <w:r w:rsidR="00D66BFF" w:rsidRPr="005F7341">
        <w:rPr>
          <w:rFonts w:asciiTheme="majorHAnsi" w:hAnsiTheme="majorHAnsi"/>
          <w:b/>
          <w:iCs/>
          <w:color w:val="548DD4" w:themeColor="text2" w:themeTint="99"/>
          <w:sz w:val="22"/>
          <w:szCs w:val="22"/>
          <w:u w:val="single"/>
        </w:rPr>
        <w:t>45</w:t>
      </w:r>
      <w:r w:rsidRPr="005F7341">
        <w:rPr>
          <w:rFonts w:asciiTheme="majorHAnsi" w:hAnsiTheme="majorHAnsi"/>
          <w:b/>
          <w:iCs/>
          <w:color w:val="548DD4" w:themeColor="text2" w:themeTint="99"/>
          <w:sz w:val="22"/>
          <w:szCs w:val="22"/>
          <w:u w:val="single"/>
        </w:rPr>
        <w:t xml:space="preserve"> val.</w:t>
      </w:r>
      <w:r w:rsidRPr="005F7341">
        <w:rPr>
          <w:rFonts w:asciiTheme="majorHAnsi" w:hAnsiTheme="majorHAnsi"/>
          <w:iCs/>
          <w:color w:val="548DD4" w:themeColor="text2" w:themeTint="99"/>
          <w:sz w:val="22"/>
          <w:szCs w:val="22"/>
          <w:u w:val="single"/>
        </w:rPr>
        <w:t xml:space="preserve"> </w:t>
      </w:r>
      <w:r w:rsidRPr="005F7341">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lastRenderedPageBreak/>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lastRenderedPageBreak/>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2D4681" w:rsidRPr="0044630B" w:rsidRDefault="00305C97" w:rsidP="0044630B">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Pr="0044630B" w:rsidRDefault="00492683" w:rsidP="0044630B">
      <w:pPr>
        <w:pStyle w:val="Body2"/>
        <w:spacing w:after="0"/>
        <w:ind w:firstLine="851"/>
        <w:rPr>
          <w:rFonts w:ascii="Cambria" w:hAnsi="Cambria" w:cs="Times New Roman"/>
        </w:rPr>
      </w:pPr>
      <w:r>
        <w:rPr>
          <w:rFonts w:asciiTheme="majorHAnsi" w:hAnsiTheme="majorHAnsi"/>
        </w:rPr>
        <w:t>15.2</w:t>
      </w:r>
      <w:r w:rsidRPr="00E871E0">
        <w:rPr>
          <w:rFonts w:asciiTheme="majorHAnsi" w:hAnsiTheme="majorHAnsi"/>
        </w:rPr>
        <w:t xml:space="preserve">. </w:t>
      </w:r>
      <w:r w:rsidR="0044630B" w:rsidRPr="002E6EC5">
        <w:rPr>
          <w:rFonts w:ascii="Cambria" w:hAnsi="Cambria"/>
          <w:lang w:val="lt-LT"/>
        </w:rPr>
        <w:t xml:space="preserve">Taikomos Viešųjų pirkimų tarnybos direktoriaus </w:t>
      </w:r>
      <w:r w:rsidR="0044630B" w:rsidRPr="002E6EC5">
        <w:rPr>
          <w:rFonts w:ascii="Cambria" w:hAnsi="Cambria"/>
        </w:rPr>
        <w:t xml:space="preserve">2025 m. balandžio 17 d. </w:t>
      </w:r>
      <w:proofErr w:type="gramStart"/>
      <w:r w:rsidR="0044630B" w:rsidRPr="002E6EC5">
        <w:rPr>
          <w:rFonts w:ascii="Cambria" w:hAnsi="Cambria"/>
        </w:rPr>
        <w:t>įsakymu  Nr</w:t>
      </w:r>
      <w:proofErr w:type="gramEnd"/>
      <w:r w:rsidR="0044630B" w:rsidRPr="002E6EC5">
        <w:rPr>
          <w:rFonts w:ascii="Cambria" w:hAnsi="Cambria"/>
        </w:rPr>
        <w:t xml:space="preserve">. 1S-51 </w:t>
      </w:r>
      <w:r w:rsidR="0044630B" w:rsidRPr="002E6EC5">
        <w:rPr>
          <w:rFonts w:ascii="Cambria" w:hAnsi="Cambria" w:cs="Times New Roman"/>
          <w:bCs/>
        </w:rPr>
        <w:t>„</w:t>
      </w:r>
      <w:r w:rsidR="0044630B" w:rsidRPr="002E6EC5">
        <w:rPr>
          <w:rFonts w:ascii="Cambria" w:hAnsi="Cambria"/>
          <w:bCs/>
        </w:rPr>
        <w:t xml:space="preserve">Dėl viešųjų pirkimų tarnybos direktoriaus 2024 m. </w:t>
      </w:r>
      <w:r w:rsidR="0044630B">
        <w:rPr>
          <w:rFonts w:ascii="Cambria" w:hAnsi="Cambria"/>
          <w:bCs/>
        </w:rPr>
        <w:t>v</w:t>
      </w:r>
      <w:r w:rsidR="0044630B" w:rsidRPr="002E6EC5">
        <w:rPr>
          <w:rFonts w:ascii="Cambria" w:hAnsi="Cambria"/>
          <w:bCs/>
        </w:rPr>
        <w:t>asario 8 d. įsakymo Nr. 1S-19 „Dėl prekių viešojo pirkimo – pardavimo sutarties tipinių sąlygų patvirtinimo</w:t>
      </w:r>
      <w:r w:rsidR="0044630B">
        <w:rPr>
          <w:rFonts w:ascii="Cambria" w:hAnsi="Cambria"/>
          <w:bCs/>
        </w:rPr>
        <w:t>”</w:t>
      </w:r>
      <w:r w:rsidR="0044630B" w:rsidRPr="002E6EC5">
        <w:rPr>
          <w:rFonts w:ascii="Cambria" w:hAnsi="Cambria"/>
          <w:bCs/>
        </w:rPr>
        <w:t xml:space="preserve"> pakeitimo</w:t>
      </w:r>
      <w:r w:rsidR="0044630B">
        <w:rPr>
          <w:rFonts w:ascii="Cambria" w:hAnsi="Cambria"/>
          <w:bCs/>
        </w:rPr>
        <w:t>”</w:t>
      </w:r>
      <w:r w:rsidR="0044630B" w:rsidRPr="002E6EC5">
        <w:rPr>
          <w:rFonts w:ascii="Cambria" w:hAnsi="Cambria"/>
          <w:bCs/>
        </w:rPr>
        <w:t xml:space="preserve"> </w:t>
      </w:r>
      <w:r w:rsidR="0044630B" w:rsidRPr="002E6EC5">
        <w:rPr>
          <w:rFonts w:ascii="Cambria" w:hAnsi="Cambria"/>
          <w:bCs/>
          <w:lang w:val="lt-LT"/>
        </w:rPr>
        <w:t>patvirtintos</w:t>
      </w:r>
      <w:r w:rsidR="0044630B" w:rsidRPr="002E6EC5">
        <w:rPr>
          <w:rFonts w:ascii="Cambria" w:hAnsi="Cambria"/>
          <w:shd w:val="clear" w:color="auto" w:fill="FFFFFF"/>
        </w:rPr>
        <w:t xml:space="preserve"> Prekių viešojo pirkimo–pardavimo sutarties specialiosios sąlygos</w:t>
      </w:r>
      <w:r w:rsidR="0044630B" w:rsidRPr="002E6EC5">
        <w:rPr>
          <w:rFonts w:ascii="Cambria" w:hAnsi="Cambria"/>
          <w:lang w:val="lt-LT"/>
        </w:rPr>
        <w:t xml:space="preserve"> (2 priedas) ir p</w:t>
      </w:r>
      <w:r w:rsidR="0044630B" w:rsidRPr="002E6EC5">
        <w:rPr>
          <w:rFonts w:ascii="Cambria" w:hAnsi="Cambria"/>
          <w:shd w:val="clear" w:color="auto" w:fill="FFFFFF"/>
        </w:rPr>
        <w:t>rekių viešojo pirkimo–pardavimo sutarties bendrosios sąlygos</w:t>
      </w:r>
      <w:r w:rsidR="0044630B" w:rsidRPr="002E6EC5">
        <w:rPr>
          <w:rFonts w:ascii="Cambria" w:hAnsi="Cambria"/>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2D4681"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00900E69">
        <w:rPr>
          <w:rFonts w:asciiTheme="majorHAnsi" w:hAnsiTheme="majorHAnsi"/>
          <w:b/>
          <w:color w:val="000000"/>
          <w:sz w:val="22"/>
          <w:szCs w:val="22"/>
        </w:rPr>
        <w:t>LENTYNĖLIŲ NEŠIOJAMAM KOMPIUTERIUI</w:t>
      </w:r>
      <w:r>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D66BFF">
              <w:rPr>
                <w:rFonts w:asciiTheme="majorHAnsi" w:hAnsiTheme="majorHAnsi"/>
                <w:b/>
                <w:color w:val="FF0000"/>
                <w:sz w:val="22"/>
                <w:szCs w:val="22"/>
                <w:highlight w:val="green"/>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229" w:rsidRDefault="00E66229" w:rsidP="00E0298C">
      <w:r>
        <w:separator/>
      </w:r>
    </w:p>
  </w:endnote>
  <w:endnote w:type="continuationSeparator" w:id="0">
    <w:p w:rsidR="00E66229" w:rsidRDefault="00E66229"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229" w:rsidRDefault="00E66229" w:rsidP="00E0298C">
      <w:r>
        <w:separator/>
      </w:r>
    </w:p>
  </w:footnote>
  <w:footnote w:type="continuationSeparator" w:id="0">
    <w:p w:rsidR="00E66229" w:rsidRDefault="00E66229"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6549F"/>
    <w:rsid w:val="00371887"/>
    <w:rsid w:val="003730C2"/>
    <w:rsid w:val="003801E9"/>
    <w:rsid w:val="003A2866"/>
    <w:rsid w:val="003C1BAF"/>
    <w:rsid w:val="003C3284"/>
    <w:rsid w:val="003C6BA3"/>
    <w:rsid w:val="003D3011"/>
    <w:rsid w:val="003D55C0"/>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5937"/>
    <w:rsid w:val="005F7341"/>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0E69"/>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229"/>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34C3"/>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77D1A-A8E9-44E9-ABA7-DA4AB6F5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11</Pages>
  <Words>24850</Words>
  <Characters>14165</Characters>
  <Application>Microsoft Office Word</Application>
  <DocSecurity>0</DocSecurity>
  <Lines>118</Lines>
  <Paragraphs>77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birželio  d. 08 val. 00 min.</vt:lpstr>
      <vt:lpstr>    6.4. Perkančioji organizacija reikalauja pasiūlymus teikti tik elektroninėmis pr</vt:lpstr>
      <vt:lpstr>    6.6. Pirkimo dalies kainos pateikiamos eurais, dviejų skaičių po kablelio tikslu</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60</cp:revision>
  <cp:lastPrinted>2020-12-27T15:30:00Z</cp:lastPrinted>
  <dcterms:created xsi:type="dcterms:W3CDTF">2023-10-25T07:37:00Z</dcterms:created>
  <dcterms:modified xsi:type="dcterms:W3CDTF">2025-12-11T09:38:00Z</dcterms:modified>
</cp:coreProperties>
</file>