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919002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AF17EF">
        <w:rPr>
          <w:rFonts w:ascii="Times New Roman" w:hAnsi="Times New Roman" w:cs="Times New Roman"/>
          <w:b/>
          <w:bCs/>
        </w:rPr>
        <w:t>Automatinių durų ir vartų remontas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235A4C14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AF17EF">
        <w:rPr>
          <w:rFonts w:ascii="Times New Roman" w:hAnsi="Times New Roman" w:cs="Times New Roman"/>
        </w:rPr>
        <w:t>3</w:t>
      </w:r>
      <w:bookmarkStart w:id="0" w:name="_GoBack"/>
      <w:bookmarkEnd w:id="0"/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500818">
        <w:rPr>
          <w:rFonts w:ascii="Times New Roman" w:hAnsi="Times New Roman" w:cs="Times New Roman"/>
          <w:lang w:val="en-US"/>
        </w:rPr>
        <w:t>ai</w:t>
      </w:r>
      <w:proofErr w:type="spellEnd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AF17EF"/>
    <w:rsid w:val="00B10C5A"/>
    <w:rsid w:val="00B93D73"/>
    <w:rsid w:val="00BD1075"/>
    <w:rsid w:val="00BD4F41"/>
    <w:rsid w:val="00BF5EBF"/>
    <w:rsid w:val="00C27945"/>
    <w:rsid w:val="00C41AD8"/>
    <w:rsid w:val="00C840EA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2024-02-29T08:03:00Z</cp:lastPrinted>
  <dcterms:created xsi:type="dcterms:W3CDTF">2024-02-29T08:38:00Z</dcterms:created>
  <dcterms:modified xsi:type="dcterms:W3CDTF">2025-12-11T13:03:00Z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