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0FE" w14:textId="77777777" w:rsidR="007875E3" w:rsidRDefault="007875E3" w:rsidP="007875E3">
      <w:pPr>
        <w:numPr>
          <w:ilvl w:val="1"/>
          <w:numId w:val="0"/>
        </w:numPr>
        <w:spacing w:after="0"/>
        <w:jc w:val="center"/>
        <w:rPr>
          <w:rFonts w:ascii="Verdana" w:hAnsi="Verdana" w:cs="Tahoma"/>
          <w:b/>
          <w:bCs/>
          <w:caps/>
          <w:color w:val="404040" w:themeColor="text1" w:themeTint="BF"/>
          <w:spacing w:val="20"/>
          <w:sz w:val="20"/>
          <w:szCs w:val="20"/>
        </w:rPr>
      </w:pPr>
      <w:r w:rsidRPr="004C111E">
        <w:rPr>
          <w:rFonts w:ascii="Verdana" w:hAnsi="Verdana" w:cs="Tahoma"/>
          <w:b/>
          <w:bCs/>
          <w:caps/>
          <w:color w:val="404040" w:themeColor="text1" w:themeTint="BF"/>
          <w:spacing w:val="20"/>
          <w:sz w:val="20"/>
          <w:szCs w:val="20"/>
        </w:rPr>
        <w:t>PASIŪLYMŲ VERTINIMO KRITERIJAI ir Sąlygos</w:t>
      </w:r>
    </w:p>
    <w:p w14:paraId="78F3C6A8" w14:textId="77777777" w:rsidR="007875E3" w:rsidRDefault="007875E3" w:rsidP="007875E3">
      <w:pPr>
        <w:numPr>
          <w:ilvl w:val="1"/>
          <w:numId w:val="0"/>
        </w:numPr>
        <w:spacing w:after="0"/>
        <w:jc w:val="center"/>
        <w:rPr>
          <w:rFonts w:ascii="Verdana" w:hAnsi="Verdana" w:cs="Tahoma"/>
          <w:b/>
          <w:bCs/>
          <w:caps/>
          <w:color w:val="404040" w:themeColor="text1" w:themeTint="BF"/>
          <w:spacing w:val="20"/>
          <w:sz w:val="20"/>
          <w:szCs w:val="20"/>
        </w:rPr>
      </w:pPr>
    </w:p>
    <w:p w14:paraId="3B191AEF" w14:textId="325D05A9" w:rsidR="007875E3" w:rsidRPr="009A55D7" w:rsidRDefault="007875E3" w:rsidP="007875E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Verdana" w:hAnsi="Verdana" w:cs="Tahoma"/>
          <w:color w:val="00B050"/>
          <w:sz w:val="20"/>
          <w:szCs w:val="20"/>
          <w:lang w:eastAsia="en-US"/>
        </w:rPr>
      </w:pPr>
      <w:r w:rsidRPr="7F0C70F8">
        <w:rPr>
          <w:rFonts w:ascii="Verdana" w:hAnsi="Verdana" w:cs="Tahoma"/>
          <w:sz w:val="20"/>
          <w:szCs w:val="20"/>
          <w:lang w:eastAsia="en-US"/>
        </w:rPr>
        <w:t xml:space="preserve">Tiekėjų pasiūlymo kaina su visom įskaičiuotomis išlaidomis ir visais mokesčiais negali būti didesnė nei </w:t>
      </w:r>
      <w:r w:rsidR="00AF4769">
        <w:rPr>
          <w:rFonts w:ascii="Verdana" w:hAnsi="Verdana" w:cs="Tahoma"/>
          <w:b/>
          <w:bCs/>
          <w:sz w:val="20"/>
          <w:szCs w:val="20"/>
          <w:lang w:eastAsia="en-US"/>
        </w:rPr>
        <w:t>1 470</w:t>
      </w:r>
      <w:r w:rsidRPr="7F0C70F8">
        <w:rPr>
          <w:rFonts w:ascii="Verdana" w:hAnsi="Verdana" w:cs="Tahoma"/>
          <w:b/>
          <w:bCs/>
          <w:sz w:val="20"/>
          <w:szCs w:val="20"/>
          <w:lang w:eastAsia="en-US"/>
        </w:rPr>
        <w:t> 000,00 (su PVM)</w:t>
      </w:r>
      <w:r w:rsidRPr="7F0C70F8">
        <w:rPr>
          <w:rFonts w:ascii="Verdana" w:hAnsi="Verdana" w:cs="Tahoma"/>
          <w:sz w:val="20"/>
          <w:szCs w:val="20"/>
          <w:lang w:eastAsia="en-US"/>
        </w:rPr>
        <w:t xml:space="preserve">. Didesnę kainą perkančioji organizacija laikys, per didele ir nepriimtina. </w:t>
      </w:r>
    </w:p>
    <w:p w14:paraId="4D2B1F0F" w14:textId="77777777" w:rsidR="007875E3" w:rsidRPr="009A55D7" w:rsidRDefault="007875E3" w:rsidP="007875E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Verdana" w:eastAsiaTheme="minorHAnsi" w:hAnsi="Verdana" w:cs="Tahoma"/>
          <w:color w:val="000000" w:themeColor="text1"/>
          <w:sz w:val="20"/>
          <w:szCs w:val="20"/>
          <w:lang w:eastAsia="en-US"/>
        </w:rPr>
      </w:pPr>
      <w:r w:rsidRPr="009A55D7">
        <w:rPr>
          <w:rFonts w:ascii="Verdana" w:eastAsiaTheme="minorHAnsi" w:hAnsi="Verdana" w:cs="Tahoma"/>
          <w:color w:val="000000" w:themeColor="text1"/>
          <w:sz w:val="20"/>
          <w:szCs w:val="20"/>
          <w:lang w:eastAsia="en-US"/>
        </w:rPr>
        <w:t xml:space="preserve">Perkančioji organizacija vertindama pasiūlymus atsižvelgs į tai, kokia </w:t>
      </w:r>
      <w:r w:rsidRPr="009A55D7">
        <w:rPr>
          <w:rFonts w:ascii="Verdana" w:eastAsiaTheme="minorHAnsi" w:hAnsi="Verdana" w:cs="Tahoma"/>
          <w:bCs/>
          <w:color w:val="000000" w:themeColor="text1"/>
          <w:sz w:val="20"/>
          <w:szCs w:val="20"/>
          <w:lang w:eastAsia="en-US"/>
        </w:rPr>
        <w:t>bus galutinė lėšų suma išleista viešajam pirkimui, įskaitant ir dėl sutarties sudarymo su viešojo pirkimo laimėtoju jos pačios įgyjamas mokestines prievoles (ar teises).</w:t>
      </w:r>
    </w:p>
    <w:p w14:paraId="0A53734B" w14:textId="77777777" w:rsidR="007875E3" w:rsidRPr="009A55D7" w:rsidRDefault="007875E3" w:rsidP="007875E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Pr="009A55D7">
        <w:rPr>
          <w:rFonts w:ascii="Verdana" w:hAnsi="Verdana" w:cs="Tahoma"/>
          <w:sz w:val="20"/>
          <w:szCs w:val="20"/>
        </w:rPr>
        <w:t xml:space="preserve">. </w:t>
      </w:r>
      <w:r w:rsidRPr="009A55D7">
        <w:rPr>
          <w:rFonts w:ascii="Verdana" w:hAnsi="Verdana" w:cs="Tahoma"/>
          <w:sz w:val="20"/>
          <w:szCs w:val="20"/>
        </w:rPr>
        <w:tab/>
      </w:r>
      <w:r w:rsidRPr="009A55D7">
        <w:rPr>
          <w:rFonts w:ascii="Verdana" w:eastAsia="Times New Roman" w:hAnsi="Verdana" w:cs="Tahoma"/>
          <w:sz w:val="20"/>
          <w:szCs w:val="20"/>
        </w:rPr>
        <w:t>Ekonomiškai naudingiausias pasiūlymas bus išrenkamas pagal šiuos kiekybiškai įvertinamus kokybinius vertinimo kriterijus: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1559"/>
        <w:gridCol w:w="1984"/>
      </w:tblGrid>
      <w:tr w:rsidR="007875E3" w:rsidRPr="009A55D7" w14:paraId="29A6B365" w14:textId="77777777" w:rsidTr="005A4839">
        <w:tc>
          <w:tcPr>
            <w:tcW w:w="5983" w:type="dxa"/>
          </w:tcPr>
          <w:p w14:paraId="3E7ACCDA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  <w:bookmarkStart w:id="0" w:name="_Hlk37942218"/>
            <w:r w:rsidRPr="009A55D7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Vertinimo kriterijai</w:t>
            </w:r>
          </w:p>
        </w:tc>
        <w:tc>
          <w:tcPr>
            <w:tcW w:w="1559" w:type="dxa"/>
          </w:tcPr>
          <w:p w14:paraId="0811A16A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  <w:r w:rsidRPr="009A55D7">
              <w:rPr>
                <w:rFonts w:ascii="Verdana" w:eastAsia="Times New Roman" w:hAnsi="Verdana" w:cs="Tahoma"/>
                <w:b/>
                <w:sz w:val="20"/>
                <w:szCs w:val="20"/>
              </w:rPr>
              <w:t>Funkcinio parametro lyginamasis svoris</w:t>
            </w:r>
          </w:p>
        </w:tc>
        <w:tc>
          <w:tcPr>
            <w:tcW w:w="1984" w:type="dxa"/>
          </w:tcPr>
          <w:p w14:paraId="276A074C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  <w:r w:rsidRPr="009A55D7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Lyginamasis svoris ekonominio naudingumo įvertinime, proc.</w:t>
            </w:r>
          </w:p>
        </w:tc>
      </w:tr>
      <w:tr w:rsidR="007875E3" w:rsidRPr="009A55D7" w14:paraId="6F0DF4DE" w14:textId="77777777" w:rsidTr="005A4839">
        <w:tc>
          <w:tcPr>
            <w:tcW w:w="7542" w:type="dxa"/>
            <w:gridSpan w:val="2"/>
          </w:tcPr>
          <w:p w14:paraId="7B3CF9C9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Pirmas kriterijus: Kaina (C)</w:t>
            </w:r>
          </w:p>
        </w:tc>
        <w:tc>
          <w:tcPr>
            <w:tcW w:w="1984" w:type="dxa"/>
          </w:tcPr>
          <w:p w14:paraId="6D479AE3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val="en-US"/>
              </w:rPr>
            </w:pPr>
            <w:r w:rsidRPr="009A55D7">
              <w:rPr>
                <w:rFonts w:ascii="Verdana" w:eastAsia="Times New Roman" w:hAnsi="Verdana" w:cs="Tahoma"/>
                <w:sz w:val="20"/>
                <w:szCs w:val="20"/>
              </w:rPr>
              <w:t>X = 40</w:t>
            </w:r>
          </w:p>
        </w:tc>
      </w:tr>
      <w:tr w:rsidR="007875E3" w:rsidRPr="009A55D7" w14:paraId="5C3B69D5" w14:textId="77777777" w:rsidTr="005A4839">
        <w:tc>
          <w:tcPr>
            <w:tcW w:w="7542" w:type="dxa"/>
            <w:gridSpan w:val="2"/>
          </w:tcPr>
          <w:p w14:paraId="0577D2FA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fi-FI"/>
              </w:rPr>
              <w:t>Antras kriterijus: Specialistų darbo patirtis (T</w:t>
            </w:r>
            <w:r w:rsidRPr="009A55D7">
              <w:rPr>
                <w:rFonts w:ascii="Verdana" w:eastAsia="Times New Roman" w:hAnsi="Verdana" w:cs="Tahoma"/>
                <w:b/>
                <w:bCs/>
                <w:sz w:val="20"/>
                <w:szCs w:val="20"/>
                <w:vertAlign w:val="subscript"/>
                <w:lang w:eastAsia="fi-FI"/>
              </w:rPr>
              <w:t>1</w:t>
            </w:r>
            <w:r w:rsidRPr="009A55D7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1984" w:type="dxa"/>
          </w:tcPr>
          <w:p w14:paraId="60E56AB4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Times New Roman" w:hAnsi="Verdana" w:cs="Tahoma"/>
                <w:bCs/>
                <w:sz w:val="20"/>
                <w:szCs w:val="20"/>
              </w:rPr>
              <w:t>Y</w:t>
            </w:r>
            <w:r w:rsidRPr="009A55D7">
              <w:rPr>
                <w:rFonts w:ascii="Verdana" w:eastAsia="Times New Roman" w:hAnsi="Verdana" w:cs="Tahoma"/>
                <w:bCs/>
                <w:sz w:val="20"/>
                <w:szCs w:val="20"/>
                <w:vertAlign w:val="subscript"/>
              </w:rPr>
              <w:t>1</w:t>
            </w:r>
            <w:r w:rsidRPr="009A55D7">
              <w:rPr>
                <w:rFonts w:ascii="Verdana" w:eastAsia="Times New Roman" w:hAnsi="Verdana" w:cs="Tahoma"/>
                <w:bCs/>
                <w:sz w:val="20"/>
                <w:szCs w:val="20"/>
              </w:rPr>
              <w:t>= 60</w:t>
            </w:r>
          </w:p>
        </w:tc>
      </w:tr>
      <w:tr w:rsidR="007875E3" w:rsidRPr="009A55D7" w14:paraId="6C722219" w14:textId="77777777" w:rsidTr="005A4839">
        <w:tc>
          <w:tcPr>
            <w:tcW w:w="59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58068A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Pirmas parametras: P</w:t>
            </w:r>
            <w:r w:rsidRPr="009A55D7"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bscript"/>
              </w:rPr>
              <w:t>11</w:t>
            </w:r>
            <w:r w:rsidRPr="009A55D7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. </w:t>
            </w:r>
          </w:p>
          <w:p w14:paraId="41FFC721" w14:textId="2EC62BDE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b/>
                <w:sz w:val="20"/>
                <w:szCs w:val="20"/>
              </w:rPr>
              <w:t>Projekto vadovo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Pr="009A55D7">
              <w:rPr>
                <w:rFonts w:ascii="Verdana" w:eastAsia="Verdana" w:hAnsi="Verdana" w:cs="Verdana"/>
                <w:b/>
                <w:sz w:val="20"/>
                <w:szCs w:val="20"/>
              </w:rPr>
              <w:t>/ koordinatoriaus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43CB8">
              <w:rPr>
                <w:rFonts w:ascii="Verdana" w:eastAsia="Verdana" w:hAnsi="Verdana" w:cs="Verdana"/>
                <w:b/>
                <w:sz w:val="20"/>
                <w:szCs w:val="20"/>
              </w:rPr>
              <w:t>patirtis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per paskutinius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metus vadovavus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/ koordinavus 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 xml:space="preserve">9-10 (I-II) ir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(ar) 11-12 (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>III-IV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 xml:space="preserve"> gimnazijos klasių 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mokinių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verslumo ugdymo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sutartims (-is)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>
              <w:t xml:space="preserve"> </w:t>
            </w:r>
            <w:r w:rsidRPr="00AE5EA8">
              <w:rPr>
                <w:rFonts w:ascii="Verdana" w:eastAsia="Verdana" w:hAnsi="Verdana" w:cs="Verdana"/>
                <w:sz w:val="20"/>
                <w:szCs w:val="20"/>
              </w:rPr>
              <w:t>apimančioms vieną ar kelias verslumo sritis: bendrąjį</w:t>
            </w:r>
            <w:r w:rsidR="00AF4769">
              <w:rPr>
                <w:rFonts w:ascii="Verdana" w:eastAsia="Verdana" w:hAnsi="Verdana" w:cs="Verdana"/>
                <w:sz w:val="20"/>
                <w:szCs w:val="20"/>
              </w:rPr>
              <w:t xml:space="preserve"> ir (arba) praktinį</w:t>
            </w:r>
            <w:r w:rsidRPr="00AE5EA8">
              <w:rPr>
                <w:rFonts w:ascii="Verdana" w:eastAsia="Verdana" w:hAnsi="Verdana" w:cs="Verdana"/>
                <w:sz w:val="20"/>
                <w:szCs w:val="20"/>
              </w:rPr>
              <w:t xml:space="preserve"> verslumą, skaitmeninį verslumą, socialinį, ar technologinį verslumą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0C872584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Vertinamas vadovautų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/ koordinuotų sutarčių skaičius. </w:t>
            </w:r>
          </w:p>
          <w:p w14:paraId="37B6FB57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Minimalus kvalifikacinis reikalavimas – viena sutartis (</w:t>
            </w:r>
            <w:r w:rsidRPr="009A55D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už minimalią kvalifikaciją papildomai balai nesuteikiami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). 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D50FE7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val="en-US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9A55D7"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  <w:t>11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= 0,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5CFB57B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</w:tr>
      <w:tr w:rsidR="007875E3" w:rsidRPr="009A55D7" w14:paraId="3E3D47BE" w14:textId="77777777" w:rsidTr="005A4839">
        <w:tc>
          <w:tcPr>
            <w:tcW w:w="59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9317EF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Antras parametras: P</w:t>
            </w:r>
            <w:r w:rsidRPr="009A55D7"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bscript"/>
              </w:rPr>
              <w:t xml:space="preserve">12. </w:t>
            </w:r>
          </w:p>
          <w:p w14:paraId="330A1998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</w:t>
            </w:r>
            <w:r w:rsidRPr="00A43CB8">
              <w:rPr>
                <w:rFonts w:ascii="Verdana" w:eastAsia="Verdana" w:hAnsi="Verdana" w:cs="Verdana"/>
                <w:b/>
                <w:sz w:val="20"/>
                <w:szCs w:val="20"/>
              </w:rPr>
              <w:t>erslumo ugdymo eksperto patirtis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per paskutinius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metus sėkmingai įgyvendinus </w:t>
            </w:r>
            <w:r w:rsidRPr="00423138">
              <w:rPr>
                <w:rFonts w:ascii="Verdana" w:eastAsia="Verdana" w:hAnsi="Verdana" w:cs="Verdana"/>
                <w:sz w:val="20"/>
                <w:szCs w:val="20"/>
              </w:rPr>
              <w:t xml:space="preserve">praktinio verslumo ir / ar skaitmeninio verslumo ugdymo programą 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>9-10 (I-II) ir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(ar)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11-12 (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>III-IV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 xml:space="preserve"> gimnazijos klasių</w:t>
            </w:r>
            <w:r w:rsidRPr="00423138">
              <w:rPr>
                <w:rFonts w:ascii="Verdana" w:eastAsia="Verdana" w:hAnsi="Verdana" w:cs="Verdana"/>
                <w:sz w:val="20"/>
                <w:szCs w:val="20"/>
              </w:rPr>
              <w:t xml:space="preserve"> moksleiviams bendrojo ugdymo mokyklose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2584BA1B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Vertinamas sėkmingai įgyvendintų 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>9-10 (I-II) ir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(ar)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11-12 (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>III-IV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Pr="00653557">
              <w:rPr>
                <w:rFonts w:ascii="Verdana" w:eastAsia="Verdana" w:hAnsi="Verdana" w:cs="Verdana"/>
                <w:sz w:val="20"/>
                <w:szCs w:val="20"/>
              </w:rPr>
              <w:t xml:space="preserve"> gimnazijos klasių 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praktinio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ir (arba) skaitmeninio 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verslumo ugdymo programų sutarčių skaičius, kuriose ekspertai dalyvavo. Minimalus kvalifikacinis reikalavimas vienam ekspertui – viena sutartis (</w:t>
            </w:r>
            <w:r w:rsidRPr="009A55D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už minimalią kvalifikaciją papildomai balai nesuteikiami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). </w:t>
            </w:r>
          </w:p>
          <w:p w14:paraId="6FE46823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Pasitelkiant kelis ekspertus jų patirtis sumuojama.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7BE7C0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9A55D7"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  <w:t>12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= 0,3</w:t>
            </w:r>
          </w:p>
        </w:tc>
        <w:tc>
          <w:tcPr>
            <w:tcW w:w="1984" w:type="dxa"/>
          </w:tcPr>
          <w:p w14:paraId="34766CEB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Verdana" w:eastAsia="Times New Roman" w:hAnsi="Verdana" w:cs="Tahoma"/>
                <w:sz w:val="20"/>
                <w:szCs w:val="20"/>
                <w:highlight w:val="yellow"/>
              </w:rPr>
            </w:pPr>
          </w:p>
        </w:tc>
      </w:tr>
      <w:tr w:rsidR="007875E3" w:rsidRPr="009A55D7" w14:paraId="3952DD73" w14:textId="77777777" w:rsidTr="005A4839">
        <w:tc>
          <w:tcPr>
            <w:tcW w:w="59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F60BBB" w14:textId="77777777" w:rsidR="007875E3" w:rsidRPr="009A55D7" w:rsidRDefault="005A4839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bscript"/>
              </w:rPr>
            </w:pPr>
            <w:sdt>
              <w:sdtPr>
                <w:rPr>
                  <w:sz w:val="20"/>
                  <w:szCs w:val="20"/>
                </w:rPr>
                <w:tag w:val="goog_rdk_22"/>
                <w:id w:val="325561215"/>
              </w:sdtPr>
              <w:sdtEndPr/>
              <w:sdtContent/>
            </w:sdt>
            <w:r w:rsidR="007875E3" w:rsidRPr="009A55D7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Trečias parametras: P</w:t>
            </w:r>
            <w:r w:rsidR="007875E3" w:rsidRPr="009A55D7"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bscript"/>
              </w:rPr>
              <w:t>13.</w:t>
            </w:r>
          </w:p>
          <w:p w14:paraId="2D2CD841" w14:textId="77777777" w:rsidR="007875E3" w:rsidRPr="00A43CB8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1929C92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Verslumo</w:t>
            </w:r>
            <w:sdt>
              <w:sdtPr>
                <w:rPr>
                  <w:b/>
                  <w:bCs/>
                  <w:sz w:val="20"/>
                  <w:szCs w:val="20"/>
                </w:rPr>
                <w:tag w:val="goog_rdk_24"/>
                <w:id w:val="-626163570"/>
              </w:sdtPr>
              <w:sdtEndPr/>
              <w:sdtContent/>
            </w:sdt>
            <w:sdt>
              <w:sdtPr>
                <w:rPr>
                  <w:b/>
                  <w:bCs/>
                  <w:sz w:val="20"/>
                  <w:szCs w:val="20"/>
                </w:rPr>
                <w:tag w:val="goog_rdk_25"/>
                <w:id w:val="923764722"/>
              </w:sdtPr>
              <w:sdtEndPr/>
              <w:sdtContent/>
            </w:sdt>
            <w:r w:rsidRPr="1929C92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ir skaitmeninių kompetencijų ugdymo ekspertų skaičius.</w:t>
            </w:r>
          </w:p>
          <w:p w14:paraId="2C710EDB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Vertinamas programos įgyvendinimui pasitelkiamų verslumo ir skaitmeninių kompetencijų</w:t>
            </w:r>
            <w:sdt>
              <w:sdtPr>
                <w:rPr>
                  <w:sz w:val="20"/>
                  <w:szCs w:val="20"/>
                </w:rPr>
                <w:tag w:val="goog_rdk_26"/>
                <w:id w:val="-1877541120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27"/>
                <w:id w:val="394779270"/>
              </w:sdtPr>
              <w:sdtEndPr/>
              <w:sdtContent/>
            </w:sdt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ugdymo ekspertų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r w:rsidRPr="0077020E">
              <w:rPr>
                <w:rFonts w:ascii="Verdana" w:eastAsia="Verdana" w:hAnsi="Verdana" w:cs="Verdana"/>
                <w:sz w:val="20"/>
                <w:szCs w:val="20"/>
              </w:rPr>
              <w:t>atitinkan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čių</w:t>
            </w:r>
            <w:r w:rsidRPr="0077020E">
              <w:rPr>
                <w:rFonts w:ascii="Verdana" w:eastAsia="Verdana" w:hAnsi="Verdana" w:cs="Verdana"/>
                <w:sz w:val="20"/>
                <w:szCs w:val="20"/>
              </w:rPr>
              <w:t xml:space="preserve"> Pirkimo sąlygų 4 priedo „Tiekėjų kvalifikacijos reikalavimai ir reikalaujami kokybės bei aplinkos apsaugos vadybos sistemų standartai“ lentelės 3.2.2 p. ir 3.2.3 p. minimalius kvalifikacijos reikalavimus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skaičius. </w:t>
            </w:r>
          </w:p>
          <w:p w14:paraId="0853A7DA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Minimalus kvalifikacinis reikalavimas – vienas ekspertas verslumo ekspertas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ir vienas skaitmeninių kompetencijų ekspertas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r w:rsidRPr="0077020E">
              <w:rPr>
                <w:rFonts w:ascii="Verdana" w:eastAsia="Verdana" w:hAnsi="Verdana" w:cs="Verdana"/>
                <w:sz w:val="20"/>
                <w:szCs w:val="20"/>
              </w:rPr>
              <w:t xml:space="preserve">atitinkantys Pirkimo sąlygų 4 priedo „Tiekėjų kvalifikacijos reikalavimai ir reikalaujami kokybės bei aplinkos apsaugos vadybos sistemų standartai“ lentelės </w:t>
            </w:r>
            <w:r w:rsidRPr="0077020E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3.2.2 p. ir 3.2.3 p. minimalius kvalifikacijos reikalavimus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9A55D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už minimalią kvalifikaciją papildomai balai nesuteikiami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). 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5B03D5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val="en-US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L</w:t>
            </w:r>
            <w:r w:rsidRPr="009A55D7"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  <w:t>13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= 0,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AAEA73F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Verdana" w:eastAsia="Times New Roman" w:hAnsi="Verdana" w:cs="Tahoma"/>
                <w:sz w:val="20"/>
                <w:szCs w:val="20"/>
                <w:highlight w:val="yellow"/>
              </w:rPr>
            </w:pPr>
          </w:p>
        </w:tc>
      </w:tr>
      <w:tr w:rsidR="007875E3" w:rsidRPr="009A55D7" w14:paraId="75331B8E" w14:textId="77777777" w:rsidTr="005A4839">
        <w:tc>
          <w:tcPr>
            <w:tcW w:w="59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065C25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Tahoma" w:hAnsi="Verdana" w:cs="Tahoma"/>
                <w:b/>
                <w:sz w:val="20"/>
                <w:szCs w:val="20"/>
              </w:rPr>
            </w:pPr>
            <w:r>
              <w:rPr>
                <w:rFonts w:ascii="Verdana" w:eastAsia="Tahoma" w:hAnsi="Verdana" w:cs="Tahoma"/>
                <w:b/>
                <w:i/>
                <w:iCs/>
                <w:sz w:val="20"/>
                <w:szCs w:val="20"/>
              </w:rPr>
              <w:t>Ketvirtasis</w:t>
            </w:r>
            <w:r w:rsidRPr="009A55D7">
              <w:rPr>
                <w:rFonts w:ascii="Verdana" w:eastAsia="Tahoma" w:hAnsi="Verdana" w:cs="Tahoma"/>
                <w:b/>
                <w:i/>
                <w:iCs/>
                <w:sz w:val="20"/>
                <w:szCs w:val="20"/>
              </w:rPr>
              <w:t xml:space="preserve"> parametras:</w:t>
            </w:r>
            <w:r w:rsidRPr="009A55D7">
              <w:rPr>
                <w:rFonts w:ascii="Verdana" w:eastAsia="Tahoma" w:hAnsi="Verdana" w:cs="Tahoma"/>
                <w:b/>
                <w:sz w:val="20"/>
                <w:szCs w:val="20"/>
              </w:rPr>
              <w:t xml:space="preserve"> P</w:t>
            </w:r>
            <w:r w:rsidRPr="009A55D7"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bscript"/>
              </w:rPr>
              <w:t>1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bscript"/>
              </w:rPr>
              <w:t>4</w:t>
            </w:r>
          </w:p>
          <w:p w14:paraId="7E09C956" w14:textId="77777777" w:rsidR="007875E3" w:rsidRPr="00046BC5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Tahom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>U</w:t>
            </w:r>
            <w:r w:rsidRPr="006254D2"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 xml:space="preserve">gdymo programų </w:t>
            </w:r>
            <w:r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>metodologijų sudarymo e</w:t>
            </w:r>
            <w:r w:rsidRPr="00046BC5"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>kspert</w:t>
            </w:r>
            <w:r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>o (-ų)</w:t>
            </w:r>
            <w:r w:rsidRPr="00046BC5"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>patirtis.</w:t>
            </w:r>
            <w:r w:rsidRPr="00046BC5">
              <w:rPr>
                <w:rFonts w:ascii="Verdana" w:eastAsia="Tahoma" w:hAnsi="Verdana" w:cs="Tahoma"/>
                <w:b/>
                <w:bCs/>
                <w:sz w:val="20"/>
                <w:szCs w:val="20"/>
              </w:rPr>
              <w:t xml:space="preserve"> </w:t>
            </w:r>
          </w:p>
          <w:p w14:paraId="587DD689" w14:textId="77777777" w:rsidR="007875E3" w:rsidRPr="00046BC5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Tahoma" w:hAnsi="Verdana" w:cs="Tahoma"/>
                <w:sz w:val="20"/>
                <w:szCs w:val="20"/>
              </w:rPr>
            </w:pPr>
            <w:r w:rsidRPr="00046BC5">
              <w:rPr>
                <w:rFonts w:ascii="Verdana" w:eastAsia="Tahoma" w:hAnsi="Verdana" w:cs="Tahoma"/>
                <w:sz w:val="20"/>
                <w:szCs w:val="20"/>
              </w:rPr>
              <w:t>Vertinama vieno ar daugiau ekspertų patirtis, kurie per pastaruosius 5 metus yra sukūrę mažiausiai vieną metodologiją, skirtą 9–10 (I–II) ir (ar) 11–12 (III–IV) gimnazijos klasių mokinių praktinio ir / ar skaitmeninio verslumo ugdymui.</w:t>
            </w:r>
            <w:r w:rsidRPr="00046BC5">
              <w:t xml:space="preserve"> </w:t>
            </w:r>
          </w:p>
          <w:p w14:paraId="6E9C2DFE" w14:textId="77777777" w:rsidR="007875E3" w:rsidRPr="009A55D7" w:rsidRDefault="007875E3" w:rsidP="00A3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 xml:space="preserve">Vertinamas eksperto sutarčių skaičius. </w:t>
            </w:r>
          </w:p>
          <w:p w14:paraId="789D5C83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ahoma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4DE73A98">
              <w:rPr>
                <w:rFonts w:ascii="Verdana" w:eastAsia="Verdana" w:hAnsi="Verdana" w:cs="Verdana"/>
                <w:sz w:val="20"/>
                <w:szCs w:val="20"/>
              </w:rPr>
              <w:t>Minimalus kvalifikacinis reikalavimas – viena sutartis (</w:t>
            </w:r>
            <w:r w:rsidRPr="4DE73A98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už minimalią kvalifikaciją papildomai balai nesuteikiami</w:t>
            </w:r>
            <w:r w:rsidRPr="4DE73A98">
              <w:rPr>
                <w:rFonts w:ascii="Verdana" w:eastAsia="Verdana" w:hAnsi="Verdana" w:cs="Verdana"/>
                <w:sz w:val="20"/>
                <w:szCs w:val="20"/>
              </w:rPr>
              <w:t>).</w:t>
            </w:r>
            <w:r w:rsidRPr="4DE73A98">
              <w:rPr>
                <w:rFonts w:ascii="Verdana" w:eastAsia="Tahom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F2F584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  <w:r w:rsidRPr="009A55D7"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9A55D7"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  <w:t>4</w:t>
            </w:r>
            <w:r w:rsidRPr="009A55D7">
              <w:rPr>
                <w:rFonts w:ascii="Verdana" w:eastAsia="Verdana" w:hAnsi="Verdana" w:cs="Verdana"/>
                <w:sz w:val="20"/>
                <w:szCs w:val="20"/>
              </w:rPr>
              <w:t>= 0,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EC1A065" w14:textId="77777777" w:rsidR="007875E3" w:rsidRPr="009A55D7" w:rsidRDefault="007875E3" w:rsidP="00A3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</w:tr>
    </w:tbl>
    <w:bookmarkEnd w:id="0"/>
    <w:p w14:paraId="44B500C2" w14:textId="77777777" w:rsidR="007875E3" w:rsidRPr="009A55D7" w:rsidRDefault="007875E3" w:rsidP="007875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9A55D7">
        <w:rPr>
          <w:rFonts w:ascii="Verdana" w:eastAsia="Times New Roman" w:hAnsi="Verdana" w:cs="Tahoma"/>
          <w:b/>
          <w:bCs/>
          <w:sz w:val="20"/>
          <w:szCs w:val="20"/>
        </w:rPr>
        <w:t>Pastaba</w:t>
      </w:r>
      <w:r w:rsidRPr="009A55D7">
        <w:rPr>
          <w:rFonts w:ascii="Verdana" w:eastAsia="Times New Roman" w:hAnsi="Verdana" w:cs="Tahoma"/>
          <w:sz w:val="20"/>
          <w:szCs w:val="20"/>
        </w:rPr>
        <w:t xml:space="preserve">: </w:t>
      </w:r>
      <w:r w:rsidRPr="009A55D7">
        <w:rPr>
          <w:rFonts w:ascii="Verdana" w:eastAsia="Times New Roman" w:hAnsi="Verdana" w:cs="Tahoma"/>
          <w:b/>
          <w:sz w:val="20"/>
          <w:szCs w:val="20"/>
        </w:rPr>
        <w:t>specialistai, kurių darbo patirtimi remiamasi nustatant ekonomiškai naudingiausią pasiūlymą, bus atsakingi už sutarties vykdymą ir bus įtraukti į sutarties nuostatas. Sutarties vykdymo metu tokius specialistus galima keisti ne žemesnės kvalifikacijos ir ne prastesnės patirties specialistais.</w:t>
      </w:r>
    </w:p>
    <w:p w14:paraId="6EEAFB26" w14:textId="77777777" w:rsidR="007875E3" w:rsidRPr="009A55D7" w:rsidRDefault="007875E3" w:rsidP="007875E3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sz w:val="20"/>
          <w:szCs w:val="20"/>
        </w:rPr>
        <w:t xml:space="preserve"> </w:t>
      </w:r>
      <w:r>
        <w:rPr>
          <w:rFonts w:ascii="Verdana" w:eastAsia="Times New Roman" w:hAnsi="Verdana" w:cs="Tahoma"/>
          <w:sz w:val="20"/>
          <w:szCs w:val="20"/>
        </w:rPr>
        <w:t>4</w:t>
      </w:r>
      <w:r w:rsidRPr="009A55D7">
        <w:rPr>
          <w:rFonts w:ascii="Verdana" w:eastAsia="Times New Roman" w:hAnsi="Verdana" w:cs="Tahoma"/>
          <w:sz w:val="20"/>
          <w:szCs w:val="20"/>
        </w:rPr>
        <w:t>. Ekonominis naudingumas (S) apskaičiuojamas sudedant tiekėjo pasiūlymo kainos C ir kitų kriterijų (T) balus:</w:t>
      </w:r>
    </w:p>
    <w:p w14:paraId="47B1D77E" w14:textId="77777777" w:rsidR="007875E3" w:rsidRPr="009A55D7" w:rsidRDefault="007875E3" w:rsidP="007875E3">
      <w:pPr>
        <w:tabs>
          <w:tab w:val="left" w:pos="993"/>
        </w:tabs>
        <w:autoSpaceDN w:val="0"/>
        <w:spacing w:before="120" w:after="0" w:line="240" w:lineRule="auto"/>
        <w:jc w:val="center"/>
        <w:rPr>
          <w:rFonts w:ascii="Verdana" w:eastAsia="Times New Roman" w:hAnsi="Verdana" w:cs="Tahoma"/>
          <w:i/>
          <w:sz w:val="20"/>
          <w:szCs w:val="20"/>
        </w:rPr>
      </w:pPr>
      <w:r w:rsidRPr="009A55D7">
        <w:rPr>
          <w:rFonts w:ascii="Verdana" w:eastAsia="Times New Roman" w:hAnsi="Verdana" w:cs="Tahoma"/>
          <w:position w:val="-6"/>
          <w:sz w:val="20"/>
          <w:szCs w:val="20"/>
        </w:rPr>
        <w:object w:dxaOrig="1020" w:dyaOrig="283" w14:anchorId="08C42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5pt" o:ole="" fillcolor="window">
            <v:imagedata r:id="rId5" o:title=""/>
          </v:shape>
          <o:OLEObject Type="Embed" ProgID="Equation.3" ShapeID="_x0000_i1025" DrawAspect="Content" ObjectID="_1826985215" r:id="rId6"/>
        </w:object>
      </w:r>
    </w:p>
    <w:p w14:paraId="0CA4CBD4" w14:textId="77777777" w:rsidR="007875E3" w:rsidRPr="009A55D7" w:rsidRDefault="007875E3" w:rsidP="007875E3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sz w:val="20"/>
          <w:szCs w:val="20"/>
        </w:rPr>
        <w:t xml:space="preserve"> </w:t>
      </w:r>
      <w:r>
        <w:rPr>
          <w:rFonts w:ascii="Verdana" w:eastAsia="Times New Roman" w:hAnsi="Verdana" w:cs="Tahoma"/>
          <w:sz w:val="20"/>
          <w:szCs w:val="20"/>
        </w:rPr>
        <w:t>5</w:t>
      </w:r>
      <w:r w:rsidRPr="009A55D7">
        <w:rPr>
          <w:rFonts w:ascii="Verdana" w:eastAsia="Times New Roman" w:hAnsi="Verdana" w:cs="Tahoma"/>
          <w:sz w:val="20"/>
          <w:szCs w:val="20"/>
        </w:rPr>
        <w:t>. Pasiūlymo kainos (C) balai apskaičiuojami mažiausios pasiūlytos kainos (C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</w:rPr>
        <w:t>min</w:t>
      </w:r>
      <w:r w:rsidRPr="009A55D7">
        <w:rPr>
          <w:rFonts w:ascii="Verdana" w:eastAsia="Times New Roman" w:hAnsi="Verdana" w:cs="Tahoma"/>
          <w:sz w:val="20"/>
          <w:szCs w:val="20"/>
        </w:rPr>
        <w:t>) ir vertinamo pasiūlymo kainos (C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</w:rPr>
        <w:t>p</w:t>
      </w:r>
      <w:r w:rsidRPr="009A55D7">
        <w:rPr>
          <w:rFonts w:ascii="Verdana" w:eastAsia="Times New Roman" w:hAnsi="Verdana" w:cs="Tahoma"/>
          <w:sz w:val="20"/>
          <w:szCs w:val="20"/>
        </w:rPr>
        <w:t>) santykį padauginant iš kainos lyginamojo svorio (X):</w:t>
      </w:r>
    </w:p>
    <w:p w14:paraId="292C2955" w14:textId="77777777" w:rsidR="007875E3" w:rsidRPr="009A55D7" w:rsidRDefault="007875E3" w:rsidP="007875E3">
      <w:pPr>
        <w:tabs>
          <w:tab w:val="left" w:pos="993"/>
        </w:tabs>
        <w:autoSpaceDN w:val="0"/>
        <w:spacing w:before="120" w:after="0" w:line="240" w:lineRule="auto"/>
        <w:jc w:val="center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position w:val="-32"/>
          <w:sz w:val="20"/>
          <w:szCs w:val="20"/>
        </w:rPr>
        <w:object w:dxaOrig="1277" w:dyaOrig="720" w14:anchorId="67D4EAD3">
          <v:shape id="_x0000_i1026" type="#_x0000_t75" style="width:63pt;height:39pt" o:ole="" fillcolor="window">
            <v:imagedata r:id="rId7" o:title=""/>
          </v:shape>
          <o:OLEObject Type="Embed" ProgID="Equation.3" ShapeID="_x0000_i1026" DrawAspect="Content" ObjectID="_1826985216" r:id="rId8"/>
        </w:object>
      </w:r>
      <w:r w:rsidRPr="009A55D7">
        <w:rPr>
          <w:rFonts w:ascii="Verdana" w:eastAsia="Times New Roman" w:hAnsi="Verdana" w:cs="Tahoma"/>
          <w:sz w:val="20"/>
          <w:szCs w:val="20"/>
        </w:rPr>
        <w:t>.</w:t>
      </w:r>
    </w:p>
    <w:p w14:paraId="1E3A66E4" w14:textId="77777777" w:rsidR="007875E3" w:rsidRPr="009A55D7" w:rsidRDefault="007875E3" w:rsidP="007875E3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sz w:val="20"/>
          <w:szCs w:val="20"/>
        </w:rPr>
        <w:t xml:space="preserve"> </w:t>
      </w:r>
      <w:r>
        <w:rPr>
          <w:rFonts w:ascii="Verdana" w:eastAsia="Times New Roman" w:hAnsi="Verdana" w:cs="Tahoma"/>
          <w:sz w:val="20"/>
          <w:szCs w:val="20"/>
        </w:rPr>
        <w:t>6</w:t>
      </w:r>
      <w:r w:rsidRPr="009A55D7">
        <w:rPr>
          <w:rFonts w:ascii="Verdana" w:eastAsia="Times New Roman" w:hAnsi="Verdana" w:cs="Tahoma"/>
          <w:sz w:val="20"/>
          <w:szCs w:val="20"/>
        </w:rPr>
        <w:t>. Kriterijų (T) balai apskaičiuojami sudedant atskirų kriterijų (T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</w:rPr>
        <w:t>i</w:t>
      </w:r>
      <w:r w:rsidRPr="009A55D7">
        <w:rPr>
          <w:rFonts w:ascii="Verdana" w:eastAsia="Times New Roman" w:hAnsi="Verdana" w:cs="Tahoma"/>
          <w:sz w:val="20"/>
          <w:szCs w:val="20"/>
        </w:rPr>
        <w:t>) balus:</w:t>
      </w:r>
    </w:p>
    <w:p w14:paraId="4189F778" w14:textId="77777777" w:rsidR="007875E3" w:rsidRPr="009A55D7" w:rsidRDefault="007875E3" w:rsidP="007875E3">
      <w:pPr>
        <w:tabs>
          <w:tab w:val="left" w:pos="993"/>
        </w:tabs>
        <w:autoSpaceDN w:val="0"/>
        <w:spacing w:before="120" w:after="0" w:line="240" w:lineRule="auto"/>
        <w:jc w:val="center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position w:val="-28"/>
          <w:sz w:val="20"/>
          <w:szCs w:val="20"/>
        </w:rPr>
        <w:object w:dxaOrig="1003" w:dyaOrig="583" w14:anchorId="6E4188CD">
          <v:shape id="_x0000_i1027" type="#_x0000_t75" style="width:51pt;height:30pt" o:ole="" fillcolor="window">
            <v:imagedata r:id="rId9" o:title=""/>
          </v:shape>
          <o:OLEObject Type="Embed" ProgID="Equation.3" ShapeID="_x0000_i1027" DrawAspect="Content" ObjectID="_1826985217" r:id="rId10"/>
        </w:object>
      </w:r>
      <w:r w:rsidRPr="009A55D7">
        <w:rPr>
          <w:rFonts w:ascii="Verdana" w:eastAsia="Times New Roman" w:hAnsi="Verdana" w:cs="Tahoma"/>
          <w:sz w:val="20"/>
          <w:szCs w:val="20"/>
        </w:rPr>
        <w:t>.</w:t>
      </w:r>
    </w:p>
    <w:p w14:paraId="64E78ABC" w14:textId="77777777" w:rsidR="007875E3" w:rsidRPr="009A55D7" w:rsidRDefault="007875E3" w:rsidP="007875E3">
      <w:pPr>
        <w:tabs>
          <w:tab w:val="left" w:pos="993"/>
        </w:tabs>
        <w:autoSpaceDN w:val="0"/>
        <w:spacing w:before="120" w:after="0" w:line="240" w:lineRule="auto"/>
        <w:ind w:firstLine="709"/>
        <w:jc w:val="both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sz w:val="20"/>
          <w:szCs w:val="20"/>
        </w:rPr>
        <w:t xml:space="preserve"> </w:t>
      </w:r>
      <w:r>
        <w:rPr>
          <w:rFonts w:ascii="Verdana" w:eastAsia="Times New Roman" w:hAnsi="Verdana" w:cs="Tahoma"/>
          <w:sz w:val="20"/>
          <w:szCs w:val="20"/>
        </w:rPr>
        <w:t>7</w:t>
      </w:r>
      <w:r w:rsidRPr="009A55D7">
        <w:rPr>
          <w:rFonts w:ascii="Verdana" w:eastAsia="Times New Roman" w:hAnsi="Verdana" w:cs="Tahoma"/>
          <w:sz w:val="20"/>
          <w:szCs w:val="20"/>
        </w:rPr>
        <w:t>. Kriterijaus (T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</w:rPr>
        <w:t>i</w:t>
      </w:r>
      <w:r w:rsidRPr="009A55D7">
        <w:rPr>
          <w:rFonts w:ascii="Verdana" w:eastAsia="Times New Roman" w:hAnsi="Verdana" w:cs="Tahoma"/>
          <w:sz w:val="20"/>
          <w:szCs w:val="20"/>
        </w:rPr>
        <w:t>) balai apskaičiuojami šio kriterijaus parametrų įvertinimų (P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</w:rPr>
        <w:t>s</w:t>
      </w:r>
      <w:r w:rsidRPr="009A55D7">
        <w:rPr>
          <w:rFonts w:ascii="Verdana" w:eastAsia="Times New Roman" w:hAnsi="Verdana" w:cs="Tahoma"/>
          <w:sz w:val="20"/>
          <w:szCs w:val="20"/>
        </w:rPr>
        <w:t>) sumą padauginant iš vertinamo kriterijaus lyginamojo svorio (Y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</w:rPr>
        <w:t>i</w:t>
      </w:r>
      <w:r w:rsidRPr="009A55D7">
        <w:rPr>
          <w:rFonts w:ascii="Verdana" w:eastAsia="Times New Roman" w:hAnsi="Verdana" w:cs="Tahoma"/>
          <w:sz w:val="20"/>
          <w:szCs w:val="20"/>
        </w:rPr>
        <w:t>):</w:t>
      </w:r>
    </w:p>
    <w:p w14:paraId="21C24DD4" w14:textId="77777777" w:rsidR="007875E3" w:rsidRPr="009A55D7" w:rsidRDefault="007875E3" w:rsidP="007875E3">
      <w:pPr>
        <w:tabs>
          <w:tab w:val="left" w:pos="993"/>
        </w:tabs>
        <w:autoSpaceDN w:val="0"/>
        <w:spacing w:before="120" w:after="0" w:line="240" w:lineRule="auto"/>
        <w:jc w:val="center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position w:val="-30"/>
          <w:sz w:val="20"/>
          <w:szCs w:val="20"/>
        </w:rPr>
        <w:object w:dxaOrig="1440" w:dyaOrig="720" w14:anchorId="632A0CBE">
          <v:shape id="_x0000_i1028" type="#_x0000_t75" style="width:1in;height:39pt" o:ole="" fillcolor="window">
            <v:imagedata r:id="rId11" o:title=""/>
          </v:shape>
          <o:OLEObject Type="Embed" ProgID="Equation.3" ShapeID="_x0000_i1028" DrawAspect="Content" ObjectID="_1826985218" r:id="rId12"/>
        </w:object>
      </w:r>
      <w:r w:rsidRPr="009A55D7">
        <w:rPr>
          <w:rFonts w:ascii="Verdana" w:eastAsia="Times New Roman" w:hAnsi="Verdana" w:cs="Tahoma"/>
          <w:sz w:val="20"/>
          <w:szCs w:val="20"/>
        </w:rPr>
        <w:t>.</w:t>
      </w:r>
    </w:p>
    <w:p w14:paraId="36307756" w14:textId="77777777" w:rsidR="007875E3" w:rsidRPr="009A55D7" w:rsidRDefault="007875E3" w:rsidP="007875E3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Verdana" w:eastAsia="Times New Roman" w:hAnsi="Verdana" w:cs="Tahoma"/>
          <w:sz w:val="20"/>
          <w:szCs w:val="20"/>
          <w:lang w:eastAsia="en-US"/>
        </w:rPr>
      </w:pPr>
    </w:p>
    <w:p w14:paraId="7C5EF65B" w14:textId="77777777" w:rsidR="007875E3" w:rsidRPr="009A55D7" w:rsidRDefault="007875E3" w:rsidP="007875E3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Verdana" w:eastAsia="Times New Roman" w:hAnsi="Verdana" w:cs="Tahoma"/>
          <w:sz w:val="20"/>
          <w:szCs w:val="20"/>
          <w:lang w:eastAsia="en-US"/>
        </w:rPr>
      </w:pPr>
      <w:r>
        <w:rPr>
          <w:rFonts w:ascii="Verdana" w:eastAsia="Times New Roman" w:hAnsi="Verdana" w:cs="Tahoma"/>
          <w:sz w:val="20"/>
          <w:szCs w:val="20"/>
          <w:lang w:eastAsia="en-US"/>
        </w:rPr>
        <w:t>8</w:t>
      </w:r>
      <w:r w:rsidRPr="009A55D7">
        <w:rPr>
          <w:rFonts w:ascii="Verdana" w:eastAsia="Times New Roman" w:hAnsi="Verdana" w:cs="Tahoma"/>
          <w:sz w:val="20"/>
          <w:szCs w:val="20"/>
          <w:lang w:eastAsia="en-US"/>
        </w:rPr>
        <w:t>. Antrojo (specialistų patirtis) kriterijaus parametro įvertinimas (P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  <w:lang w:eastAsia="en-US"/>
        </w:rPr>
        <w:t>is</w:t>
      </w:r>
      <w:r w:rsidRPr="009A55D7">
        <w:rPr>
          <w:rFonts w:ascii="Verdana" w:eastAsia="Times New Roman" w:hAnsi="Verdana" w:cs="Tahoma"/>
          <w:sz w:val="20"/>
          <w:szCs w:val="20"/>
          <w:lang w:eastAsia="en-US"/>
        </w:rPr>
        <w:t>) apskaičiuojamas parametro reikšmę (R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  <w:lang w:eastAsia="en-US"/>
        </w:rPr>
        <w:t>is</w:t>
      </w:r>
      <w:r w:rsidRPr="009A55D7">
        <w:rPr>
          <w:rFonts w:ascii="Verdana" w:eastAsia="Times New Roman" w:hAnsi="Verdana" w:cs="Tahoma"/>
          <w:sz w:val="20"/>
          <w:szCs w:val="20"/>
          <w:lang w:eastAsia="en-US"/>
        </w:rPr>
        <w:t>) palyginant su geriausia to paties parametro reikšme (R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  <w:lang w:eastAsia="en-US"/>
        </w:rPr>
        <w:t>is max</w:t>
      </w:r>
      <w:r w:rsidRPr="009A55D7">
        <w:rPr>
          <w:rFonts w:ascii="Verdana" w:eastAsia="Times New Roman" w:hAnsi="Verdana" w:cs="Tahoma"/>
          <w:sz w:val="20"/>
          <w:szCs w:val="20"/>
          <w:lang w:eastAsia="en-US"/>
        </w:rPr>
        <w:t>) ir padauginant iš vertinamo kriterijaus parametro lyginamojo svorio (L</w:t>
      </w:r>
      <w:r w:rsidRPr="009A55D7">
        <w:rPr>
          <w:rFonts w:ascii="Verdana" w:eastAsia="Times New Roman" w:hAnsi="Verdana" w:cs="Tahoma"/>
          <w:sz w:val="20"/>
          <w:szCs w:val="20"/>
          <w:vertAlign w:val="subscript"/>
          <w:lang w:eastAsia="en-US"/>
        </w:rPr>
        <w:t>is</w:t>
      </w:r>
      <w:r w:rsidRPr="009A55D7">
        <w:rPr>
          <w:rFonts w:ascii="Verdana" w:eastAsia="Times New Roman" w:hAnsi="Verdana" w:cs="Tahoma"/>
          <w:sz w:val="20"/>
          <w:szCs w:val="20"/>
          <w:lang w:eastAsia="en-US"/>
        </w:rPr>
        <w:t>):</w:t>
      </w:r>
    </w:p>
    <w:p w14:paraId="621DF246" w14:textId="77777777" w:rsidR="007875E3" w:rsidRPr="009A55D7" w:rsidRDefault="007875E3" w:rsidP="007875E3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Verdana" w:eastAsia="Times New Roman" w:hAnsi="Verdana" w:cs="Tahoma"/>
          <w:sz w:val="20"/>
          <w:szCs w:val="20"/>
        </w:rPr>
      </w:pPr>
      <w:r w:rsidRPr="009A55D7">
        <w:rPr>
          <w:rFonts w:ascii="Verdana" w:eastAsia="Times New Roman" w:hAnsi="Verdana" w:cs="Tahoma"/>
          <w:noProof/>
          <w:sz w:val="20"/>
          <w:szCs w:val="20"/>
        </w:rPr>
        <w:drawing>
          <wp:inline distT="0" distB="0" distL="0" distR="0" wp14:anchorId="4DC6BBCE" wp14:editId="5C1F9C6F">
            <wp:extent cx="990600" cy="4464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52F4" w14:textId="77777777" w:rsidR="007875E3" w:rsidRPr="009A55D7" w:rsidRDefault="007875E3" w:rsidP="007875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1F4F2738" w14:textId="77777777" w:rsidR="007875E3" w:rsidRDefault="007875E3" w:rsidP="007875E3">
      <w:pPr>
        <w:spacing w:after="0" w:line="240" w:lineRule="auto"/>
        <w:ind w:firstLine="709"/>
        <w:jc w:val="both"/>
        <w:rPr>
          <w:rFonts w:ascii="Verdana" w:hAnsi="Verdana" w:cs="Tahoma"/>
          <w:color w:val="FF0000"/>
          <w:sz w:val="20"/>
          <w:szCs w:val="20"/>
        </w:rPr>
      </w:pPr>
      <w:r w:rsidRPr="4DE73A98">
        <w:rPr>
          <w:rFonts w:ascii="Verdana" w:hAnsi="Verdana"/>
          <w:sz w:val="20"/>
          <w:szCs w:val="20"/>
        </w:rPr>
        <w:t xml:space="preserve"> </w:t>
      </w:r>
      <w:r w:rsidRPr="4DE73A98">
        <w:rPr>
          <w:rFonts w:ascii="Verdana" w:hAnsi="Verdana" w:cs="Tahoma"/>
          <w:sz w:val="20"/>
          <w:szCs w:val="20"/>
        </w:rPr>
        <w:t xml:space="preserve">9. </w:t>
      </w:r>
      <w:r w:rsidRPr="00E24676">
        <w:rPr>
          <w:rFonts w:ascii="Verdana" w:hAnsi="Verdana" w:cs="Tahoma"/>
          <w:b/>
          <w:bCs/>
          <w:sz w:val="20"/>
          <w:szCs w:val="20"/>
        </w:rPr>
        <w:t xml:space="preserve">Papildomus vertinimo kriterijus įrodantys dokumentai teikiami kartu su pasiūlymu. Po pasiūlymo pateikimo termino pabaigos šių dokumentų pateikti / patikslinti kokybiniam vertinimui nebus galima. Tiekėjo pateikti dokumentai turi būti be trūkumų, kriterijų reikšmės aiškiai išdėstytos, jų reikšmės išviešintos užpildytame specialiųjų pirkimo sąlygų 11 priede </w:t>
      </w:r>
      <w:r w:rsidRPr="00755659">
        <w:rPr>
          <w:rFonts w:ascii="Verdana" w:hAnsi="Verdana" w:cs="Tahoma"/>
          <w:b/>
          <w:bCs/>
          <w:sz w:val="20"/>
          <w:szCs w:val="20"/>
        </w:rPr>
        <w:t>„Specialistų patirties sąrašas, skirtas ekonominio naudingumo kriterijams pagrįsti“</w:t>
      </w:r>
      <w:r w:rsidRPr="00E24676">
        <w:rPr>
          <w:rFonts w:ascii="Verdana" w:hAnsi="Verdana" w:cs="Tahoma"/>
          <w:b/>
          <w:bCs/>
          <w:sz w:val="20"/>
          <w:szCs w:val="20"/>
        </w:rPr>
        <w:t xml:space="preserve"> bei specialiųjų pirkimo sąlygų 6 priede „Pasiūlymo forma“, kad Perkančioji organizacija galėtų objektyviai suteikti balus pagal šio priedo reikalavimus. Esant bet kokiems įrodančių dokumentų trūkumams,  papildomi ekonominio naudingumo balai nebus suteikiami.</w:t>
      </w:r>
    </w:p>
    <w:p w14:paraId="3AA05B3F" w14:textId="77777777" w:rsidR="007875E3" w:rsidRDefault="007875E3" w:rsidP="007875E3">
      <w:pPr>
        <w:spacing w:after="0" w:line="240" w:lineRule="auto"/>
        <w:ind w:firstLine="709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 w:rsidRPr="009A55D7">
        <w:rPr>
          <w:rFonts w:ascii="Verdana" w:hAnsi="Verdana" w:cs="Tahoma"/>
          <w:color w:val="FF0000"/>
          <w:sz w:val="20"/>
          <w:szCs w:val="20"/>
        </w:rPr>
        <w:lastRenderedPageBreak/>
        <w:t xml:space="preserve"> </w:t>
      </w:r>
      <w:r w:rsidRPr="00215DB0">
        <w:rPr>
          <w:rFonts w:ascii="Verdana" w:hAnsi="Verdana" w:cs="Tahoma"/>
          <w:color w:val="000000" w:themeColor="text1"/>
          <w:sz w:val="20"/>
          <w:szCs w:val="20"/>
        </w:rPr>
        <w:t>10. Tuo atveju, jei vertinant pasiūlymus daugiausiai balų surinkusio (-ių) dalyvio (-ių) pasiūlymas (-ai) atmetamas (-i) arba vienas iš dalyvių pasitraukia, kitų dalyvių surinkt</w:t>
      </w:r>
      <w:r>
        <w:rPr>
          <w:rFonts w:ascii="Verdana" w:hAnsi="Verdana" w:cs="Tahoma"/>
          <w:color w:val="000000" w:themeColor="text1"/>
          <w:sz w:val="20"/>
          <w:szCs w:val="20"/>
        </w:rPr>
        <w:t xml:space="preserve">i ekonominio naudingumo balai bus </w:t>
      </w:r>
      <w:r w:rsidRPr="00215DB0">
        <w:rPr>
          <w:rFonts w:ascii="Verdana" w:hAnsi="Verdana" w:cs="Tahoma"/>
          <w:color w:val="000000" w:themeColor="text1"/>
          <w:sz w:val="20"/>
          <w:szCs w:val="20"/>
        </w:rPr>
        <w:t>perskaičiuojami.</w:t>
      </w:r>
    </w:p>
    <w:p w14:paraId="34D959CD" w14:textId="77777777" w:rsidR="007875E3" w:rsidRDefault="007875E3" w:rsidP="007875E3">
      <w:pPr>
        <w:spacing w:after="0" w:line="240" w:lineRule="auto"/>
        <w:ind w:firstLine="709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>
        <w:rPr>
          <w:rFonts w:ascii="Verdana" w:hAnsi="Verdana" w:cs="Tahoma"/>
          <w:color w:val="000000" w:themeColor="text1"/>
          <w:sz w:val="20"/>
          <w:szCs w:val="20"/>
        </w:rPr>
        <w:t xml:space="preserve">11. </w:t>
      </w:r>
      <w:r w:rsidRPr="00215DB0">
        <w:rPr>
          <w:rFonts w:ascii="Verdana" w:hAnsi="Verdana" w:cs="Tahoma"/>
          <w:color w:val="000000" w:themeColor="text1"/>
          <w:sz w:val="20"/>
          <w:szCs w:val="20"/>
        </w:rPr>
        <w:t xml:space="preserve">Jei pasiūlymą pateikia tik vienas tiekėjas kokybės balų skaičiavimas (matematinis veiksmas) tokiu atveju nėra atliekamas, kadangi nepriklausomai nuo suteiktų kokybės balų, pasiūlymas bus pripažintas laimėjusiu, jeigu atitiks visus kitus </w:t>
      </w:r>
      <w:r>
        <w:rPr>
          <w:rFonts w:ascii="Verdana" w:hAnsi="Verdana" w:cs="Tahoma"/>
          <w:color w:val="000000" w:themeColor="text1"/>
          <w:sz w:val="20"/>
          <w:szCs w:val="20"/>
        </w:rPr>
        <w:t xml:space="preserve">pirkime taikomus </w:t>
      </w:r>
      <w:r w:rsidRPr="00215DB0">
        <w:rPr>
          <w:rFonts w:ascii="Verdana" w:hAnsi="Verdana" w:cs="Tahoma"/>
          <w:color w:val="000000" w:themeColor="text1"/>
          <w:sz w:val="20"/>
          <w:szCs w:val="20"/>
        </w:rPr>
        <w:t>reikalavimus ir atlikus vertinimą bus pripažintu priimtinu (nėra tiekėjo pašalinimo pagrindų, atitinka  kvalifikacijos reikalavimus (jei taikomi), kaina n</w:t>
      </w:r>
      <w:r>
        <w:rPr>
          <w:rFonts w:ascii="Verdana" w:hAnsi="Verdana" w:cs="Tahoma"/>
          <w:color w:val="000000" w:themeColor="text1"/>
          <w:sz w:val="20"/>
          <w:szCs w:val="20"/>
        </w:rPr>
        <w:t>ėra</w:t>
      </w:r>
      <w:r w:rsidRPr="00215DB0">
        <w:rPr>
          <w:rFonts w:ascii="Verdana" w:hAnsi="Verdana" w:cs="Tahoma"/>
          <w:color w:val="000000" w:themeColor="text1"/>
          <w:sz w:val="20"/>
          <w:szCs w:val="20"/>
        </w:rPr>
        <w:t xml:space="preserve"> per didelė ir t. t.).</w:t>
      </w:r>
    </w:p>
    <w:p w14:paraId="414AF9D9" w14:textId="0FE55448" w:rsidR="00C232BF" w:rsidRDefault="007875E3" w:rsidP="001E1AC7">
      <w:pPr>
        <w:jc w:val="center"/>
      </w:pPr>
      <w:r w:rsidRPr="00F0499F">
        <w:rPr>
          <w:rFonts w:cstheme="minorHAnsi"/>
        </w:rPr>
        <w:t>_________</w:t>
      </w:r>
    </w:p>
    <w:sectPr w:rsidR="00C232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BF6"/>
    <w:multiLevelType w:val="multilevel"/>
    <w:tmpl w:val="1A126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2155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E3"/>
    <w:rsid w:val="00134181"/>
    <w:rsid w:val="001E1AC7"/>
    <w:rsid w:val="002834B8"/>
    <w:rsid w:val="005A4839"/>
    <w:rsid w:val="005C2FF1"/>
    <w:rsid w:val="007875E3"/>
    <w:rsid w:val="00AD0E94"/>
    <w:rsid w:val="00AF4769"/>
    <w:rsid w:val="00C232BF"/>
    <w:rsid w:val="00C35C31"/>
    <w:rsid w:val="00D20014"/>
    <w:rsid w:val="00DC4852"/>
    <w:rsid w:val="00E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C6EF9F"/>
  <w15:chartTrackingRefBased/>
  <w15:docId w15:val="{7BDA4C38-EEE5-4718-B140-FC5056E8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5E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787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5E3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7875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3753</Words>
  <Characters>2140</Characters>
  <Application>Microsoft Office Word</Application>
  <DocSecurity>0</DocSecurity>
  <Lines>17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Petravičė</dc:creator>
  <cp:keywords/>
  <dc:description/>
  <cp:lastModifiedBy>Gintarė Kanišauskaitė</cp:lastModifiedBy>
  <cp:revision>6</cp:revision>
  <dcterms:created xsi:type="dcterms:W3CDTF">2025-12-11T16:46:00Z</dcterms:created>
  <dcterms:modified xsi:type="dcterms:W3CDTF">2025-12-11T17:07:00Z</dcterms:modified>
</cp:coreProperties>
</file>