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CB1D" w14:textId="77777777" w:rsidR="00002047" w:rsidRPr="00002047" w:rsidRDefault="00002047" w:rsidP="00002047">
      <w:pPr>
        <w:jc w:val="right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002047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1 </w:t>
      </w:r>
      <w:proofErr w:type="spellStart"/>
      <w:r w:rsidRPr="00002047">
        <w:rPr>
          <w:rFonts w:asciiTheme="majorHAnsi" w:hAnsiTheme="majorHAnsi" w:cstheme="majorHAnsi"/>
          <w:color w:val="000000"/>
          <w:sz w:val="24"/>
          <w:szCs w:val="24"/>
          <w:lang w:val="en-US"/>
        </w:rPr>
        <w:t>priedas</w:t>
      </w:r>
      <w:proofErr w:type="spellEnd"/>
    </w:p>
    <w:p w14:paraId="52D1C89D" w14:textId="77777777" w:rsidR="00002047" w:rsidRPr="00002047" w:rsidRDefault="00002047" w:rsidP="00002047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</w:pPr>
      <w:r w:rsidRPr="00002047"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  <w:t xml:space="preserve">ĮĖJIMO DURŲ KEITIMO DARBŲ </w:t>
      </w:r>
    </w:p>
    <w:p w14:paraId="550A07E6" w14:textId="77777777" w:rsidR="00002047" w:rsidRPr="00002047" w:rsidRDefault="00002047" w:rsidP="00002047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</w:pPr>
      <w:r w:rsidRPr="00002047"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  <w:t>TECHNINĖ SPECIFIKACIJA</w:t>
      </w:r>
    </w:p>
    <w:p w14:paraId="7CDDECBA" w14:textId="77777777" w:rsidR="00002047" w:rsidRPr="00002047" w:rsidRDefault="00002047" w:rsidP="00002047">
      <w:pPr>
        <w:jc w:val="right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</w:p>
    <w:p w14:paraId="68CF842B" w14:textId="77777777" w:rsidR="00002047" w:rsidRPr="00002047" w:rsidRDefault="00002047" w:rsidP="00002047">
      <w:pPr>
        <w:jc w:val="right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</w:p>
    <w:p w14:paraId="7C0E5556" w14:textId="0BE1CE01" w:rsidR="00002047" w:rsidRPr="00002047" w:rsidRDefault="00002047" w:rsidP="00002047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rFonts w:asciiTheme="majorHAnsi" w:hAnsiTheme="majorHAnsi" w:cstheme="majorHAnsi"/>
          <w:sz w:val="24"/>
          <w:szCs w:val="24"/>
          <w:lang w:val="lt-LT"/>
        </w:rPr>
      </w:pPr>
      <w:r w:rsidRPr="00002047">
        <w:rPr>
          <w:rFonts w:asciiTheme="majorHAnsi" w:hAnsiTheme="majorHAnsi" w:cstheme="majorHAnsi"/>
          <w:sz w:val="24"/>
          <w:szCs w:val="24"/>
          <w:lang w:val="lt-LT"/>
        </w:rPr>
        <w:t xml:space="preserve">Pirkimo objektas -  </w:t>
      </w:r>
      <w:r w:rsidRPr="00002047">
        <w:rPr>
          <w:rFonts w:asciiTheme="majorHAnsi" w:hAnsiTheme="majorHAnsi" w:cstheme="majorHAnsi"/>
          <w:b/>
          <w:sz w:val="24"/>
          <w:szCs w:val="24"/>
          <w:lang w:val="lt-LT"/>
        </w:rPr>
        <w:t>įėjimo durų (su medžiagomis)</w:t>
      </w:r>
      <w:r w:rsidRPr="00002047">
        <w:rPr>
          <w:rFonts w:asciiTheme="majorHAnsi" w:hAnsiTheme="majorHAnsi" w:cstheme="majorHAnsi"/>
          <w:sz w:val="24"/>
          <w:szCs w:val="24"/>
          <w:lang w:val="lt-LT"/>
        </w:rPr>
        <w:t xml:space="preserve"> </w:t>
      </w:r>
      <w:r w:rsidRPr="00002047">
        <w:rPr>
          <w:rFonts w:asciiTheme="majorHAnsi" w:hAnsiTheme="majorHAnsi" w:cstheme="majorHAnsi"/>
          <w:b/>
          <w:sz w:val="24"/>
          <w:szCs w:val="24"/>
          <w:lang w:val="lt-LT"/>
        </w:rPr>
        <w:t xml:space="preserve"> keitimo darbai</w:t>
      </w:r>
      <w:r w:rsidRPr="00002047">
        <w:rPr>
          <w:rFonts w:asciiTheme="majorHAnsi" w:hAnsiTheme="majorHAnsi" w:cstheme="majorHAnsi"/>
          <w:sz w:val="24"/>
          <w:szCs w:val="24"/>
          <w:lang w:val="lt-LT"/>
        </w:rPr>
        <w:t xml:space="preserve"> (toliau – Darbai).</w:t>
      </w:r>
    </w:p>
    <w:p w14:paraId="4CECBDC7" w14:textId="4A860FD4" w:rsidR="00002047" w:rsidRDefault="00002047" w:rsidP="00002047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rFonts w:asciiTheme="majorHAnsi" w:hAnsiTheme="majorHAnsi" w:cstheme="majorHAnsi"/>
          <w:sz w:val="24"/>
          <w:szCs w:val="24"/>
          <w:lang w:val="lt-LT"/>
        </w:rPr>
      </w:pPr>
      <w:r w:rsidRPr="00002047">
        <w:rPr>
          <w:rFonts w:asciiTheme="majorHAnsi" w:hAnsiTheme="majorHAnsi" w:cstheme="majorHAnsi"/>
          <w:sz w:val="24"/>
          <w:szCs w:val="24"/>
          <w:lang w:val="lt-LT"/>
        </w:rPr>
        <w:t xml:space="preserve">Darbų aprašymas, reikalavimai ir </w:t>
      </w:r>
      <w:r w:rsidR="005C1A22">
        <w:rPr>
          <w:rFonts w:asciiTheme="majorHAnsi" w:hAnsiTheme="majorHAnsi" w:cstheme="majorHAnsi"/>
          <w:sz w:val="24"/>
          <w:szCs w:val="24"/>
          <w:lang w:val="lt-LT"/>
        </w:rPr>
        <w:t>preliminarūs</w:t>
      </w:r>
      <w:r w:rsidRPr="00002047">
        <w:rPr>
          <w:rFonts w:asciiTheme="majorHAnsi" w:hAnsiTheme="majorHAnsi" w:cstheme="majorHAnsi"/>
          <w:sz w:val="24"/>
          <w:szCs w:val="24"/>
          <w:lang w:val="lt-LT"/>
        </w:rPr>
        <w:t xml:space="preserve"> kiekiai pateikti 1 lentelėje. </w:t>
      </w:r>
    </w:p>
    <w:p w14:paraId="5DEDB5F0" w14:textId="77777777" w:rsidR="00002047" w:rsidRPr="00002047" w:rsidRDefault="00002047" w:rsidP="00002047">
      <w:pPr>
        <w:pStyle w:val="ListParagraph"/>
        <w:tabs>
          <w:tab w:val="left" w:pos="993"/>
        </w:tabs>
        <w:ind w:left="1125"/>
        <w:jc w:val="both"/>
        <w:rPr>
          <w:rFonts w:asciiTheme="majorHAnsi" w:hAnsiTheme="majorHAnsi" w:cstheme="majorHAnsi"/>
          <w:sz w:val="24"/>
          <w:szCs w:val="24"/>
          <w:lang w:val="lt-LT"/>
        </w:rPr>
      </w:pPr>
    </w:p>
    <w:p w14:paraId="313946BF" w14:textId="038E2B29" w:rsidR="00002047" w:rsidRPr="00002047" w:rsidRDefault="00002047" w:rsidP="00002047">
      <w:pPr>
        <w:rPr>
          <w:rFonts w:asciiTheme="majorHAnsi" w:hAnsiTheme="majorHAnsi" w:cstheme="majorHAnsi"/>
          <w:sz w:val="24"/>
          <w:szCs w:val="24"/>
          <w:lang w:val="lt-LT"/>
        </w:rPr>
      </w:pPr>
      <w:r w:rsidRPr="00002047">
        <w:rPr>
          <w:rFonts w:asciiTheme="majorHAnsi" w:hAnsiTheme="majorHAnsi" w:cstheme="majorHAnsi"/>
          <w:b/>
          <w:sz w:val="24"/>
          <w:szCs w:val="24"/>
          <w:lang w:val="lt-LT"/>
        </w:rPr>
        <w:t xml:space="preserve">             1 lentelė</w:t>
      </w:r>
      <w:r w:rsidRPr="00002047">
        <w:rPr>
          <w:rFonts w:asciiTheme="majorHAnsi" w:hAnsiTheme="majorHAnsi" w:cstheme="majorHAnsi"/>
          <w:sz w:val="24"/>
          <w:szCs w:val="24"/>
          <w:lang w:val="lt-LT"/>
        </w:rPr>
        <w:t xml:space="preserve">.  Darbų aprašymas, reikalavimai ir </w:t>
      </w:r>
      <w:r w:rsidR="00080260">
        <w:rPr>
          <w:rFonts w:asciiTheme="majorHAnsi" w:hAnsiTheme="majorHAnsi" w:cstheme="majorHAnsi"/>
          <w:sz w:val="24"/>
          <w:szCs w:val="24"/>
          <w:lang w:val="lt-LT"/>
        </w:rPr>
        <w:t>preliminarūs</w:t>
      </w:r>
      <w:r w:rsidRPr="00002047">
        <w:rPr>
          <w:rFonts w:asciiTheme="majorHAnsi" w:hAnsiTheme="majorHAnsi" w:cstheme="majorHAnsi"/>
          <w:sz w:val="24"/>
          <w:szCs w:val="24"/>
          <w:lang w:val="lt-LT"/>
        </w:rPr>
        <w:t xml:space="preserve"> kiekiai</w:t>
      </w:r>
      <w:r w:rsidR="007C70FC">
        <w:rPr>
          <w:rFonts w:asciiTheme="majorHAnsi" w:hAnsiTheme="majorHAnsi" w:cstheme="majorHAnsi"/>
          <w:sz w:val="24"/>
          <w:szCs w:val="24"/>
          <w:lang w:val="lt-LT"/>
        </w:rPr>
        <w:t>:</w:t>
      </w:r>
    </w:p>
    <w:tbl>
      <w:tblPr>
        <w:tblpPr w:leftFromText="180" w:rightFromText="180" w:vertAnchor="text" w:horzAnchor="margin" w:tblpX="264" w:tblpY="169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812"/>
        <w:gridCol w:w="1134"/>
        <w:gridCol w:w="1559"/>
      </w:tblGrid>
      <w:tr w:rsidR="00002047" w:rsidRPr="00002047" w14:paraId="2AA4F956" w14:textId="77777777" w:rsidTr="00002047">
        <w:trPr>
          <w:trHeight w:val="1261"/>
        </w:trPr>
        <w:tc>
          <w:tcPr>
            <w:tcW w:w="699" w:type="dxa"/>
            <w:vAlign w:val="center"/>
            <w:hideMark/>
          </w:tcPr>
          <w:p w14:paraId="7D5BE3DA" w14:textId="77777777" w:rsidR="00002047" w:rsidRPr="00002047" w:rsidRDefault="00002047" w:rsidP="007751E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002047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49411390" w14:textId="3B4F6065" w:rsidR="00002047" w:rsidRPr="00002047" w:rsidRDefault="00002047" w:rsidP="0000204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002047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  <w:t>Darbų su medžiagomis pavadinimas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0984E68" w14:textId="77777777" w:rsidR="00002047" w:rsidRPr="00002047" w:rsidRDefault="00002047" w:rsidP="007751E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002047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  <w:t>Mato vienetas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E04D67B" w14:textId="59F6A254" w:rsidR="00002047" w:rsidRPr="00002047" w:rsidRDefault="005C1A22" w:rsidP="007751E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  <w:t>Preliminarūs</w:t>
            </w:r>
            <w:r w:rsidR="00002047" w:rsidRPr="00002047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  <w:t xml:space="preserve"> darbų (su medžiagomis) kiekiai</w:t>
            </w:r>
          </w:p>
        </w:tc>
      </w:tr>
      <w:tr w:rsidR="00002047" w:rsidRPr="00002047" w14:paraId="37B3679A" w14:textId="77777777" w:rsidTr="00080260">
        <w:trPr>
          <w:trHeight w:val="276"/>
        </w:trPr>
        <w:tc>
          <w:tcPr>
            <w:tcW w:w="699" w:type="dxa"/>
            <w:vAlign w:val="center"/>
            <w:hideMark/>
          </w:tcPr>
          <w:p w14:paraId="15FE2B1E" w14:textId="77777777" w:rsidR="00002047" w:rsidRPr="00002047" w:rsidRDefault="00002047" w:rsidP="007751E7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</w:pPr>
            <w:r w:rsidRPr="0000204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5812" w:type="dxa"/>
            <w:vAlign w:val="center"/>
            <w:hideMark/>
          </w:tcPr>
          <w:p w14:paraId="52C8CD54" w14:textId="77777777" w:rsidR="00002047" w:rsidRPr="00002047" w:rsidRDefault="00002047" w:rsidP="00B226EF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002047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Senų durų blokų išėmimas ir išvežimas</w:t>
            </w:r>
          </w:p>
        </w:tc>
        <w:tc>
          <w:tcPr>
            <w:tcW w:w="1134" w:type="dxa"/>
            <w:vAlign w:val="center"/>
          </w:tcPr>
          <w:p w14:paraId="7C79E887" w14:textId="1B4A7691" w:rsidR="00002047" w:rsidRPr="00002047" w:rsidRDefault="00002047" w:rsidP="007751E7">
            <w:pPr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v</w:t>
            </w:r>
            <w:r w:rsidRPr="0000204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nt.</w:t>
            </w:r>
          </w:p>
        </w:tc>
        <w:tc>
          <w:tcPr>
            <w:tcW w:w="1559" w:type="dxa"/>
            <w:vAlign w:val="center"/>
          </w:tcPr>
          <w:p w14:paraId="6BDA7B27" w14:textId="15BF34D9" w:rsidR="00002047" w:rsidRPr="00002047" w:rsidRDefault="00B477AE" w:rsidP="007751E7">
            <w:pPr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50</w:t>
            </w:r>
          </w:p>
        </w:tc>
      </w:tr>
      <w:tr w:rsidR="00002047" w:rsidRPr="00002047" w14:paraId="615AE6C6" w14:textId="77777777" w:rsidTr="00080260">
        <w:trPr>
          <w:trHeight w:val="276"/>
        </w:trPr>
        <w:tc>
          <w:tcPr>
            <w:tcW w:w="699" w:type="dxa"/>
            <w:vAlign w:val="center"/>
            <w:hideMark/>
          </w:tcPr>
          <w:p w14:paraId="789A5017" w14:textId="77777777" w:rsidR="00002047" w:rsidRPr="00002047" w:rsidRDefault="00002047" w:rsidP="007751E7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</w:pPr>
            <w:r w:rsidRPr="0000204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5812" w:type="dxa"/>
            <w:vAlign w:val="center"/>
            <w:hideMark/>
          </w:tcPr>
          <w:p w14:paraId="52FF77B1" w14:textId="498C389A" w:rsidR="00002047" w:rsidRPr="00002047" w:rsidRDefault="00FE3FB9" w:rsidP="00B226EF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FE3FB9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 xml:space="preserve">Šarvuotų įėjimo durų (durų varčia turi būti apšiltinta), skirtų vidinėms patalpoms su </w:t>
            </w:r>
            <w:proofErr w:type="spellStart"/>
            <w:r w:rsidRPr="00FE3FB9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apavadais</w:t>
            </w:r>
            <w:proofErr w:type="spellEnd"/>
            <w:r w:rsidRPr="00FE3FB9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 xml:space="preserve"> iš laiptinės pusės, montavimas (akutė, </w:t>
            </w:r>
            <w:proofErr w:type="spellStart"/>
            <w:r w:rsidRPr="00FE3FB9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seifinė</w:t>
            </w:r>
            <w:proofErr w:type="spellEnd"/>
            <w:r w:rsidRPr="00FE3FB9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, cilindrinė spyna, bazinė spyna, bazinė spyna su rankena ir suktuku iš vidinės pusės, preliminarūs skaičiavimai - 2,0 x 0,8 m), įrengiant buto numerį</w:t>
            </w:r>
          </w:p>
        </w:tc>
        <w:tc>
          <w:tcPr>
            <w:tcW w:w="1134" w:type="dxa"/>
            <w:vAlign w:val="center"/>
          </w:tcPr>
          <w:p w14:paraId="2D9FAC86" w14:textId="7334390A" w:rsidR="00002047" w:rsidRPr="00002047" w:rsidRDefault="00002047" w:rsidP="007751E7">
            <w:pPr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v</w:t>
            </w:r>
            <w:r w:rsidRPr="0000204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nt.</w:t>
            </w:r>
          </w:p>
        </w:tc>
        <w:tc>
          <w:tcPr>
            <w:tcW w:w="1559" w:type="dxa"/>
            <w:vAlign w:val="center"/>
          </w:tcPr>
          <w:p w14:paraId="61AA67BF" w14:textId="5E00B385" w:rsidR="00002047" w:rsidRPr="00002047" w:rsidRDefault="00B477AE" w:rsidP="007751E7">
            <w:pPr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45</w:t>
            </w:r>
          </w:p>
        </w:tc>
      </w:tr>
      <w:tr w:rsidR="00002047" w:rsidRPr="00002047" w14:paraId="23660349" w14:textId="77777777" w:rsidTr="00080260">
        <w:trPr>
          <w:trHeight w:val="276"/>
        </w:trPr>
        <w:tc>
          <w:tcPr>
            <w:tcW w:w="699" w:type="dxa"/>
            <w:vAlign w:val="center"/>
            <w:hideMark/>
          </w:tcPr>
          <w:p w14:paraId="77541258" w14:textId="77777777" w:rsidR="00002047" w:rsidRPr="00002047" w:rsidRDefault="00002047" w:rsidP="007751E7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</w:pPr>
            <w:r w:rsidRPr="0000204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5812" w:type="dxa"/>
            <w:vAlign w:val="center"/>
            <w:hideMark/>
          </w:tcPr>
          <w:p w14:paraId="6F50A0B1" w14:textId="7176DC81" w:rsidR="00002047" w:rsidRPr="00002047" w:rsidRDefault="00FE3FB9" w:rsidP="00B226EF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FE3FB9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 xml:space="preserve">Šarvuotų gyvenamojo namo lauko durų (durų varčia turi būti apšiltinta), skirtų vidinėms patalpoms su </w:t>
            </w:r>
            <w:proofErr w:type="spellStart"/>
            <w:r w:rsidRPr="00FE3FB9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apavadais</w:t>
            </w:r>
            <w:proofErr w:type="spellEnd"/>
            <w:r w:rsidRPr="00FE3FB9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 xml:space="preserve"> iš laiptinės pusės, montavimas (akutė, </w:t>
            </w:r>
            <w:proofErr w:type="spellStart"/>
            <w:r w:rsidRPr="00FE3FB9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seifinė</w:t>
            </w:r>
            <w:proofErr w:type="spellEnd"/>
            <w:r w:rsidRPr="00FE3FB9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, cilindrinė spyna, bazinė spyna, bazinė spyna su rankena ir suktuku iš vidinės pusės, preliminarūs skaičiavimai - 2,05 x 0,99 m), įrengiant buto numerį</w:t>
            </w:r>
          </w:p>
        </w:tc>
        <w:tc>
          <w:tcPr>
            <w:tcW w:w="1134" w:type="dxa"/>
            <w:vAlign w:val="center"/>
          </w:tcPr>
          <w:p w14:paraId="0331A7B5" w14:textId="0187FB22" w:rsidR="00002047" w:rsidRPr="00002047" w:rsidRDefault="00002047" w:rsidP="007751E7">
            <w:pPr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v</w:t>
            </w:r>
            <w:r w:rsidRPr="0000204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nt.</w:t>
            </w:r>
          </w:p>
        </w:tc>
        <w:tc>
          <w:tcPr>
            <w:tcW w:w="1559" w:type="dxa"/>
            <w:vAlign w:val="center"/>
          </w:tcPr>
          <w:p w14:paraId="22FB728B" w14:textId="38302BB9" w:rsidR="00002047" w:rsidRPr="00002047" w:rsidRDefault="00B477AE" w:rsidP="007751E7">
            <w:pPr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5</w:t>
            </w:r>
          </w:p>
        </w:tc>
      </w:tr>
      <w:tr w:rsidR="00002047" w:rsidRPr="00002047" w14:paraId="77D67A31" w14:textId="77777777" w:rsidTr="00080260">
        <w:trPr>
          <w:trHeight w:val="276"/>
        </w:trPr>
        <w:tc>
          <w:tcPr>
            <w:tcW w:w="699" w:type="dxa"/>
            <w:vAlign w:val="center"/>
            <w:hideMark/>
          </w:tcPr>
          <w:p w14:paraId="1B98C843" w14:textId="77777777" w:rsidR="00002047" w:rsidRPr="00002047" w:rsidRDefault="00002047" w:rsidP="007751E7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</w:pPr>
            <w:r w:rsidRPr="0000204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5812" w:type="dxa"/>
            <w:vAlign w:val="center"/>
            <w:hideMark/>
          </w:tcPr>
          <w:p w14:paraId="4F47636B" w14:textId="19E11D26" w:rsidR="00002047" w:rsidRPr="00002047" w:rsidRDefault="00FE3FB9" w:rsidP="00B226EF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FE3FB9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Angokraščių apdaila vidiniais apvadais</w:t>
            </w:r>
          </w:p>
        </w:tc>
        <w:tc>
          <w:tcPr>
            <w:tcW w:w="1134" w:type="dxa"/>
            <w:vAlign w:val="center"/>
          </w:tcPr>
          <w:p w14:paraId="00BDD8BE" w14:textId="498232BA" w:rsidR="00002047" w:rsidRPr="00002047" w:rsidRDefault="00002047" w:rsidP="007751E7">
            <w:pPr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</w:pPr>
            <w:r w:rsidRPr="0000204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1559" w:type="dxa"/>
            <w:vAlign w:val="center"/>
          </w:tcPr>
          <w:p w14:paraId="0E308E79" w14:textId="52C23BE6" w:rsidR="00002047" w:rsidRPr="00002047" w:rsidRDefault="00B477AE" w:rsidP="007751E7">
            <w:pPr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250</w:t>
            </w:r>
          </w:p>
        </w:tc>
      </w:tr>
      <w:tr w:rsidR="00002047" w:rsidRPr="00002047" w14:paraId="5D93508A" w14:textId="77777777" w:rsidTr="00080260">
        <w:trPr>
          <w:trHeight w:val="276"/>
        </w:trPr>
        <w:tc>
          <w:tcPr>
            <w:tcW w:w="699" w:type="dxa"/>
            <w:vAlign w:val="center"/>
            <w:hideMark/>
          </w:tcPr>
          <w:p w14:paraId="7A1AA504" w14:textId="77777777" w:rsidR="00002047" w:rsidRPr="00002047" w:rsidRDefault="00002047" w:rsidP="007751E7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</w:pPr>
            <w:r w:rsidRPr="0000204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5.</w:t>
            </w:r>
          </w:p>
        </w:tc>
        <w:tc>
          <w:tcPr>
            <w:tcW w:w="5812" w:type="dxa"/>
            <w:vAlign w:val="center"/>
            <w:hideMark/>
          </w:tcPr>
          <w:p w14:paraId="6B3992BF" w14:textId="11EA1F5F" w:rsidR="00002047" w:rsidRPr="00002047" w:rsidRDefault="00FE3FB9" w:rsidP="00B226EF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FE3FB9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Angokraščių apdaila - tinkavimas, glaistymas, dažymas emulsiniais dažais</w:t>
            </w:r>
          </w:p>
        </w:tc>
        <w:tc>
          <w:tcPr>
            <w:tcW w:w="1134" w:type="dxa"/>
            <w:vAlign w:val="center"/>
          </w:tcPr>
          <w:p w14:paraId="1ABF92D0" w14:textId="475FA525" w:rsidR="00002047" w:rsidRPr="00002047" w:rsidRDefault="00002047" w:rsidP="007751E7">
            <w:pPr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</w:pPr>
            <w:r w:rsidRPr="0000204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m</w:t>
            </w:r>
            <w:r w:rsidRPr="0000204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559" w:type="dxa"/>
            <w:vAlign w:val="center"/>
          </w:tcPr>
          <w:p w14:paraId="426FFEEB" w14:textId="29BEE3DA" w:rsidR="00002047" w:rsidRPr="00002047" w:rsidRDefault="00B477AE" w:rsidP="007751E7">
            <w:pPr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lt-LT"/>
              </w:rPr>
              <w:t>50</w:t>
            </w:r>
          </w:p>
        </w:tc>
      </w:tr>
    </w:tbl>
    <w:p w14:paraId="7785AFCC" w14:textId="77777777" w:rsidR="00002047" w:rsidRPr="00002047" w:rsidRDefault="00002047" w:rsidP="00002047">
      <w:pPr>
        <w:tabs>
          <w:tab w:val="left" w:pos="993"/>
        </w:tabs>
        <w:jc w:val="both"/>
        <w:rPr>
          <w:rFonts w:asciiTheme="majorHAnsi" w:hAnsiTheme="majorHAnsi" w:cstheme="majorHAnsi"/>
          <w:color w:val="000000"/>
          <w:sz w:val="24"/>
          <w:szCs w:val="24"/>
          <w:lang w:val="lt-LT"/>
        </w:rPr>
      </w:pPr>
      <w:r w:rsidRPr="00002047">
        <w:rPr>
          <w:rFonts w:asciiTheme="majorHAnsi" w:hAnsiTheme="majorHAnsi" w:cstheme="majorHAnsi"/>
          <w:color w:val="000000"/>
          <w:sz w:val="24"/>
          <w:szCs w:val="24"/>
          <w:lang w:val="lt-LT"/>
        </w:rPr>
        <w:t xml:space="preserve">                 </w:t>
      </w:r>
    </w:p>
    <w:p w14:paraId="1CBBB0A1" w14:textId="77777777" w:rsidR="00B90129" w:rsidRDefault="00B90129" w:rsidP="00B90129">
      <w:pPr>
        <w:tabs>
          <w:tab w:val="left" w:pos="567"/>
        </w:tabs>
        <w:jc w:val="both"/>
        <w:rPr>
          <w:rFonts w:asciiTheme="majorHAnsi" w:eastAsia="Calibri" w:hAnsiTheme="majorHAnsi" w:cstheme="majorHAnsi"/>
          <w:sz w:val="24"/>
          <w:szCs w:val="24"/>
          <w:lang w:val="lt-LT"/>
        </w:rPr>
      </w:pPr>
      <w:r>
        <w:rPr>
          <w:rFonts w:asciiTheme="majorHAnsi" w:hAnsiTheme="majorHAnsi" w:cstheme="majorHAnsi"/>
          <w:color w:val="000000"/>
          <w:sz w:val="24"/>
          <w:szCs w:val="24"/>
          <w:lang w:val="lt-LT"/>
        </w:rPr>
        <w:tab/>
      </w:r>
      <w:r w:rsidR="00002047" w:rsidRPr="00002047">
        <w:rPr>
          <w:rFonts w:asciiTheme="majorHAnsi" w:hAnsiTheme="majorHAnsi" w:cstheme="majorHAnsi"/>
          <w:color w:val="000000"/>
          <w:sz w:val="24"/>
          <w:szCs w:val="24"/>
          <w:lang w:val="lt-LT"/>
        </w:rPr>
        <w:t xml:space="preserve">3. </w:t>
      </w:r>
      <w:r w:rsidR="00002047" w:rsidRPr="00002047">
        <w:rPr>
          <w:rFonts w:asciiTheme="majorHAnsi" w:eastAsia="Calibri" w:hAnsiTheme="majorHAnsi" w:cstheme="majorHAnsi"/>
          <w:sz w:val="24"/>
          <w:szCs w:val="24"/>
          <w:lang w:val="lt-LT"/>
        </w:rPr>
        <w:t xml:space="preserve">Pastatų, kuriuose bus keičiamos durys, energetinio naudingumo klasės B,C, durų garso pralaidumas turi būti ne mažiau 33 </w:t>
      </w:r>
      <w:proofErr w:type="spellStart"/>
      <w:r w:rsidR="00002047" w:rsidRPr="00002047">
        <w:rPr>
          <w:rFonts w:asciiTheme="majorHAnsi" w:eastAsia="Calibri" w:hAnsiTheme="majorHAnsi" w:cstheme="majorHAnsi"/>
          <w:sz w:val="24"/>
          <w:szCs w:val="24"/>
          <w:lang w:val="lt-LT"/>
        </w:rPr>
        <w:t>dB</w:t>
      </w:r>
      <w:proofErr w:type="spellEnd"/>
      <w:r w:rsidR="00002047" w:rsidRPr="00002047">
        <w:rPr>
          <w:rFonts w:asciiTheme="majorHAnsi" w:eastAsia="Calibri" w:hAnsiTheme="majorHAnsi" w:cstheme="majorHAnsi"/>
          <w:sz w:val="24"/>
          <w:szCs w:val="24"/>
          <w:lang w:val="lt-LT"/>
        </w:rPr>
        <w:t>,  durų šilumos perdavimo koeficientas 1,6.</w:t>
      </w:r>
    </w:p>
    <w:p w14:paraId="42132D2F" w14:textId="740F09D2" w:rsidR="00B90129" w:rsidRPr="00B90129" w:rsidRDefault="00B90129" w:rsidP="00B90129">
      <w:pPr>
        <w:tabs>
          <w:tab w:val="left" w:pos="567"/>
        </w:tabs>
        <w:jc w:val="both"/>
        <w:rPr>
          <w:rFonts w:asciiTheme="majorHAnsi" w:eastAsia="Calibri" w:hAnsiTheme="majorHAnsi" w:cstheme="majorHAnsi"/>
          <w:sz w:val="24"/>
          <w:szCs w:val="24"/>
          <w:lang w:val="lt-LT"/>
        </w:rPr>
      </w:pPr>
      <w:r>
        <w:rPr>
          <w:rFonts w:asciiTheme="majorHAnsi" w:eastAsia="Calibri" w:hAnsiTheme="majorHAnsi" w:cstheme="majorHAnsi"/>
          <w:sz w:val="24"/>
          <w:szCs w:val="24"/>
          <w:lang w:val="lt-LT"/>
        </w:rPr>
        <w:tab/>
      </w:r>
      <w:r w:rsidR="00002047" w:rsidRPr="00002047">
        <w:rPr>
          <w:rFonts w:asciiTheme="majorHAnsi" w:hAnsiTheme="majorHAnsi" w:cstheme="majorHAnsi"/>
          <w:color w:val="000000"/>
          <w:sz w:val="24"/>
          <w:szCs w:val="24"/>
          <w:lang w:val="lt-LT"/>
        </w:rPr>
        <w:t xml:space="preserve">4. 1 lentelėje </w:t>
      </w:r>
      <w:r w:rsidR="00002047" w:rsidRPr="00002047">
        <w:rPr>
          <w:rFonts w:asciiTheme="majorHAnsi" w:eastAsia="Calibri" w:hAnsiTheme="majorHAnsi" w:cstheme="majorHAnsi"/>
          <w:sz w:val="24"/>
          <w:szCs w:val="24"/>
          <w:lang w:val="lt-LT"/>
        </w:rPr>
        <w:t xml:space="preserve">nurodyti darbų kiekiai sutarties galiojimo laikotarpiu bus perkami pagal Perkančiosios organizacijos poreikius remiantis </w:t>
      </w:r>
      <w:r w:rsidR="005C1A22">
        <w:rPr>
          <w:rFonts w:asciiTheme="majorHAnsi" w:eastAsia="Calibri" w:hAnsiTheme="majorHAnsi" w:cstheme="majorHAnsi"/>
          <w:sz w:val="24"/>
          <w:szCs w:val="24"/>
          <w:lang w:val="lt-LT"/>
        </w:rPr>
        <w:t>Rangovo</w:t>
      </w:r>
      <w:r w:rsidR="00002047" w:rsidRPr="00002047">
        <w:rPr>
          <w:rFonts w:asciiTheme="majorHAnsi" w:eastAsia="Calibri" w:hAnsiTheme="majorHAnsi" w:cstheme="majorHAnsi"/>
          <w:sz w:val="24"/>
          <w:szCs w:val="24"/>
          <w:lang w:val="lt-LT"/>
        </w:rPr>
        <w:t xml:space="preserve"> pasiūlyme pateiktais Darbų įkainiais, neviršijant sutartyje nustatytos maksimalios pirkimo sutarties vertės. Numatomos sutarties maksimali vertė yra </w:t>
      </w:r>
      <w:r w:rsidR="00B477AE">
        <w:rPr>
          <w:rFonts w:asciiTheme="majorHAnsi" w:eastAsia="Calibri" w:hAnsiTheme="majorHAnsi" w:cstheme="majorHAnsi"/>
          <w:sz w:val="24"/>
          <w:szCs w:val="24"/>
          <w:lang w:val="lt-LT"/>
        </w:rPr>
        <w:t>50</w:t>
      </w:r>
      <w:r w:rsidR="00002047">
        <w:rPr>
          <w:rFonts w:asciiTheme="majorHAnsi" w:eastAsia="Calibri" w:hAnsiTheme="majorHAnsi" w:cstheme="majorHAnsi"/>
          <w:sz w:val="24"/>
          <w:szCs w:val="24"/>
          <w:lang w:val="lt-LT"/>
        </w:rPr>
        <w:t xml:space="preserve"> </w:t>
      </w:r>
      <w:r w:rsidR="00002047" w:rsidRPr="00002047">
        <w:rPr>
          <w:rFonts w:asciiTheme="majorHAnsi" w:eastAsia="Calibri" w:hAnsiTheme="majorHAnsi" w:cstheme="majorHAnsi"/>
          <w:sz w:val="24"/>
          <w:szCs w:val="24"/>
          <w:lang w:val="lt-LT"/>
        </w:rPr>
        <w:t>000,00 Eur be PVM</w:t>
      </w:r>
      <w:r w:rsidR="00002047" w:rsidRPr="00002047">
        <w:rPr>
          <w:rFonts w:asciiTheme="majorHAnsi" w:hAnsiTheme="majorHAnsi" w:cstheme="majorHAnsi"/>
          <w:color w:val="000000"/>
          <w:sz w:val="24"/>
          <w:szCs w:val="24"/>
          <w:lang w:val="lt-LT"/>
        </w:rPr>
        <w:t xml:space="preserve">. </w:t>
      </w:r>
    </w:p>
    <w:p w14:paraId="5D7A12F8" w14:textId="0ECFE5F7" w:rsidR="00B90129" w:rsidRDefault="00B90129" w:rsidP="00B90129">
      <w:pPr>
        <w:tabs>
          <w:tab w:val="left" w:pos="567"/>
          <w:tab w:val="left" w:pos="993"/>
        </w:tabs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lang w:val="lt-LT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lt-LT"/>
        </w:rPr>
        <w:tab/>
      </w:r>
      <w:r w:rsidR="00002047" w:rsidRPr="00002047">
        <w:rPr>
          <w:rFonts w:asciiTheme="majorHAnsi" w:hAnsiTheme="majorHAnsi" w:cstheme="majorHAnsi"/>
          <w:color w:val="000000"/>
          <w:sz w:val="24"/>
          <w:szCs w:val="24"/>
          <w:lang w:val="lt-LT"/>
        </w:rPr>
        <w:t>5. Darbai bus atliekami pagal Perkančiosios organizacijos poreikį kiekvieną kartą atsiunčiant tiekėjui individualų užsakymą Darbams atlikti ir tiekėjo pateikto pasiūlymo darbų atlikimo įkainius. Perkančioji organizacija neįsipareigoja išpirkti v</w:t>
      </w:r>
      <w:r w:rsidR="005C1A22">
        <w:rPr>
          <w:rFonts w:asciiTheme="majorHAnsi" w:hAnsiTheme="majorHAnsi" w:cstheme="majorHAnsi"/>
          <w:color w:val="000000"/>
          <w:sz w:val="24"/>
          <w:szCs w:val="24"/>
          <w:lang w:val="lt-LT"/>
        </w:rPr>
        <w:t>isus</w:t>
      </w:r>
      <w:r w:rsidR="00002047" w:rsidRPr="00002047">
        <w:rPr>
          <w:rFonts w:asciiTheme="majorHAnsi" w:hAnsiTheme="majorHAnsi" w:cstheme="majorHAnsi"/>
          <w:color w:val="000000"/>
          <w:sz w:val="24"/>
          <w:szCs w:val="24"/>
          <w:lang w:val="lt-LT"/>
        </w:rPr>
        <w:t xml:space="preserve"> Darbų kiekius.</w:t>
      </w:r>
    </w:p>
    <w:p w14:paraId="66672BC5" w14:textId="77777777" w:rsidR="00B90129" w:rsidRDefault="00B90129" w:rsidP="00B90129">
      <w:pPr>
        <w:tabs>
          <w:tab w:val="left" w:pos="567"/>
          <w:tab w:val="left" w:pos="993"/>
        </w:tabs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lang w:val="lt-LT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lt-LT"/>
        </w:rPr>
        <w:tab/>
      </w:r>
      <w:r w:rsidRPr="00B90129">
        <w:rPr>
          <w:rFonts w:asciiTheme="majorHAnsi" w:hAnsiTheme="majorHAnsi" w:cstheme="majorHAnsi"/>
          <w:color w:val="000000"/>
          <w:sz w:val="24"/>
          <w:szCs w:val="24"/>
          <w:lang w:val="lt-LT"/>
        </w:rPr>
        <w:t>6</w:t>
      </w:r>
      <w:r w:rsidR="00002047" w:rsidRPr="00002047">
        <w:rPr>
          <w:rFonts w:asciiTheme="majorHAnsi" w:hAnsiTheme="majorHAnsi" w:cstheme="majorHAnsi"/>
          <w:color w:val="000000"/>
          <w:sz w:val="24"/>
          <w:szCs w:val="24"/>
          <w:lang w:val="lt-LT"/>
        </w:rPr>
        <w:t xml:space="preserve">.  Priėmus darbų frontą, tiekėjas per 3 (tris) darbo dienas turės pateikti Perkančiajai organizacijai </w:t>
      </w:r>
      <w:r w:rsidR="00002047" w:rsidRPr="00002047">
        <w:rPr>
          <w:rFonts w:asciiTheme="majorHAnsi" w:hAnsiTheme="majorHAnsi" w:cstheme="majorHAnsi"/>
          <w:b/>
          <w:color w:val="000000"/>
          <w:sz w:val="24"/>
          <w:szCs w:val="24"/>
          <w:lang w:val="lt-LT"/>
        </w:rPr>
        <w:t>reikalingų Darbų atlikti lokalinę sąmatą, siūlomų durų aprašymus (Perkančiajai organizacijai paprašius) ir terminą, per kurį nurodyti darbai bus atlikti.</w:t>
      </w:r>
      <w:r w:rsidR="00002047" w:rsidRPr="00002047">
        <w:rPr>
          <w:rFonts w:asciiTheme="majorHAnsi" w:hAnsiTheme="majorHAnsi" w:cstheme="majorHAnsi"/>
          <w:color w:val="000000"/>
          <w:sz w:val="24"/>
          <w:szCs w:val="24"/>
          <w:lang w:val="lt-LT"/>
        </w:rPr>
        <w:t xml:space="preserve"> Šie dokumentai Perkančiajai organizacijai taip pat bus siunčiami elektroniniu </w:t>
      </w:r>
      <w:r w:rsidR="007C70FC">
        <w:rPr>
          <w:rFonts w:asciiTheme="majorHAnsi" w:hAnsiTheme="majorHAnsi" w:cstheme="majorHAnsi"/>
          <w:color w:val="000000"/>
          <w:sz w:val="24"/>
          <w:szCs w:val="24"/>
          <w:lang w:val="lt-LT"/>
        </w:rPr>
        <w:t>paštu (</w:t>
      </w:r>
      <w:r w:rsidR="007C70FC" w:rsidRPr="007C70FC">
        <w:rPr>
          <w:rFonts w:asciiTheme="majorHAnsi" w:hAnsiTheme="majorHAnsi" w:cstheme="majorHAnsi"/>
          <w:i/>
          <w:iCs/>
          <w:color w:val="000000"/>
          <w:sz w:val="24"/>
          <w:szCs w:val="24"/>
          <w:lang w:val="lt-LT"/>
        </w:rPr>
        <w:t>.</w:t>
      </w:r>
      <w:proofErr w:type="spellStart"/>
      <w:r w:rsidR="007C70FC" w:rsidRPr="007C70FC">
        <w:rPr>
          <w:rFonts w:asciiTheme="majorHAnsi" w:hAnsiTheme="majorHAnsi" w:cstheme="majorHAnsi"/>
          <w:i/>
          <w:iCs/>
          <w:color w:val="000000"/>
          <w:sz w:val="24"/>
          <w:szCs w:val="24"/>
          <w:lang w:val="lt-LT"/>
        </w:rPr>
        <w:t>pdf</w:t>
      </w:r>
      <w:proofErr w:type="spellEnd"/>
      <w:r w:rsidR="007C70FC" w:rsidRPr="007C70FC">
        <w:rPr>
          <w:rFonts w:asciiTheme="majorHAnsi" w:hAnsiTheme="majorHAnsi" w:cstheme="majorHAnsi"/>
          <w:i/>
          <w:iCs/>
          <w:color w:val="000000"/>
          <w:sz w:val="24"/>
          <w:szCs w:val="24"/>
          <w:lang w:val="lt-LT"/>
        </w:rPr>
        <w:t xml:space="preserve">, .jpg </w:t>
      </w:r>
      <w:r w:rsidR="007C70FC">
        <w:rPr>
          <w:rFonts w:asciiTheme="majorHAnsi" w:hAnsiTheme="majorHAnsi" w:cstheme="majorHAnsi"/>
          <w:color w:val="000000"/>
          <w:sz w:val="24"/>
          <w:szCs w:val="24"/>
          <w:lang w:val="lt-LT"/>
        </w:rPr>
        <w:t>ar kitais lygiaverčiais formatais)</w:t>
      </w:r>
      <w:r w:rsidR="00002047" w:rsidRPr="00002047">
        <w:rPr>
          <w:rFonts w:asciiTheme="majorHAnsi" w:hAnsiTheme="majorHAnsi" w:cstheme="majorHAnsi"/>
          <w:color w:val="000000"/>
          <w:sz w:val="24"/>
          <w:szCs w:val="24"/>
          <w:lang w:val="lt-LT"/>
        </w:rPr>
        <w:t xml:space="preserve"> ir šis duomenų išsiuntimo būdas bus laikomas tinkamu įteikimu Perkančiajai organizacijai. </w:t>
      </w:r>
    </w:p>
    <w:p w14:paraId="113FE3BC" w14:textId="1F07163C" w:rsidR="00002047" w:rsidRPr="00B90129" w:rsidRDefault="00B90129" w:rsidP="00B90129">
      <w:pPr>
        <w:tabs>
          <w:tab w:val="left" w:pos="567"/>
          <w:tab w:val="left" w:pos="993"/>
        </w:tabs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lang w:val="lt-LT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lt-LT"/>
        </w:rPr>
        <w:lastRenderedPageBreak/>
        <w:tab/>
      </w:r>
      <w:r>
        <w:rPr>
          <w:rFonts w:asciiTheme="majorHAnsi" w:hAnsiTheme="majorHAnsi" w:cstheme="majorHAnsi"/>
          <w:color w:val="000000"/>
          <w:sz w:val="24"/>
          <w:szCs w:val="24"/>
          <w:lang w:val="lt-LT"/>
        </w:rPr>
        <w:t>7</w:t>
      </w:r>
      <w:r w:rsidR="00002047" w:rsidRPr="00002047">
        <w:rPr>
          <w:rFonts w:asciiTheme="majorHAnsi" w:hAnsiTheme="majorHAnsi" w:cstheme="majorHAnsi"/>
          <w:color w:val="000000"/>
          <w:sz w:val="24"/>
          <w:szCs w:val="24"/>
          <w:lang w:val="lt-LT"/>
        </w:rPr>
        <w:t>. Esant būtinybei tiekėjas atlikti darbus keliuose Perkančiosios organizacijos nurodytuose objektuose, tiekėjas privalės teikti Perkančiajai organizacijai Kalendorinį darbų atlikimo grafiką, kuris turės būti suderintas su Perkančiąja organizacija.</w:t>
      </w:r>
    </w:p>
    <w:p w14:paraId="52BC15A2" w14:textId="77777777" w:rsidR="00CC7F6A" w:rsidRPr="00002047" w:rsidRDefault="00CC7F6A">
      <w:pPr>
        <w:rPr>
          <w:rFonts w:asciiTheme="majorHAnsi" w:hAnsiTheme="majorHAnsi" w:cstheme="majorHAnsi"/>
          <w:sz w:val="24"/>
          <w:szCs w:val="24"/>
        </w:rPr>
      </w:pPr>
    </w:p>
    <w:sectPr w:rsidR="00CC7F6A" w:rsidRPr="000020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C1A2F"/>
    <w:multiLevelType w:val="hybridMultilevel"/>
    <w:tmpl w:val="9C5E5654"/>
    <w:lvl w:ilvl="0" w:tplc="C4F0A69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2020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8C"/>
    <w:rsid w:val="00002047"/>
    <w:rsid w:val="00080260"/>
    <w:rsid w:val="00476E50"/>
    <w:rsid w:val="005C1A22"/>
    <w:rsid w:val="00785901"/>
    <w:rsid w:val="007C2CED"/>
    <w:rsid w:val="007C70FC"/>
    <w:rsid w:val="00870CE2"/>
    <w:rsid w:val="00967A8C"/>
    <w:rsid w:val="00A33480"/>
    <w:rsid w:val="00B226EF"/>
    <w:rsid w:val="00B477AE"/>
    <w:rsid w:val="00B90129"/>
    <w:rsid w:val="00B915C4"/>
    <w:rsid w:val="00C81041"/>
    <w:rsid w:val="00CC7F6A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FF5E"/>
  <w15:chartTrackingRefBased/>
  <w15:docId w15:val="{F35F8F3E-6A14-4795-8620-4779F84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0204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0204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Bukavickienė</dc:creator>
  <cp:lastModifiedBy>Eglė Stonkutė-Saulė</cp:lastModifiedBy>
  <cp:revision>5</cp:revision>
  <dcterms:created xsi:type="dcterms:W3CDTF">2025-11-20T05:01:00Z</dcterms:created>
  <dcterms:modified xsi:type="dcterms:W3CDTF">2025-12-11T12:46:00Z</dcterms:modified>
</cp:coreProperties>
</file>