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B02194"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B02194"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28303C9D"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w:t>
            </w:r>
            <w:r w:rsidR="0024217C">
              <w:rPr>
                <w:rFonts w:ascii="Times New Roman" w:hAnsi="Times New Roman" w:cs="Times New Roman"/>
                <w:b/>
                <w:bCs/>
                <w:sz w:val="20"/>
                <w:szCs w:val="20"/>
              </w:rPr>
              <w:t>rnesto</w:t>
            </w:r>
            <w:r w:rsidRPr="00B02194">
              <w:rPr>
                <w:rFonts w:ascii="Times New Roman" w:hAnsi="Times New Roman" w:cs="Times New Roman"/>
                <w:b/>
                <w:bCs/>
                <w:sz w:val="20"/>
                <w:szCs w:val="20"/>
              </w:rPr>
              <w:t xml:space="preserv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D00E14"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A4209A1" w14:textId="5F5B4FFF" w:rsidR="00341EB5" w:rsidRPr="00341EB5" w:rsidRDefault="005F7F9B" w:rsidP="00341EB5">
            <w:pPr>
              <w:spacing w:after="20" w:line="240" w:lineRule="auto"/>
              <w:ind w:right="-68"/>
              <w:rPr>
                <w:rFonts w:ascii="Times New Roman" w:hAnsi="Times New Roman" w:cs="Times New Roman"/>
                <w:sz w:val="20"/>
                <w:szCs w:val="20"/>
              </w:rPr>
            </w:pPr>
            <w:r w:rsidRPr="005F7F9B">
              <w:rPr>
                <w:rFonts w:ascii="Times New Roman" w:hAnsi="Times New Roman" w:cs="Times New Roman"/>
                <w:sz w:val="20"/>
                <w:szCs w:val="20"/>
              </w:rPr>
              <w:t xml:space="preserve">Laura Lekstutytė </w:t>
            </w:r>
            <w:r>
              <w:t xml:space="preserve"> </w:t>
            </w:r>
            <w:r w:rsidRPr="005F7F9B">
              <w:rPr>
                <w:rFonts w:ascii="Times New Roman" w:hAnsi="Times New Roman" w:cs="Times New Roman"/>
                <w:sz w:val="20"/>
                <w:szCs w:val="20"/>
              </w:rPr>
              <w:t xml:space="preserve">Kokybės vadovė </w:t>
            </w:r>
            <w:r w:rsidR="00341EB5" w:rsidRPr="00341EB5">
              <w:rPr>
                <w:rFonts w:ascii="Times New Roman" w:hAnsi="Times New Roman" w:cs="Times New Roman"/>
                <w:sz w:val="20"/>
                <w:szCs w:val="20"/>
              </w:rPr>
              <w:t>tel. +370</w:t>
            </w:r>
            <w:r w:rsidRPr="005F7F9B">
              <w:rPr>
                <w:rFonts w:ascii="Times New Roman" w:hAnsi="Times New Roman" w:cs="Times New Roman"/>
                <w:sz w:val="20"/>
                <w:szCs w:val="20"/>
              </w:rPr>
              <w:t xml:space="preserve"> 612 46719</w:t>
            </w:r>
          </w:p>
          <w:p w14:paraId="63B290F2" w14:textId="578A7028" w:rsidR="001B7327" w:rsidRPr="00B02194"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 xml:space="preserve">e.paštas, </w:t>
            </w:r>
            <w:r w:rsidR="005F7F9B">
              <w:t xml:space="preserve"> </w:t>
            </w:r>
            <w:hyperlink r:id="rId8" w:history="1">
              <w:r w:rsidR="005F7F9B" w:rsidRPr="00C44AD7">
                <w:rPr>
                  <w:rStyle w:val="Hyperlink"/>
                  <w:rFonts w:ascii="Times New Roman" w:hAnsi="Times New Roman" w:cs="Times New Roman"/>
                  <w:spacing w:val="0"/>
                  <w:sz w:val="20"/>
                  <w:szCs w:val="20"/>
                </w:rPr>
                <w:t>laura.lekstutyte@klaipedosgpmc.lt</w:t>
              </w:r>
            </w:hyperlink>
            <w:r w:rsidR="005F7F9B">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69BB4893" w:rsidR="00BD7D67" w:rsidRPr="00B02194" w:rsidRDefault="00F57B35" w:rsidP="00341EB5">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r w:rsidR="00341EB5" w:rsidRPr="00341EB5">
              <w:rPr>
                <w:rFonts w:ascii="Courier New" w:eastAsia="Courier New" w:hAnsi="Courier New" w:cs="Courier New"/>
                <w:b/>
                <w:kern w:val="2"/>
                <w:sz w:val="24"/>
                <w:szCs w:val="24"/>
                <w:lang w:eastAsia="lt-LT" w:bidi="lt-LT"/>
              </w:rPr>
              <w:t xml:space="preserve"> </w:t>
            </w:r>
            <w:r w:rsidR="005F7F9B">
              <w:t xml:space="preserve"> </w:t>
            </w:r>
            <w:r w:rsidR="005F7F9B" w:rsidRPr="005F7F9B">
              <w:rPr>
                <w:rFonts w:ascii="Times New Roman" w:hAnsi="Times New Roman" w:cs="Times New Roman"/>
                <w:b/>
                <w:i/>
                <w:sz w:val="20"/>
                <w:szCs w:val="20"/>
                <w:lang w:bidi="lt-LT"/>
              </w:rPr>
              <w:t>Kartotini</w:t>
            </w:r>
            <w:r w:rsidR="005F7F9B">
              <w:rPr>
                <w:rFonts w:ascii="Times New Roman" w:hAnsi="Times New Roman" w:cs="Times New Roman"/>
                <w:b/>
                <w:i/>
                <w:sz w:val="20"/>
                <w:szCs w:val="20"/>
                <w:lang w:bidi="lt-LT"/>
              </w:rPr>
              <w:t>o</w:t>
            </w:r>
            <w:r w:rsidR="005F7F9B" w:rsidRPr="005F7F9B">
              <w:rPr>
                <w:rFonts w:ascii="Times New Roman" w:hAnsi="Times New Roman" w:cs="Times New Roman"/>
                <w:b/>
                <w:i/>
                <w:sz w:val="20"/>
                <w:szCs w:val="20"/>
                <w:lang w:bidi="lt-LT"/>
              </w:rPr>
              <w:t xml:space="preserve"> sertifikavim</w:t>
            </w:r>
            <w:r w:rsidR="005F7F9B">
              <w:rPr>
                <w:rFonts w:ascii="Times New Roman" w:hAnsi="Times New Roman" w:cs="Times New Roman"/>
                <w:b/>
                <w:i/>
                <w:sz w:val="20"/>
                <w:szCs w:val="20"/>
                <w:lang w:bidi="lt-LT"/>
              </w:rPr>
              <w:t>o</w:t>
            </w:r>
            <w:r w:rsidR="005F7F9B" w:rsidRPr="005F7F9B">
              <w:rPr>
                <w:rFonts w:ascii="Times New Roman" w:hAnsi="Times New Roman" w:cs="Times New Roman"/>
                <w:b/>
                <w:i/>
                <w:sz w:val="20"/>
                <w:szCs w:val="20"/>
                <w:lang w:bidi="lt-LT"/>
              </w:rPr>
              <w:t xml:space="preserve"> ir 2 priežiūros audit</w:t>
            </w:r>
            <w:r w:rsidR="005F7F9B">
              <w:rPr>
                <w:rFonts w:ascii="Times New Roman" w:hAnsi="Times New Roman" w:cs="Times New Roman"/>
                <w:b/>
                <w:i/>
                <w:sz w:val="20"/>
                <w:szCs w:val="20"/>
                <w:lang w:bidi="lt-LT"/>
              </w:rPr>
              <w:t>o</w:t>
            </w:r>
            <w:r w:rsidR="005F7F9B" w:rsidRPr="005F7F9B">
              <w:rPr>
                <w:rFonts w:ascii="Times New Roman" w:hAnsi="Times New Roman" w:cs="Times New Roman"/>
                <w:b/>
                <w:i/>
                <w:sz w:val="20"/>
                <w:szCs w:val="20"/>
                <w:lang w:bidi="lt-LT"/>
              </w:rPr>
              <w:t xml:space="preserve"> </w:t>
            </w:r>
            <w:r w:rsidR="00341EB5" w:rsidRPr="00341EB5">
              <w:rPr>
                <w:rFonts w:ascii="Times New Roman" w:hAnsi="Times New Roman" w:cs="Times New Roman"/>
                <w:b/>
                <w:i/>
                <w:sz w:val="20"/>
                <w:szCs w:val="20"/>
                <w:lang w:bidi="lt-LT"/>
              </w:rPr>
              <w:t>s paslaugas</w:t>
            </w:r>
            <w:r w:rsidR="00341EB5" w:rsidRPr="00341EB5">
              <w:rPr>
                <w:rFonts w:ascii="Times New Roman" w:hAnsi="Times New Roman" w:cs="Times New Roman"/>
                <w:i/>
                <w:sz w:val="20"/>
                <w:szCs w:val="20"/>
                <w:lang w:bidi="lt-LT"/>
              </w:rPr>
              <w:t xml:space="preserve"> </w:t>
            </w:r>
            <w:r>
              <w:rPr>
                <w:rFonts w:ascii="Times New Roman" w:hAnsi="Times New Roman" w:cs="Times New Roman"/>
                <w:sz w:val="20"/>
                <w:szCs w:val="20"/>
              </w:rPr>
              <w:t xml:space="preserve"> </w:t>
            </w:r>
            <w:r w:rsidRPr="00B02194">
              <w:rPr>
                <w:rFonts w:ascii="Times New Roman" w:hAnsi="Times New Roman" w:cs="Times New Roman"/>
                <w:sz w:val="20"/>
                <w:szCs w:val="20"/>
              </w:rPr>
              <w:t xml:space="preserve"> </w:t>
            </w:r>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w:t>
            </w:r>
            <w:r w:rsidR="005540B4">
              <w:rPr>
                <w:rFonts w:ascii="Times New Roman" w:hAnsi="Times New Roman" w:cs="Times New Roman"/>
                <w:sz w:val="20"/>
                <w:szCs w:val="20"/>
              </w:rPr>
              <w:t xml:space="preserve">užduotyje, </w:t>
            </w:r>
            <w:r w:rsidR="00BD7D67" w:rsidRPr="00B02194">
              <w:rPr>
                <w:rFonts w:ascii="Times New Roman" w:hAnsi="Times New Roman" w:cs="Times New Roman"/>
                <w:sz w:val="20"/>
                <w:szCs w:val="20"/>
              </w:rPr>
              <w:t xml:space="preserve">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C5E3D7B" w14:textId="77777777" w:rsidR="005F7F9B" w:rsidRPr="005F7F9B" w:rsidRDefault="005F7F9B" w:rsidP="005F7F9B">
            <w:pPr>
              <w:spacing w:after="0" w:line="240" w:lineRule="auto"/>
              <w:ind w:right="-68"/>
              <w:rPr>
                <w:rFonts w:ascii="Times New Roman" w:hAnsi="Times New Roman" w:cs="Times New Roman"/>
                <w:sz w:val="20"/>
                <w:szCs w:val="20"/>
              </w:rPr>
            </w:pPr>
            <w:r w:rsidRPr="005F7F9B">
              <w:rPr>
                <w:rFonts w:ascii="Times New Roman" w:hAnsi="Times New Roman" w:cs="Times New Roman"/>
                <w:sz w:val="20"/>
                <w:szCs w:val="20"/>
              </w:rPr>
              <w:t>Kartotinis sertifikavimas atliktas ir pateikta ataskaita iki 2026.01.23</w:t>
            </w:r>
          </w:p>
          <w:p w14:paraId="62104312" w14:textId="0864AEE5" w:rsidR="005F7F9B" w:rsidRPr="005F7F9B" w:rsidRDefault="005F7F9B" w:rsidP="005F7F9B">
            <w:pPr>
              <w:spacing w:after="0" w:line="240" w:lineRule="auto"/>
              <w:ind w:right="-68"/>
              <w:rPr>
                <w:rFonts w:ascii="Times New Roman" w:hAnsi="Times New Roman" w:cs="Times New Roman"/>
                <w:sz w:val="20"/>
                <w:szCs w:val="20"/>
              </w:rPr>
            </w:pPr>
            <w:r w:rsidRPr="005F7F9B">
              <w:rPr>
                <w:rFonts w:ascii="Times New Roman" w:hAnsi="Times New Roman" w:cs="Times New Roman"/>
                <w:sz w:val="20"/>
                <w:szCs w:val="20"/>
              </w:rPr>
              <w:t>I priežiūros auditas iki 2027.01.23</w:t>
            </w:r>
          </w:p>
          <w:p w14:paraId="0089B65F" w14:textId="1996386C" w:rsidR="00660DC6" w:rsidRPr="00DB61EA" w:rsidRDefault="005F7F9B" w:rsidP="005F7F9B">
            <w:pPr>
              <w:spacing w:after="0" w:line="240" w:lineRule="auto"/>
              <w:ind w:right="-68"/>
              <w:rPr>
                <w:rFonts w:ascii="Times New Roman" w:hAnsi="Times New Roman" w:cs="Times New Roman"/>
                <w:sz w:val="20"/>
                <w:szCs w:val="20"/>
              </w:rPr>
            </w:pPr>
            <w:r w:rsidRPr="005F7F9B">
              <w:rPr>
                <w:rFonts w:ascii="Times New Roman" w:hAnsi="Times New Roman" w:cs="Times New Roman"/>
                <w:sz w:val="20"/>
                <w:szCs w:val="20"/>
              </w:rPr>
              <w:t>II priežiūros auditas iki 2028.01.23</w:t>
            </w:r>
          </w:p>
        </w:tc>
      </w:tr>
      <w:tr w:rsidR="0069699C" w:rsidRPr="00B02194" w14:paraId="5CC9C445" w14:textId="77777777" w:rsidTr="00C70C07">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003A6D05" w:rsidR="00341EB5" w:rsidRPr="00DB61EA" w:rsidRDefault="0024217C" w:rsidP="000B27C5">
            <w:pPr>
              <w:spacing w:after="0" w:line="240" w:lineRule="auto"/>
              <w:ind w:right="-68"/>
              <w:rPr>
                <w:rFonts w:ascii="Times New Roman" w:hAnsi="Times New Roman" w:cs="Times New Roman"/>
                <w:bCs/>
                <w:sz w:val="20"/>
                <w:szCs w:val="20"/>
              </w:rPr>
            </w:pPr>
            <w:r w:rsidRPr="0024217C">
              <w:rPr>
                <w:rFonts w:ascii="Times New Roman" w:hAnsi="Times New Roman" w:cs="Times New Roman"/>
                <w:bCs/>
                <w:sz w:val="20"/>
                <w:szCs w:val="20"/>
              </w:rPr>
              <w:t>NETAIKOMA</w:t>
            </w:r>
          </w:p>
        </w:tc>
      </w:tr>
      <w:tr w:rsidR="005540B4"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5540B4" w:rsidRPr="00B02194" w:rsidRDefault="005540B4"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5540B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66BCB34B" w:rsidR="005540B4" w:rsidRPr="00DB61EA" w:rsidRDefault="005540B4" w:rsidP="00245CF9">
            <w:pPr>
              <w:spacing w:after="0" w:line="240" w:lineRule="auto"/>
              <w:ind w:right="-68"/>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245CF9"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245CF9"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7037201B" w:rsidR="00245CF9" w:rsidRPr="00DB61EA" w:rsidRDefault="00245CF9" w:rsidP="0015023D">
            <w:pPr>
              <w:spacing w:after="0" w:line="240" w:lineRule="auto"/>
              <w:ind w:right="-68"/>
              <w:jc w:val="both"/>
              <w:rPr>
                <w:rFonts w:ascii="Times New Roman" w:hAnsi="Times New Roman" w:cs="Times New Roman"/>
                <w:bCs/>
                <w:sz w:val="20"/>
                <w:szCs w:val="20"/>
              </w:rPr>
            </w:pP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5F4414" w:rsidRPr="00B02194"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149" w:type="dxa"/>
            <w:vAlign w:val="center"/>
          </w:tcPr>
          <w:p w14:paraId="5AC68BAF" w14:textId="77777777" w:rsidR="007E5E54" w:rsidRPr="007E5E54" w:rsidRDefault="005F4414" w:rsidP="007E5E54">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7E5E54" w:rsidRPr="007E5E54">
              <w:rPr>
                <w:rFonts w:ascii="Times New Roman" w:hAnsi="Times New Roman" w:cs="Times New Roman"/>
                <w:bCs/>
                <w:i/>
                <w:sz w:val="20"/>
                <w:szCs w:val="20"/>
              </w:rPr>
              <w:t>(Vadovaujantis Viešųjų pirkimų tarnybos direktoriaus patvirtinta kainodaros taisyklių</w:t>
            </w:r>
          </w:p>
          <w:p w14:paraId="2DCCE9CA" w14:textId="55635584" w:rsidR="005F4414" w:rsidRPr="00B02194" w:rsidRDefault="007E5E54" w:rsidP="007E5E54">
            <w:pPr>
              <w:pStyle w:val="ListParagraph"/>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vAlign w:val="center"/>
          </w:tcPr>
          <w:p w14:paraId="2931B922" w14:textId="068009EE" w:rsidR="005F4414" w:rsidRPr="00B02194" w:rsidRDefault="005F7F9B" w:rsidP="00D55766">
            <w:pPr>
              <w:spacing w:after="0" w:line="240" w:lineRule="auto"/>
              <w:ind w:right="-68"/>
              <w:rPr>
                <w:rFonts w:ascii="Times New Roman" w:hAnsi="Times New Roman" w:cs="Times New Roman"/>
                <w:b/>
                <w:sz w:val="20"/>
                <w:szCs w:val="20"/>
              </w:rPr>
            </w:pPr>
            <w:r>
              <w:rPr>
                <w:rFonts w:ascii="Times New Roman" w:hAnsi="Times New Roman" w:cs="Times New Roman"/>
                <w:b/>
                <w:sz w:val="20"/>
                <w:szCs w:val="20"/>
              </w:rPr>
              <w:t>Fiksuoti įkainiai</w:t>
            </w:r>
          </w:p>
        </w:tc>
      </w:tr>
      <w:tr w:rsidR="00D57C6D" w:rsidRPr="00B02194"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vAlign w:val="center"/>
          </w:tcPr>
          <w:p w14:paraId="44A6D396" w14:textId="169C88BB" w:rsidR="00D57C6D" w:rsidRPr="005F7F9B" w:rsidRDefault="005F7F9B" w:rsidP="00D55766">
            <w:pPr>
              <w:spacing w:after="0" w:line="240" w:lineRule="auto"/>
              <w:ind w:right="-68"/>
              <w:rPr>
                <w:rFonts w:ascii="Times New Roman" w:hAnsi="Times New Roman" w:cs="Times New Roman"/>
                <w:b/>
                <w:color w:val="FF0000"/>
                <w:sz w:val="20"/>
                <w:szCs w:val="20"/>
              </w:rPr>
            </w:pPr>
            <w:r w:rsidRPr="005F7F9B">
              <w:rPr>
                <w:rFonts w:ascii="Times New Roman" w:hAnsi="Times New Roman" w:cs="Times New Roman"/>
                <w:b/>
                <w:color w:val="FF0000"/>
                <w:sz w:val="20"/>
                <w:szCs w:val="20"/>
              </w:rPr>
              <w:t>Įrašyti</w:t>
            </w:r>
          </w:p>
        </w:tc>
      </w:tr>
      <w:tr w:rsidR="005F4414" w:rsidRPr="00B02194"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4C1ADCA4" w:rsidR="005F4414" w:rsidRPr="00B02194" w:rsidRDefault="00D00E14"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682" w:type="dxa"/>
            <w:vAlign w:val="center"/>
          </w:tcPr>
          <w:p w14:paraId="0B2838B2" w14:textId="519A9D8D" w:rsidR="005F4414" w:rsidRPr="00B02194" w:rsidRDefault="005F7F9B" w:rsidP="00D55766">
            <w:pPr>
              <w:spacing w:after="0" w:line="240" w:lineRule="auto"/>
              <w:ind w:right="-68"/>
              <w:rPr>
                <w:rFonts w:ascii="Times New Roman" w:hAnsi="Times New Roman" w:cs="Times New Roman"/>
                <w:b/>
                <w:bCs/>
                <w:sz w:val="20"/>
                <w:szCs w:val="20"/>
              </w:rPr>
            </w:pPr>
            <w:r w:rsidRPr="005F7F9B">
              <w:rPr>
                <w:rFonts w:ascii="Times New Roman" w:hAnsi="Times New Roman" w:cs="Times New Roman"/>
                <w:b/>
                <w:bCs/>
                <w:color w:val="FF0000"/>
                <w:sz w:val="20"/>
                <w:szCs w:val="20"/>
              </w:rPr>
              <w:t>Įrašyti</w:t>
            </w:r>
          </w:p>
        </w:tc>
      </w:tr>
      <w:tr w:rsidR="00D57C6D" w:rsidRPr="00B02194"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682" w:type="dxa"/>
            <w:vAlign w:val="center"/>
          </w:tcPr>
          <w:p w14:paraId="5613F3D7" w14:textId="0628211F" w:rsidR="00D57C6D" w:rsidRPr="00B02194" w:rsidRDefault="005F7F9B" w:rsidP="00D55766">
            <w:pPr>
              <w:spacing w:after="0" w:line="240" w:lineRule="auto"/>
              <w:ind w:right="-68"/>
              <w:rPr>
                <w:rFonts w:ascii="Times New Roman" w:hAnsi="Times New Roman" w:cs="Times New Roman"/>
                <w:b/>
                <w:bCs/>
                <w:sz w:val="20"/>
                <w:szCs w:val="20"/>
              </w:rPr>
            </w:pPr>
            <w:r w:rsidRPr="005F7F9B">
              <w:rPr>
                <w:rFonts w:ascii="Times New Roman" w:hAnsi="Times New Roman" w:cs="Times New Roman"/>
                <w:b/>
                <w:bCs/>
                <w:color w:val="FF0000"/>
                <w:sz w:val="20"/>
                <w:szCs w:val="20"/>
              </w:rPr>
              <w:t>Įrašyti</w:t>
            </w:r>
          </w:p>
        </w:tc>
      </w:tr>
      <w:tr w:rsidR="005F4414"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5F4414" w:rsidRPr="00B02194" w:rsidRDefault="00AE00E6"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005F4414" w:rsidRPr="00B02194">
              <w:rPr>
                <w:rFonts w:ascii="Times New Roman" w:hAnsi="Times New Roman" w:cs="Times New Roman"/>
                <w:bCs/>
                <w:sz w:val="20"/>
                <w:szCs w:val="20"/>
              </w:rPr>
              <w:t>įkainiai / kaina</w:t>
            </w:r>
          </w:p>
        </w:tc>
        <w:tc>
          <w:tcPr>
            <w:tcW w:w="4682" w:type="dxa"/>
            <w:vAlign w:val="center"/>
          </w:tcPr>
          <w:p w14:paraId="6E8ECD7D" w14:textId="4F86B4B0" w:rsidR="005F4414" w:rsidRPr="00DB61EA" w:rsidRDefault="005F7F9B" w:rsidP="003863B2">
            <w:pPr>
              <w:spacing w:after="0" w:line="240" w:lineRule="auto"/>
              <w:ind w:right="-68"/>
              <w:rPr>
                <w:rFonts w:ascii="Times New Roman" w:hAnsi="Times New Roman" w:cs="Times New Roman"/>
                <w:b/>
                <w:sz w:val="20"/>
                <w:szCs w:val="20"/>
              </w:rPr>
            </w:pPr>
            <w:r w:rsidRPr="005F7F9B">
              <w:rPr>
                <w:rFonts w:ascii="Times New Roman" w:hAnsi="Times New Roman" w:cs="Times New Roman"/>
                <w:sz w:val="20"/>
                <w:szCs w:val="20"/>
              </w:rPr>
              <w:t>Priedas Nr. 2 – Paslaugų teikėjo pasiūlymas;</w:t>
            </w:r>
          </w:p>
        </w:tc>
      </w:tr>
      <w:tr w:rsidR="005F4414"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682" w:type="dxa"/>
            <w:vAlign w:val="center"/>
          </w:tcPr>
          <w:p w14:paraId="13B2F6DD" w14:textId="1741EB29" w:rsidR="005F4414" w:rsidRPr="00DB61EA" w:rsidRDefault="005F4414" w:rsidP="00C70C07">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 xml:space="preserve">Į </w:t>
            </w:r>
            <w:r w:rsidR="00C70C07" w:rsidRPr="00DB61EA">
              <w:rPr>
                <w:rFonts w:ascii="Times New Roman" w:hAnsi="Times New Roman" w:cs="Times New Roman"/>
                <w:bCs/>
                <w:sz w:val="20"/>
                <w:szCs w:val="20"/>
              </w:rPr>
              <w:t xml:space="preserve">Paslaugų </w:t>
            </w:r>
            <w:r w:rsidRPr="00DB61EA">
              <w:rPr>
                <w:rFonts w:ascii="Times New Roman" w:hAnsi="Times New Roman" w:cs="Times New Roman"/>
                <w:bCs/>
                <w:sz w:val="20"/>
                <w:szCs w:val="20"/>
              </w:rPr>
              <w:t>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w:t>
            </w:r>
            <w:r w:rsidR="00876609" w:rsidRPr="00DB61EA">
              <w:rPr>
                <w:rFonts w:ascii="Times New Roman" w:hAnsi="Times New Roman" w:cs="Times New Roman"/>
                <w:bCs/>
                <w:sz w:val="20"/>
                <w:szCs w:val="20"/>
              </w:rPr>
              <w:t>i</w:t>
            </w:r>
            <w:r w:rsidR="00C60DEE" w:rsidRPr="00DB61EA">
              <w:rPr>
                <w:rFonts w:ascii="Times New Roman" w:hAnsi="Times New Roman" w:cs="Times New Roman"/>
                <w:bCs/>
                <w:sz w:val="20"/>
                <w:szCs w:val="20"/>
              </w:rPr>
              <w:t>, tame tarpe ir transporto išlaidos</w:t>
            </w:r>
          </w:p>
        </w:tc>
      </w:tr>
      <w:tr w:rsidR="005F7F9B" w:rsidRPr="00B02194" w14:paraId="642CD5CF" w14:textId="77777777" w:rsidTr="00017259">
        <w:tblPrEx>
          <w:tblLook w:val="0000" w:firstRow="0" w:lastRow="0" w:firstColumn="0" w:lastColumn="0" w:noHBand="0" w:noVBand="0"/>
        </w:tblPrEx>
        <w:trPr>
          <w:trHeight w:val="74"/>
        </w:trPr>
        <w:tc>
          <w:tcPr>
            <w:tcW w:w="1808" w:type="dxa"/>
            <w:vMerge/>
            <w:vAlign w:val="center"/>
          </w:tcPr>
          <w:p w14:paraId="6C263E30" w14:textId="77777777" w:rsidR="005F7F9B" w:rsidRPr="00B02194" w:rsidRDefault="005F7F9B" w:rsidP="005F7F9B">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5F7F9B" w:rsidRPr="00B02194" w:rsidRDefault="005F7F9B" w:rsidP="005F7F9B">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682" w:type="dxa"/>
            <w:tcBorders>
              <w:top w:val="single" w:sz="4" w:space="0" w:color="auto"/>
              <w:left w:val="single" w:sz="4" w:space="0" w:color="auto"/>
              <w:bottom w:val="single" w:sz="4" w:space="0" w:color="auto"/>
              <w:right w:val="single" w:sz="4" w:space="0" w:color="auto"/>
            </w:tcBorders>
            <w:vAlign w:val="center"/>
          </w:tcPr>
          <w:p w14:paraId="7B869A40" w14:textId="24D7A686"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2.4.8.1.Sutarties įkainiai gali būti peržiūrėti įvykus Vartotojų kainų pokyčiams, kurie skelbiami    Lietuvos Statistikos Departamento viešai Oficialiosios oficialios statistikos portale www.stat.gov.lt, jei panašių Paslaugų kainų pokyčių dydis pasikeitė daugiau kaip 5 % (penki procentai). Peržiūros dažnumas netaikomas. Pirma peržiūra gali būti atlikta ne anksčiau kaip po 6 (šešių) mėnesių po sutarties įsigaliojimo dienos.  Paslaugų įkainiai peržiūrimi šia tvarka:</w:t>
            </w:r>
          </w:p>
          <w:p w14:paraId="75D88F12" w14:textId="77777777" w:rsidR="005F7F9B" w:rsidRDefault="005F7F9B" w:rsidP="005F7F9B">
            <w:pPr>
              <w:spacing w:after="0" w:line="240" w:lineRule="auto"/>
              <w:ind w:right="-68"/>
              <w:jc w:val="both"/>
              <w:rPr>
                <w:rFonts w:ascii="Times New Roman" w:hAnsi="Times New Roman" w:cs="Times New Roman"/>
                <w:bCs/>
                <w:sz w:val="20"/>
                <w:szCs w:val="20"/>
              </w:rPr>
            </w:pPr>
            <m:oMath>
              <m:r>
                <w:rPr>
                  <w:rFonts w:ascii="Cambria Math" w:hAnsi="Cambria Math" w:cs="Times New Roman"/>
                  <w:sz w:val="20"/>
                  <w:szCs w:val="20"/>
                </w:rPr>
                <m:t>k=</m:t>
              </m:r>
              <m:f>
                <m:fPr>
                  <m:ctrlPr>
                    <w:rPr>
                      <w:rFonts w:ascii="Cambria Math" w:hAnsi="Cambria Math" w:cs="Times New Roman"/>
                      <w:bCs/>
                    </w:rPr>
                  </m:ctrlPr>
                </m:fPr>
                <m:num>
                  <m:sSub>
                    <m:sSubPr>
                      <m:ctrlPr>
                        <w:rPr>
                          <w:rFonts w:ascii="Cambria Math" w:hAnsi="Cambria Math" w:cs="Times New Roman"/>
                          <w:bCs/>
                        </w:rPr>
                      </m:ctrlPr>
                    </m:sSubPr>
                    <m:e>
                      <m:r>
                        <w:rPr>
                          <w:rFonts w:ascii="Cambria Math" w:hAnsi="Cambria Math" w:cs="Times New Roman"/>
                          <w:sz w:val="20"/>
                          <w:szCs w:val="20"/>
                        </w:rPr>
                        <m:t>Ind</m:t>
                      </m:r>
                    </m:e>
                    <m:sub>
                      <m:r>
                        <w:rPr>
                          <w:rFonts w:ascii="Cambria Math" w:hAnsi="Cambria Math" w:cs="Times New Roman"/>
                          <w:sz w:val="20"/>
                          <w:szCs w:val="20"/>
                        </w:rPr>
                        <m:t>naujausias</m:t>
                      </m:r>
                    </m:sub>
                  </m:sSub>
                </m:num>
                <m:den>
                  <m:sSub>
                    <m:sSubPr>
                      <m:ctrlPr>
                        <w:rPr>
                          <w:rFonts w:ascii="Cambria Math" w:hAnsi="Cambria Math" w:cs="Times New Roman"/>
                          <w:bCs/>
                        </w:rPr>
                      </m:ctrlPr>
                    </m:sSubPr>
                    <m:e>
                      <m:r>
                        <w:rPr>
                          <w:rFonts w:ascii="Cambria Math" w:hAnsi="Cambria Math" w:cs="Times New Roman"/>
                          <w:sz w:val="20"/>
                          <w:szCs w:val="20"/>
                        </w:rPr>
                        <m:t>Ind</m:t>
                      </m:r>
                    </m:e>
                    <m:sub>
                      <m:r>
                        <w:rPr>
                          <w:rFonts w:ascii="Cambria Math" w:hAnsi="Cambria Math" w:cs="Times New Roman"/>
                          <w:sz w:val="20"/>
                          <w:szCs w:val="20"/>
                        </w:rPr>
                        <m:t>pradžia</m:t>
                      </m:r>
                    </m:sub>
                  </m:sSub>
                </m:den>
              </m:f>
              <m:r>
                <w:rPr>
                  <w:rFonts w:ascii="Cambria Math" w:hAnsi="Cambria Math" w:cs="Times New Roman"/>
                  <w:sz w:val="20"/>
                  <w:szCs w:val="20"/>
                </w:rPr>
                <m:t>×100-100</m:t>
              </m:r>
            </m:oMath>
            <w:r>
              <w:rPr>
                <w:rFonts w:ascii="Times New Roman" w:hAnsi="Times New Roman" w:cs="Times New Roman"/>
                <w:bCs/>
                <w:sz w:val="20"/>
                <w:szCs w:val="20"/>
              </w:rPr>
              <w:t>, (proc.) kur</w:t>
            </w:r>
          </w:p>
          <w:p w14:paraId="0FF58F44"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Indnaujausias – kreipimosi dėl kainos perskaičiavimo išsiuntimo kitai Šaliai datą naujausias paskelbtas vartojimo prekių ir paslaugų indeksas; Indpradžia – laikotarpio pradžios datos (mėnesio) vartojimo prekių ir paslaugų indeksas.</w:t>
            </w:r>
          </w:p>
          <w:p w14:paraId="5A85E291"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Nauji įkainiai apskaičiuojami pagal formulę:</w:t>
            </w:r>
          </w:p>
          <w:p w14:paraId="5D51BDB9"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 </w:t>
            </w:r>
            <m:oMath>
              <m:r>
                <w:rPr>
                  <w:rFonts w:ascii="Cambria Math" w:hAnsi="Cambria Math" w:cstheme="minorHAnsi"/>
                  <w:sz w:val="24"/>
                  <w:szCs w:val="24"/>
                </w:rPr>
                <m:t xml:space="preserve"> </m:t>
              </m:r>
              <m:sSub>
                <m:sSubPr>
                  <m:ctrlPr>
                    <w:rPr>
                      <w:rFonts w:ascii="Cambria Math" w:hAnsi="Cambria Math" w:cs="Times New Roman"/>
                      <w:bCs/>
                      <w:i/>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=a+</m:t>
              </m:r>
              <m:d>
                <m:dPr>
                  <m:ctrlPr>
                    <w:rPr>
                      <w:rFonts w:ascii="Cambria Math" w:hAnsi="Cambria Math" w:cs="Times New Roman"/>
                      <w:bCs/>
                      <w:i/>
                      <w:lang w:val="en-US"/>
                    </w:rPr>
                  </m:ctrlPr>
                </m:dPr>
                <m:e>
                  <m:f>
                    <m:fPr>
                      <m:ctrlPr>
                        <w:rPr>
                          <w:rFonts w:ascii="Cambria Math" w:hAnsi="Cambria Math" w:cs="Times New Roman"/>
                          <w:bCs/>
                          <w:i/>
                          <w:lang w:val="en-US"/>
                        </w:rPr>
                      </m:ctrlPr>
                    </m:fPr>
                    <m:num>
                      <m:r>
                        <w:rPr>
                          <w:rFonts w:ascii="Cambria Math" w:hAnsi="Cambria Math" w:cs="Times New Roman"/>
                          <w:sz w:val="20"/>
                          <w:szCs w:val="20"/>
                        </w:rPr>
                        <m:t>k</m:t>
                      </m:r>
                    </m:num>
                    <m:den>
                      <m:r>
                        <w:rPr>
                          <w:rFonts w:ascii="Cambria Math" w:hAnsi="Cambria Math" w:cs="Times New Roman"/>
                          <w:sz w:val="20"/>
                          <w:szCs w:val="20"/>
                        </w:rPr>
                        <m:t>100</m:t>
                      </m:r>
                    </m:den>
                  </m:f>
                  <m:r>
                    <w:rPr>
                      <w:rFonts w:ascii="Cambria Math" w:hAnsi="Cambria Math" w:cs="Times New Roman"/>
                      <w:sz w:val="20"/>
                      <w:szCs w:val="20"/>
                    </w:rPr>
                    <m:t>×a</m:t>
                  </m:r>
                </m:e>
              </m:d>
            </m:oMath>
            <w:r>
              <w:rPr>
                <w:rFonts w:ascii="Times New Roman" w:hAnsi="Times New Roman" w:cs="Times New Roman"/>
                <w:bCs/>
                <w:i/>
                <w:sz w:val="20"/>
                <w:szCs w:val="20"/>
              </w:rPr>
              <w:t>,</w:t>
            </w:r>
            <w:r>
              <w:rPr>
                <w:rFonts w:ascii="Times New Roman" w:hAnsi="Times New Roman" w:cs="Times New Roman"/>
                <w:bCs/>
                <w:sz w:val="20"/>
                <w:szCs w:val="20"/>
              </w:rPr>
              <w:t>, kur</w:t>
            </w:r>
          </w:p>
          <w:p w14:paraId="23E85560"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a – įkainis (Eur be PVM)) (jei jis jau buvo perskaičiuotas, tai po paskutinio perskaičiavimo).</w:t>
            </w:r>
          </w:p>
          <w:p w14:paraId="231FFE52"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a1 – perskaičiuotas (pakeistas) įkainis (Eur be PVM)</w:t>
            </w:r>
          </w:p>
          <w:p w14:paraId="1D6C5D58"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k – Pagal vartotojų bendrą kainų indeksą;</w:t>
            </w:r>
          </w:p>
          <w:p w14:paraId="6145AC5E"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2.3.7.2 suinteresuota Šalis kitai Šaliai turi pateikti pasiūlymą dėl įkainių pakeitimo;</w:t>
            </w:r>
          </w:p>
          <w:p w14:paraId="48F28337" w14:textId="77777777"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2.3.7.3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AA0B27E" w14:textId="6D50ED91" w:rsidR="005F7F9B"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 xml:space="preserve">2.3.7.4 Sutarties sudarymo dieną Lietuvos Statistikos Departamento viešai oficialios statistikos portale www.stat.gov.lt paskelbtas įvairių prekių ir paslaugų indeksas yra </w:t>
            </w:r>
            <w:r>
              <w:t xml:space="preserve"> </w:t>
            </w:r>
            <w:r w:rsidRPr="005F7F9B">
              <w:rPr>
                <w:rFonts w:ascii="Times New Roman" w:hAnsi="Times New Roman" w:cs="Times New Roman"/>
                <w:bCs/>
                <w:sz w:val="20"/>
                <w:szCs w:val="20"/>
              </w:rPr>
              <w:t>165,4113</w:t>
            </w:r>
            <w:r>
              <w:rPr>
                <w:rFonts w:ascii="Times New Roman" w:hAnsi="Times New Roman" w:cs="Times New Roman"/>
                <w:bCs/>
                <w:sz w:val="20"/>
                <w:szCs w:val="20"/>
              </w:rPr>
              <w:t>;</w:t>
            </w:r>
          </w:p>
          <w:p w14:paraId="558B82FC" w14:textId="2F1A3FE6" w:rsidR="005F7F9B" w:rsidRPr="00DB61EA" w:rsidRDefault="005F7F9B" w:rsidP="005F7F9B">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2.3.7.5.Sutarties Paslaugų įkainių peržiūra įforminama raštišku Šalių susitarimu. Nauji Paslaugų įkainiai bus taikomi Sutarties likusiam laikotarpiui.</w:t>
            </w:r>
          </w:p>
        </w:tc>
      </w:tr>
      <w:tr w:rsidR="005F7F9B"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5F7F9B" w:rsidRPr="00B02194" w:rsidRDefault="005F7F9B" w:rsidP="005F7F9B">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5F7F9B" w:rsidRPr="00B02194" w:rsidRDefault="005F7F9B" w:rsidP="005F7F9B">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6A86AFE7" w14:textId="49597830" w:rsidR="005F7F9B" w:rsidRPr="00DB61EA" w:rsidRDefault="0024217C" w:rsidP="005F7F9B">
            <w:pPr>
              <w:spacing w:after="0" w:line="240" w:lineRule="auto"/>
              <w:ind w:right="-68"/>
              <w:jc w:val="both"/>
              <w:rPr>
                <w:rFonts w:ascii="Times New Roman" w:hAnsi="Times New Roman" w:cs="Times New Roman"/>
                <w:bCs/>
                <w:sz w:val="20"/>
                <w:szCs w:val="20"/>
              </w:rPr>
            </w:pPr>
            <w:r w:rsidRPr="0024217C">
              <w:rPr>
                <w:rFonts w:ascii="Times New Roman" w:hAnsi="Times New Roman" w:cs="Times New Roman"/>
                <w:bCs/>
                <w:sz w:val="20"/>
                <w:szCs w:val="20"/>
              </w:rPr>
              <w:t>Už teikiama</w:t>
            </w:r>
            <w:r>
              <w:rPr>
                <w:rFonts w:ascii="Times New Roman" w:hAnsi="Times New Roman" w:cs="Times New Roman"/>
                <w:bCs/>
                <w:sz w:val="20"/>
                <w:szCs w:val="20"/>
              </w:rPr>
              <w:t>i suteiktas</w:t>
            </w:r>
            <w:r w:rsidRPr="0024217C">
              <w:rPr>
                <w:rFonts w:ascii="Times New Roman" w:hAnsi="Times New Roman" w:cs="Times New Roman"/>
                <w:bCs/>
                <w:sz w:val="20"/>
                <w:szCs w:val="20"/>
              </w:rPr>
              <w:t xml:space="preserve"> Paslaugas Klientas atsiskaito dalimis pagal  įkainius nurodytus  Priede Nr. 2 – Paslaugų teikėjo pasiūlymas</w:t>
            </w:r>
            <w:r w:rsidR="005F7F9B" w:rsidRPr="00DB61EA">
              <w:rPr>
                <w:rFonts w:ascii="Times New Roman" w:hAnsi="Times New Roman" w:cs="Times New Roman"/>
                <w:bCs/>
                <w:sz w:val="20"/>
                <w:szCs w:val="20"/>
              </w:rPr>
              <w:t xml:space="preserve"> per </w:t>
            </w:r>
            <w:sdt>
              <w:sdtPr>
                <w:rPr>
                  <w:rFonts w:ascii="Times New Roman" w:hAnsi="Times New Roman" w:cs="Times New Roman"/>
                  <w:bCs/>
                  <w:sz w:val="20"/>
                  <w:szCs w:val="20"/>
                </w:rPr>
                <w:alias w:val="terminas"/>
                <w:tag w:val="terminas"/>
                <w:id w:val="604618888"/>
                <w:placeholder>
                  <w:docPart w:val="F10B818D0385422F8211B1C48D5DE704"/>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bCs/>
                    <w:sz w:val="20"/>
                    <w:szCs w:val="20"/>
                  </w:rPr>
                  <w:t xml:space="preserve">30 (trisdešimt) kalendorinių dienų </w:t>
                </w:r>
              </w:sdtContent>
            </w:sdt>
            <w:r w:rsidR="005F7F9B" w:rsidRPr="00DB61EA">
              <w:rPr>
                <w:rFonts w:ascii="Times New Roman" w:hAnsi="Times New Roman" w:cs="Times New Roman"/>
                <w:bCs/>
                <w:sz w:val="20"/>
                <w:szCs w:val="20"/>
              </w:rPr>
              <w:t xml:space="preserve"> po abejų Šalių pasirašyto Paslaugų suteikimo akto ir PVM sąskaitos  faktūros </w:t>
            </w:r>
            <w:r w:rsidR="005F7F9B" w:rsidRPr="00DB61EA">
              <w:rPr>
                <w:rFonts w:ascii="Times New Roman" w:eastAsia="Calibri" w:hAnsi="Times New Roman" w:cs="Times New Roman"/>
                <w:spacing w:val="-1"/>
                <w:sz w:val="20"/>
                <w:szCs w:val="20"/>
              </w:rPr>
              <w:t xml:space="preserve"> priėmimo per </w:t>
            </w:r>
            <w:r w:rsidR="005F7F9B" w:rsidRPr="00DB61EA">
              <w:rPr>
                <w:rFonts w:ascii="Times New Roman" w:hAnsi="Times New Roman" w:cs="Times New Roman"/>
                <w:color w:val="000000"/>
                <w:sz w:val="20"/>
                <w:szCs w:val="20"/>
              </w:rPr>
              <w:t>informacinę sistemą</w:t>
            </w:r>
            <w:r w:rsidR="005F7F9B">
              <w:rPr>
                <w:rFonts w:ascii="Times New Roman" w:hAnsi="Times New Roman" w:cs="Times New Roman"/>
                <w:color w:val="000000"/>
                <w:sz w:val="20"/>
                <w:szCs w:val="20"/>
              </w:rPr>
              <w:t xml:space="preserve"> SABIS</w:t>
            </w:r>
            <w:r w:rsidR="005F7F9B" w:rsidRPr="00DB61EA">
              <w:rPr>
                <w:rFonts w:ascii="Times New Roman" w:hAnsi="Times New Roman" w:cs="Times New Roman"/>
                <w:color w:val="000000"/>
                <w:sz w:val="20"/>
                <w:szCs w:val="20"/>
              </w:rPr>
              <w:t xml:space="preserve"> </w:t>
            </w:r>
            <w:r w:rsidR="005F7F9B" w:rsidRPr="00DB61EA">
              <w:rPr>
                <w:rFonts w:ascii="Times New Roman" w:eastAsia="Calibri" w:hAnsi="Times New Roman" w:cs="Times New Roman"/>
                <w:spacing w:val="-1"/>
                <w:sz w:val="20"/>
                <w:szCs w:val="20"/>
              </w:rPr>
              <w:t>dienos.</w:t>
            </w:r>
          </w:p>
        </w:tc>
      </w:tr>
      <w:tr w:rsidR="005F7F9B"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5F7F9B" w:rsidRPr="00B02194" w:rsidRDefault="005F7F9B" w:rsidP="005F7F9B">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5F7F9B" w:rsidRPr="00B02194" w:rsidRDefault="005F7F9B" w:rsidP="005F7F9B">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14D1AC89" w:rsidR="005F7F9B" w:rsidRPr="00DB61EA" w:rsidRDefault="005F7F9B" w:rsidP="005F7F9B">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5F7F9B"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5F7F9B" w:rsidRPr="00DB61EA" w:rsidRDefault="005F7F9B" w:rsidP="005F7F9B">
            <w:pPr>
              <w:tabs>
                <w:tab w:val="num" w:pos="447"/>
              </w:tabs>
              <w:spacing w:after="20" w:line="240" w:lineRule="auto"/>
              <w:ind w:right="-68"/>
              <w:rPr>
                <w:rFonts w:ascii="Times New Roman" w:hAnsi="Times New Roman" w:cs="Times New Roman"/>
                <w:b/>
                <w:sz w:val="20"/>
                <w:szCs w:val="20"/>
              </w:rPr>
            </w:pPr>
          </w:p>
        </w:tc>
      </w:tr>
      <w:tr w:rsidR="005F7F9B" w:rsidRPr="00B02194" w14:paraId="7558D2E0" w14:textId="77777777" w:rsidTr="00C70C07">
        <w:tblPrEx>
          <w:tblLook w:val="0000" w:firstRow="0" w:lastRow="0" w:firstColumn="0" w:lastColumn="0" w:noHBand="0" w:noVBand="0"/>
        </w:tblPrEx>
        <w:trPr>
          <w:trHeight w:val="70"/>
        </w:trPr>
        <w:tc>
          <w:tcPr>
            <w:tcW w:w="1808" w:type="dxa"/>
            <w:vMerge w:val="restart"/>
            <w:vAlign w:val="center"/>
          </w:tcPr>
          <w:p w14:paraId="72626B8B" w14:textId="4AC665E5" w:rsidR="005F7F9B" w:rsidRPr="00B02194" w:rsidRDefault="005F7F9B" w:rsidP="005F7F9B">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5F7F9B" w:rsidRPr="00B02194" w:rsidRDefault="005F7F9B" w:rsidP="005F7F9B">
            <w:pPr>
              <w:pStyle w:val="ListParagraph"/>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Paslaugų teikimo tvarka, jei Paslaugos teikiamos pagal poreikį (užsakymus)</w:t>
            </w:r>
          </w:p>
        </w:tc>
        <w:tc>
          <w:tcPr>
            <w:tcW w:w="4682" w:type="dxa"/>
            <w:vAlign w:val="center"/>
          </w:tcPr>
          <w:p w14:paraId="47FDF97C" w14:textId="4AD4C63B" w:rsidR="005F7F9B" w:rsidRPr="00DB61EA" w:rsidRDefault="005F7F9B" w:rsidP="005F7F9B">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5F7F9B"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5F7F9B" w:rsidRPr="00B02194" w:rsidRDefault="005F7F9B" w:rsidP="005F7F9B">
            <w:pPr>
              <w:pStyle w:val="ListParagraph"/>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5F7F9B" w:rsidRPr="00294243" w:rsidRDefault="005F7F9B" w:rsidP="005F7F9B">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Pr="00294243">
              <w:rPr>
                <w:rFonts w:ascii="Times New Roman" w:hAnsi="Times New Roman" w:cs="Times New Roman"/>
                <w:bCs/>
                <w:sz w:val="20"/>
                <w:szCs w:val="20"/>
              </w:rPr>
              <w:t>Paslaugų suteikimo vieta (jei Paslaugos neteikiamos nuotoliniu būdu)</w:t>
            </w:r>
          </w:p>
        </w:tc>
        <w:tc>
          <w:tcPr>
            <w:tcW w:w="4682" w:type="dxa"/>
          </w:tcPr>
          <w:p w14:paraId="0C385606" w14:textId="77777777" w:rsidR="0024217C" w:rsidRPr="0024217C" w:rsidRDefault="0024217C" w:rsidP="0024217C">
            <w:pPr>
              <w:spacing w:after="0" w:line="240" w:lineRule="auto"/>
              <w:ind w:right="-68"/>
              <w:jc w:val="both"/>
              <w:rPr>
                <w:rFonts w:ascii="Times New Roman" w:hAnsi="Times New Roman" w:cs="Times New Roman"/>
                <w:bCs/>
                <w:sz w:val="20"/>
                <w:szCs w:val="20"/>
              </w:rPr>
            </w:pPr>
            <w:r w:rsidRPr="0024217C">
              <w:rPr>
                <w:rFonts w:ascii="Times New Roman" w:hAnsi="Times New Roman" w:cs="Times New Roman"/>
                <w:bCs/>
                <w:sz w:val="20"/>
                <w:szCs w:val="20"/>
              </w:rPr>
              <w:t>Taikos pr. 67 Klaipėda;</w:t>
            </w:r>
          </w:p>
          <w:p w14:paraId="6848ED62" w14:textId="77777777" w:rsidR="0024217C" w:rsidRPr="0024217C" w:rsidRDefault="0024217C" w:rsidP="0024217C">
            <w:pPr>
              <w:spacing w:after="0" w:line="240" w:lineRule="auto"/>
              <w:ind w:right="-68"/>
              <w:jc w:val="both"/>
              <w:rPr>
                <w:rFonts w:ascii="Times New Roman" w:hAnsi="Times New Roman" w:cs="Times New Roman"/>
                <w:bCs/>
                <w:sz w:val="20"/>
                <w:szCs w:val="20"/>
              </w:rPr>
            </w:pPr>
            <w:r w:rsidRPr="0024217C">
              <w:rPr>
                <w:rFonts w:ascii="Times New Roman" w:hAnsi="Times New Roman" w:cs="Times New Roman"/>
                <w:bCs/>
                <w:sz w:val="20"/>
                <w:szCs w:val="20"/>
              </w:rPr>
              <w:t>Lelijų g. 5 Klaipėda;</w:t>
            </w:r>
          </w:p>
          <w:p w14:paraId="50C7B433" w14:textId="77777777" w:rsidR="0024217C" w:rsidRPr="0024217C" w:rsidRDefault="0024217C" w:rsidP="0024217C">
            <w:pPr>
              <w:spacing w:after="0" w:line="240" w:lineRule="auto"/>
              <w:ind w:right="-68"/>
              <w:jc w:val="both"/>
              <w:rPr>
                <w:rFonts w:ascii="Times New Roman" w:hAnsi="Times New Roman" w:cs="Times New Roman"/>
                <w:bCs/>
                <w:sz w:val="20"/>
                <w:szCs w:val="20"/>
              </w:rPr>
            </w:pPr>
            <w:r w:rsidRPr="0024217C">
              <w:rPr>
                <w:rFonts w:ascii="Times New Roman" w:hAnsi="Times New Roman" w:cs="Times New Roman"/>
                <w:bCs/>
                <w:sz w:val="20"/>
                <w:szCs w:val="20"/>
              </w:rPr>
              <w:t xml:space="preserve">Klaipėdiškių g. 2, Ketvergių k. Klaipėdos r.  </w:t>
            </w:r>
          </w:p>
          <w:p w14:paraId="1E63C8F4" w14:textId="1858DC13" w:rsidR="005F7F9B" w:rsidRPr="00DB61EA" w:rsidRDefault="0024217C" w:rsidP="0024217C">
            <w:pPr>
              <w:spacing w:after="0" w:line="240" w:lineRule="auto"/>
              <w:ind w:right="-68"/>
              <w:jc w:val="both"/>
              <w:rPr>
                <w:rFonts w:ascii="Times New Roman" w:hAnsi="Times New Roman" w:cs="Times New Roman"/>
                <w:bCs/>
                <w:sz w:val="20"/>
                <w:szCs w:val="20"/>
              </w:rPr>
            </w:pPr>
            <w:r w:rsidRPr="0024217C">
              <w:rPr>
                <w:rFonts w:ascii="Times New Roman" w:hAnsi="Times New Roman" w:cs="Times New Roman"/>
                <w:bCs/>
                <w:sz w:val="20"/>
                <w:szCs w:val="20"/>
              </w:rPr>
              <w:t>Sodžiaus g. 1c, Kretingsodžio k., Kretingos r.</w:t>
            </w:r>
          </w:p>
        </w:tc>
      </w:tr>
      <w:tr w:rsidR="005F7F9B"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5F7F9B" w:rsidRPr="00B02194" w:rsidRDefault="005F7F9B" w:rsidP="005F7F9B">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5F7F9B" w:rsidRPr="00294243" w:rsidRDefault="005F7F9B" w:rsidP="005F7F9B">
            <w:pPr>
              <w:pStyle w:val="ListParagraph"/>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6FCFC8F69DFA47CD8A2B99A2A0DAAE91"/>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Content>
            <w:tc>
              <w:tcPr>
                <w:tcW w:w="4682" w:type="dxa"/>
              </w:tcPr>
              <w:p w14:paraId="4FF0D32E" w14:textId="5D5D19D1" w:rsidR="005F7F9B" w:rsidRPr="00DB61EA" w:rsidRDefault="0034259B" w:rsidP="005F7F9B">
                <w:pPr>
                  <w:spacing w:after="0" w:line="240" w:lineRule="auto"/>
                  <w:ind w:right="-68"/>
                  <w:rPr>
                    <w:rFonts w:ascii="Times New Roman" w:hAnsi="Times New Roman" w:cs="Times New Roman"/>
                    <w:sz w:val="20"/>
                    <w:szCs w:val="20"/>
                  </w:rPr>
                </w:pPr>
                <w:r w:rsidRPr="0034259B">
                  <w:rPr>
                    <w:rFonts w:ascii="Times New Roman" w:hAnsi="Times New Roman" w:cs="Times New Roman"/>
                    <w:sz w:val="20"/>
                    <w:szCs w:val="20"/>
                  </w:rPr>
                  <w:t>0,02% (dvi šimtosios proento) nuo neįvykdytos sutarties dalies</w:t>
                </w:r>
              </w:p>
            </w:tc>
          </w:sdtContent>
        </w:sdt>
      </w:tr>
      <w:tr w:rsidR="005F7F9B"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5F7F9B" w:rsidRPr="00B02194" w:rsidRDefault="005F7F9B" w:rsidP="005F7F9B">
            <w:pPr>
              <w:pStyle w:val="ListParagraph"/>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5F7F9B" w:rsidRPr="00294243" w:rsidRDefault="005F7F9B" w:rsidP="005F7F9B">
            <w:pPr>
              <w:pStyle w:val="ListParagraph"/>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09CF2792" w14:textId="2F96547E" w:rsidR="005F7F9B" w:rsidRPr="00B02194" w:rsidRDefault="0024217C" w:rsidP="005F7F9B">
            <w:pPr>
              <w:spacing w:after="0" w:line="240" w:lineRule="auto"/>
              <w:ind w:right="-68"/>
              <w:jc w:val="both"/>
              <w:rPr>
                <w:rFonts w:ascii="Times New Roman" w:hAnsi="Times New Roman" w:cs="Times New Roman"/>
                <w:sz w:val="20"/>
                <w:szCs w:val="20"/>
              </w:rPr>
            </w:pPr>
            <w:r w:rsidRPr="0024217C">
              <w:rPr>
                <w:rFonts w:ascii="Times New Roman" w:hAnsi="Times New Roman" w:cs="Times New Roman"/>
                <w:sz w:val="20"/>
                <w:szCs w:val="20"/>
              </w:rPr>
              <w:t>Šalys susitaria, kad su Sutarties vykdymu susiję dokumentai Šalių turi būti pateikiami tik elektroniniu formatu, Paslaugų perdavimo ir priėmimo aktai turi būti pasirašomi el. parašu. Išimtiniais atvejais su Sutarties vykdymu susiję dokumentai gali būti pateikiami popieriniu formatu, jeigu toks formatas privalomas pagal teisės aktus arba Klientas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5F7F9B"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5F7F9B" w:rsidRPr="00B02194" w:rsidRDefault="005F7F9B" w:rsidP="005F7F9B">
            <w:pPr>
              <w:spacing w:after="20" w:line="240" w:lineRule="auto"/>
              <w:ind w:right="-68"/>
              <w:rPr>
                <w:rFonts w:ascii="Times New Roman" w:hAnsi="Times New Roman" w:cs="Times New Roman"/>
                <w:sz w:val="20"/>
                <w:szCs w:val="20"/>
              </w:rPr>
            </w:pPr>
          </w:p>
        </w:tc>
      </w:tr>
      <w:tr w:rsidR="005F7F9B" w:rsidRPr="00B02194" w14:paraId="3BAABC44" w14:textId="77777777" w:rsidTr="00AE00E6">
        <w:tblPrEx>
          <w:tblLook w:val="0000" w:firstRow="0" w:lastRow="0" w:firstColumn="0" w:lastColumn="0" w:noHBand="0" w:noVBand="0"/>
        </w:tblPrEx>
        <w:trPr>
          <w:trHeight w:val="764"/>
        </w:trPr>
        <w:tc>
          <w:tcPr>
            <w:tcW w:w="1808" w:type="dxa"/>
            <w:vAlign w:val="center"/>
          </w:tcPr>
          <w:p w14:paraId="3DE439B3" w14:textId="06597C3D" w:rsidR="005F7F9B" w:rsidRPr="00B02194" w:rsidRDefault="005F7F9B" w:rsidP="005F7F9B">
            <w:pPr>
              <w:pStyle w:val="ListParagraph"/>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0239D636" w:rsidR="005F7F9B" w:rsidRPr="00B02194" w:rsidRDefault="005F7F9B" w:rsidP="005F7F9B">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w:t>
            </w:r>
            <w:r>
              <w:rPr>
                <w:rFonts w:eastAsia="Arial"/>
                <w:sz w:val="20"/>
                <w:szCs w:val="20"/>
                <w:lang w:val="lt-LT"/>
              </w:rPr>
              <w:t xml:space="preserve"> užduotis</w:t>
            </w:r>
            <w:r w:rsidRPr="00B02194">
              <w:rPr>
                <w:rFonts w:eastAsia="Arial"/>
                <w:sz w:val="20"/>
                <w:szCs w:val="20"/>
                <w:lang w:val="lt-LT"/>
              </w:rPr>
              <w:t>;</w:t>
            </w:r>
          </w:p>
          <w:p w14:paraId="604BBA4A" w14:textId="011DBEAD" w:rsidR="005F7F9B" w:rsidRPr="00B02194" w:rsidRDefault="005F7F9B" w:rsidP="005F7F9B">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Paslaugų teikėjo</w:t>
            </w:r>
            <w:r w:rsidRPr="00B02194">
              <w:rPr>
                <w:rFonts w:eastAsia="Arial"/>
                <w:sz w:val="20"/>
                <w:szCs w:val="20"/>
                <w:lang w:val="lt-LT"/>
              </w:rPr>
              <w:t xml:space="preserve"> pasiūlymas;</w:t>
            </w:r>
          </w:p>
          <w:p w14:paraId="7720AD71" w14:textId="7F2C11A4" w:rsidR="005F7F9B" w:rsidRPr="00B02194" w:rsidRDefault="005F7F9B" w:rsidP="005F7F9B">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D00E14">
              <w:rPr>
                <w:rFonts w:eastAsia="Arial"/>
                <w:sz w:val="20"/>
                <w:szCs w:val="20"/>
                <w:lang w:val="lt-LT"/>
              </w:rPr>
              <w:t>3 - Paslaugų perdavimo priėmimo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0" w:name="part_8f4dadbdf27c4882b72f57a56c9631ad"/>
      <w:bookmarkStart w:id="1" w:name="part_9fd9687904354f69bb532178a7959ebe"/>
      <w:bookmarkEnd w:id="0"/>
      <w:bookmarkEnd w:id="1"/>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Paslaugų 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2"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2"/>
    </w:p>
    <w:p w14:paraId="54942950" w14:textId="1FB9754E"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9" w:history="1">
        <w:r w:rsidR="00BD79CD" w:rsidRPr="009647E2">
          <w:rPr>
            <w:rStyle w:val="Hyperlink"/>
            <w:rFonts w:ascii="Times New Roman" w:eastAsia="Calibri" w:hAnsi="Times New Roman" w:cs="Times New Roman"/>
            <w:spacing w:val="-1"/>
            <w:sz w:val="20"/>
            <w:szCs w:val="20"/>
          </w:rPr>
          <w:t>https://sabis.nbfc.lt/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ListParagraph"/>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ListParagraph"/>
        <w:rPr>
          <w:rFonts w:ascii="Times New Roman" w:hAnsi="Times New Roman" w:cs="Times New Roman"/>
          <w:sz w:val="20"/>
          <w:szCs w:val="20"/>
        </w:rPr>
      </w:pPr>
    </w:p>
    <w:p w14:paraId="0F597AFA" w14:textId="4DF0C967" w:rsidR="003C79DF" w:rsidRPr="0053173F" w:rsidRDefault="00491C04"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lastRenderedPageBreak/>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328CFB74"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3" w:name="_Toc438559500"/>
      <w:bookmarkStart w:id="4" w:name="_Toc438559827"/>
    </w:p>
    <w:p w14:paraId="72E47240" w14:textId="7972089F" w:rsidR="00DB106D" w:rsidRDefault="00AE00E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p w14:paraId="26C1C33C" w14:textId="4C1A49D0" w:rsidR="00F57D84" w:rsidRDefault="00BB186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Esminiu S</w:t>
      </w:r>
      <w:r w:rsidR="00F57D84">
        <w:rPr>
          <w:rFonts w:ascii="Times New Roman" w:hAnsi="Times New Roman" w:cs="Times New Roman"/>
          <w:sz w:val="20"/>
          <w:szCs w:val="20"/>
        </w:rPr>
        <w:t>utarties pažeidimu laikoma:</w:t>
      </w:r>
    </w:p>
    <w:p w14:paraId="0713214B" w14:textId="6B60BAB7"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vėluojama  teikti Paslaugas daugiau nei 20 (dvidešimt) </w:t>
      </w:r>
      <w:r>
        <w:rPr>
          <w:rFonts w:ascii="Times New Roman" w:hAnsi="Times New Roman" w:cs="Times New Roman"/>
          <w:sz w:val="20"/>
          <w:szCs w:val="20"/>
        </w:rPr>
        <w:t>darbo</w:t>
      </w:r>
      <w:r w:rsidRPr="00F57D84">
        <w:rPr>
          <w:rFonts w:ascii="Times New Roman" w:hAnsi="Times New Roman" w:cs="Times New Roman"/>
          <w:sz w:val="20"/>
          <w:szCs w:val="20"/>
        </w:rPr>
        <w:t xml:space="preserve"> dienų ir (ar) suteiktos Paslaugos netinkamai ir (ar) nekokybiškai ir (ar) neatitinka </w:t>
      </w:r>
      <w:r>
        <w:rPr>
          <w:rFonts w:ascii="Times New Roman" w:hAnsi="Times New Roman" w:cs="Times New Roman"/>
          <w:sz w:val="20"/>
          <w:szCs w:val="20"/>
        </w:rPr>
        <w:t>S</w:t>
      </w:r>
      <w:r w:rsidRPr="00F57D84">
        <w:rPr>
          <w:rFonts w:ascii="Times New Roman" w:hAnsi="Times New Roman" w:cs="Times New Roman"/>
          <w:sz w:val="20"/>
          <w:szCs w:val="20"/>
        </w:rPr>
        <w:t xml:space="preserve">utartyje ir (ar) Techninėje </w:t>
      </w:r>
      <w:r w:rsidR="00BB186C">
        <w:rPr>
          <w:rFonts w:ascii="Times New Roman" w:hAnsi="Times New Roman" w:cs="Times New Roman"/>
          <w:sz w:val="20"/>
          <w:szCs w:val="20"/>
        </w:rPr>
        <w:t xml:space="preserve">užduotyje </w:t>
      </w:r>
      <w:r w:rsidRPr="00F57D84">
        <w:rPr>
          <w:rFonts w:ascii="Times New Roman" w:hAnsi="Times New Roman" w:cs="Times New Roman"/>
          <w:sz w:val="20"/>
          <w:szCs w:val="20"/>
        </w:rPr>
        <w:t xml:space="preserve">numatytų reikalavimų ir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neištaiso Paslaugų teikimo trūkumų per </w:t>
      </w:r>
      <w:r>
        <w:rPr>
          <w:rFonts w:ascii="Times New Roman" w:hAnsi="Times New Roman" w:cs="Times New Roman"/>
          <w:sz w:val="20"/>
          <w:szCs w:val="20"/>
        </w:rPr>
        <w:t xml:space="preserve">Kliento </w:t>
      </w:r>
      <w:r w:rsidRPr="00F57D84">
        <w:rPr>
          <w:rFonts w:ascii="Times New Roman" w:hAnsi="Times New Roman" w:cs="Times New Roman"/>
          <w:sz w:val="20"/>
          <w:szCs w:val="20"/>
        </w:rPr>
        <w:t>nurodytą termin</w:t>
      </w:r>
      <w:r>
        <w:rPr>
          <w:rFonts w:ascii="Times New Roman" w:hAnsi="Times New Roman" w:cs="Times New Roman"/>
          <w:sz w:val="20"/>
          <w:szCs w:val="20"/>
        </w:rPr>
        <w:t>ą;</w:t>
      </w:r>
    </w:p>
    <w:p w14:paraId="3DAFD4F5" w14:textId="7DC8F19C"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dėl savo kaltės negali ir (arba) atsisako vykdyti </w:t>
      </w:r>
      <w:r>
        <w:rPr>
          <w:rFonts w:ascii="Times New Roman" w:hAnsi="Times New Roman" w:cs="Times New Roman"/>
          <w:sz w:val="20"/>
          <w:szCs w:val="20"/>
        </w:rPr>
        <w:t>Sutartyje</w:t>
      </w:r>
      <w:r w:rsidRPr="00F57D84">
        <w:rPr>
          <w:rFonts w:ascii="Times New Roman" w:hAnsi="Times New Roman" w:cs="Times New Roman"/>
          <w:sz w:val="20"/>
          <w:szCs w:val="20"/>
        </w:rPr>
        <w:t xml:space="preserve"> numatytus įsipareigojimus ar bet kurią jų dalį, nepriklausomi nuo tokios dalies vertės</w:t>
      </w:r>
      <w:r>
        <w:rPr>
          <w:rFonts w:ascii="Times New Roman" w:hAnsi="Times New Roman" w:cs="Times New Roman"/>
          <w:sz w:val="20"/>
          <w:szCs w:val="20"/>
        </w:rPr>
        <w:t>;</w:t>
      </w:r>
    </w:p>
    <w:p w14:paraId="20E9F8AB" w14:textId="3AB9FA03"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iCs/>
          <w:sz w:val="20"/>
          <w:szCs w:val="20"/>
          <w:shd w:val="clear" w:color="auto" w:fill="FFFFFF"/>
        </w:rPr>
        <w:t xml:space="preserve">jeigu </w:t>
      </w:r>
      <w:r>
        <w:rPr>
          <w:rFonts w:ascii="Times New Roman" w:hAnsi="Times New Roman" w:cs="Times New Roman"/>
          <w:iCs/>
          <w:sz w:val="20"/>
          <w:szCs w:val="20"/>
          <w:shd w:val="clear" w:color="auto" w:fill="FFFFFF"/>
        </w:rPr>
        <w:t xml:space="preserve">Paslaugų teikėjas </w:t>
      </w:r>
      <w:r w:rsidRPr="00F57D84">
        <w:rPr>
          <w:rFonts w:ascii="Times New Roman" w:hAnsi="Times New Roman" w:cs="Times New Roman"/>
          <w:iCs/>
          <w:sz w:val="20"/>
          <w:szCs w:val="20"/>
          <w:shd w:val="clear" w:color="auto" w:fill="FFFFFF"/>
        </w:rPr>
        <w:t xml:space="preserve">be </w:t>
      </w:r>
      <w:r>
        <w:rPr>
          <w:rFonts w:ascii="Times New Roman" w:hAnsi="Times New Roman" w:cs="Times New Roman"/>
          <w:iCs/>
          <w:sz w:val="20"/>
          <w:szCs w:val="20"/>
          <w:shd w:val="clear" w:color="auto" w:fill="FFFFFF"/>
        </w:rPr>
        <w:t xml:space="preserve">Kliento </w:t>
      </w:r>
      <w:r w:rsidRPr="00F57D84">
        <w:rPr>
          <w:rFonts w:ascii="Times New Roman" w:hAnsi="Times New Roman" w:cs="Times New Roman"/>
          <w:iCs/>
          <w:sz w:val="20"/>
          <w:szCs w:val="20"/>
          <w:shd w:val="clear" w:color="auto" w:fill="FFFFFF"/>
        </w:rPr>
        <w:t>raštiško sutikimo pakeičia Pirkimo sutarties vykdymui pasitelktą subtiekėją ir (ar) specialistą, kurio kvalifikacija rėmėsi</w:t>
      </w:r>
      <w:r>
        <w:rPr>
          <w:rFonts w:ascii="Times New Roman" w:hAnsi="Times New Roman" w:cs="Times New Roman"/>
          <w:iCs/>
          <w:sz w:val="20"/>
          <w:szCs w:val="20"/>
          <w:shd w:val="clear" w:color="auto" w:fill="FFFFFF"/>
        </w:rPr>
        <w:t>;</w:t>
      </w:r>
    </w:p>
    <w:p w14:paraId="0BB9266D" w14:textId="2AAFA09F"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Pirkimo sutartyje numatytais atvejais nepateikia </w:t>
      </w:r>
      <w:r>
        <w:rPr>
          <w:rFonts w:ascii="Times New Roman" w:hAnsi="Times New Roman" w:cs="Times New Roman"/>
          <w:sz w:val="20"/>
          <w:szCs w:val="20"/>
        </w:rPr>
        <w:t>S</w:t>
      </w:r>
      <w:r w:rsidRPr="00F57D84">
        <w:rPr>
          <w:rFonts w:ascii="Times New Roman" w:hAnsi="Times New Roman" w:cs="Times New Roman"/>
          <w:sz w:val="20"/>
          <w:szCs w:val="20"/>
        </w:rPr>
        <w:t>utarties įvykdymo užtikrinimo dokumento ar nepratęsia jo galiojimo termino (jei taikoma);</w:t>
      </w:r>
    </w:p>
    <w:bookmarkEnd w:id="3"/>
    <w:bookmarkEnd w:id="4"/>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lastRenderedPageBreak/>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0FF74954" w:rsidR="00D86B5B" w:rsidRDefault="00D86B5B" w:rsidP="00F3259E">
      <w:pPr>
        <w:pStyle w:val="Pagrindinistekstas1"/>
        <w:ind w:firstLine="0"/>
        <w:rPr>
          <w:rFonts w:ascii="Times New Roman" w:hAnsi="Times New Roman"/>
          <w:lang w:val="lt-LT"/>
        </w:rPr>
      </w:pPr>
    </w:p>
    <w:p w14:paraId="1CC4DFC7" w14:textId="47C99AFA" w:rsidR="00D00E14" w:rsidRDefault="00D00E14" w:rsidP="00F3259E">
      <w:pPr>
        <w:pStyle w:val="Pagrindinistekstas1"/>
        <w:ind w:firstLine="0"/>
        <w:rPr>
          <w:rFonts w:ascii="Times New Roman" w:hAnsi="Times New Roman"/>
          <w:lang w:val="lt-LT"/>
        </w:rPr>
      </w:pPr>
    </w:p>
    <w:p w14:paraId="1C4B3FD1" w14:textId="0DDBE3FC" w:rsidR="00D00E14" w:rsidRDefault="00D00E14" w:rsidP="00F3259E">
      <w:pPr>
        <w:pStyle w:val="Pagrindinistekstas1"/>
        <w:ind w:firstLine="0"/>
        <w:rPr>
          <w:rFonts w:ascii="Times New Roman" w:hAnsi="Times New Roman"/>
          <w:lang w:val="lt-LT"/>
        </w:rPr>
      </w:pPr>
    </w:p>
    <w:p w14:paraId="47C5F0B8" w14:textId="0FB0A933" w:rsidR="00D00E14" w:rsidRDefault="00D00E14" w:rsidP="00F3259E">
      <w:pPr>
        <w:pStyle w:val="Pagrindinistekstas1"/>
        <w:ind w:firstLine="0"/>
        <w:rPr>
          <w:rFonts w:ascii="Times New Roman" w:hAnsi="Times New Roman"/>
          <w:lang w:val="lt-LT"/>
        </w:rPr>
      </w:pPr>
    </w:p>
    <w:p w14:paraId="0757C1A7" w14:textId="4CACD904" w:rsidR="00D00E14" w:rsidRDefault="00D00E14" w:rsidP="00F3259E">
      <w:pPr>
        <w:pStyle w:val="Pagrindinistekstas1"/>
        <w:ind w:firstLine="0"/>
        <w:rPr>
          <w:rFonts w:ascii="Times New Roman" w:hAnsi="Times New Roman"/>
          <w:lang w:val="lt-LT"/>
        </w:rPr>
      </w:pPr>
    </w:p>
    <w:p w14:paraId="1E0E54E2" w14:textId="26DB2131" w:rsidR="00D00E14" w:rsidRDefault="00D00E14" w:rsidP="00F3259E">
      <w:pPr>
        <w:pStyle w:val="Pagrindinistekstas1"/>
        <w:ind w:firstLine="0"/>
        <w:rPr>
          <w:rFonts w:ascii="Times New Roman" w:hAnsi="Times New Roman"/>
          <w:lang w:val="lt-LT"/>
        </w:rPr>
      </w:pPr>
    </w:p>
    <w:p w14:paraId="3F952C64" w14:textId="58D4DF21" w:rsidR="00D00E14" w:rsidRDefault="00D00E14" w:rsidP="00F3259E">
      <w:pPr>
        <w:pStyle w:val="Pagrindinistekstas1"/>
        <w:ind w:firstLine="0"/>
        <w:rPr>
          <w:rFonts w:ascii="Times New Roman" w:hAnsi="Times New Roman"/>
          <w:lang w:val="lt-LT"/>
        </w:rPr>
      </w:pPr>
    </w:p>
    <w:p w14:paraId="7980D6EB" w14:textId="5EC1DEB8" w:rsidR="00D00E14" w:rsidRDefault="00D00E14" w:rsidP="00F3259E">
      <w:pPr>
        <w:pStyle w:val="Pagrindinistekstas1"/>
        <w:ind w:firstLine="0"/>
        <w:rPr>
          <w:rFonts w:ascii="Times New Roman" w:hAnsi="Times New Roman"/>
          <w:lang w:val="lt-LT"/>
        </w:rPr>
      </w:pPr>
    </w:p>
    <w:p w14:paraId="4E8A21AB" w14:textId="243A7B62" w:rsidR="00D00E14" w:rsidRDefault="00D00E14" w:rsidP="00F3259E">
      <w:pPr>
        <w:pStyle w:val="Pagrindinistekstas1"/>
        <w:ind w:firstLine="0"/>
        <w:rPr>
          <w:rFonts w:ascii="Times New Roman" w:hAnsi="Times New Roman"/>
          <w:lang w:val="lt-LT"/>
        </w:rPr>
      </w:pPr>
    </w:p>
    <w:p w14:paraId="729C2568" w14:textId="6B53F992" w:rsidR="00D00E14" w:rsidRDefault="00D00E14" w:rsidP="00F3259E">
      <w:pPr>
        <w:pStyle w:val="Pagrindinistekstas1"/>
        <w:ind w:firstLine="0"/>
        <w:rPr>
          <w:rFonts w:ascii="Times New Roman" w:hAnsi="Times New Roman"/>
          <w:lang w:val="lt-LT"/>
        </w:rPr>
      </w:pPr>
    </w:p>
    <w:p w14:paraId="0F9A3A5F" w14:textId="2ABE0A62" w:rsidR="00D00E14" w:rsidRDefault="00D00E14" w:rsidP="00F3259E">
      <w:pPr>
        <w:pStyle w:val="Pagrindinistekstas1"/>
        <w:ind w:firstLine="0"/>
        <w:rPr>
          <w:rFonts w:ascii="Times New Roman" w:hAnsi="Times New Roman"/>
          <w:lang w:val="lt-LT"/>
        </w:rPr>
      </w:pPr>
    </w:p>
    <w:p w14:paraId="57A10A19" w14:textId="580D3946" w:rsidR="00D00E14" w:rsidRDefault="00D00E14" w:rsidP="00F3259E">
      <w:pPr>
        <w:pStyle w:val="Pagrindinistekstas1"/>
        <w:ind w:firstLine="0"/>
        <w:rPr>
          <w:rFonts w:ascii="Times New Roman" w:hAnsi="Times New Roman"/>
          <w:lang w:val="lt-LT"/>
        </w:rPr>
      </w:pPr>
    </w:p>
    <w:p w14:paraId="0E5B0441" w14:textId="54BEF293" w:rsidR="00D00E14" w:rsidRDefault="00D00E14" w:rsidP="00F3259E">
      <w:pPr>
        <w:pStyle w:val="Pagrindinistekstas1"/>
        <w:ind w:firstLine="0"/>
        <w:rPr>
          <w:rFonts w:ascii="Times New Roman" w:hAnsi="Times New Roman"/>
          <w:lang w:val="lt-LT"/>
        </w:rPr>
      </w:pPr>
    </w:p>
    <w:p w14:paraId="3C6CDDC0" w14:textId="3783DB41" w:rsidR="00D00E14" w:rsidRDefault="00D00E14" w:rsidP="00F3259E">
      <w:pPr>
        <w:pStyle w:val="Pagrindinistekstas1"/>
        <w:ind w:firstLine="0"/>
        <w:rPr>
          <w:rFonts w:ascii="Times New Roman" w:hAnsi="Times New Roman"/>
          <w:lang w:val="lt-LT"/>
        </w:rPr>
      </w:pPr>
    </w:p>
    <w:p w14:paraId="587F118C" w14:textId="1DD105E6" w:rsidR="00D00E14" w:rsidRDefault="00D00E14" w:rsidP="00F3259E">
      <w:pPr>
        <w:pStyle w:val="Pagrindinistekstas1"/>
        <w:ind w:firstLine="0"/>
        <w:rPr>
          <w:rFonts w:ascii="Times New Roman" w:hAnsi="Times New Roman"/>
          <w:lang w:val="lt-LT"/>
        </w:rPr>
      </w:pPr>
    </w:p>
    <w:p w14:paraId="76DBFA74" w14:textId="7024334B" w:rsidR="00D00E14" w:rsidRDefault="00D00E14" w:rsidP="00F3259E">
      <w:pPr>
        <w:pStyle w:val="Pagrindinistekstas1"/>
        <w:ind w:firstLine="0"/>
        <w:rPr>
          <w:rFonts w:ascii="Times New Roman" w:hAnsi="Times New Roman"/>
          <w:lang w:val="lt-LT"/>
        </w:rPr>
      </w:pPr>
    </w:p>
    <w:p w14:paraId="37D0A787" w14:textId="5AB7B371" w:rsidR="00D00E14" w:rsidRDefault="00D00E14" w:rsidP="00F3259E">
      <w:pPr>
        <w:pStyle w:val="Pagrindinistekstas1"/>
        <w:ind w:firstLine="0"/>
        <w:rPr>
          <w:rFonts w:ascii="Times New Roman" w:hAnsi="Times New Roman"/>
          <w:lang w:val="lt-LT"/>
        </w:rPr>
      </w:pPr>
    </w:p>
    <w:p w14:paraId="546BE83E" w14:textId="4AB96578" w:rsidR="00D00E14" w:rsidRDefault="00D00E14" w:rsidP="00F3259E">
      <w:pPr>
        <w:pStyle w:val="Pagrindinistekstas1"/>
        <w:ind w:firstLine="0"/>
        <w:rPr>
          <w:rFonts w:ascii="Times New Roman" w:hAnsi="Times New Roman"/>
          <w:lang w:val="lt-LT"/>
        </w:rPr>
      </w:pPr>
    </w:p>
    <w:p w14:paraId="4576895B" w14:textId="6F803CF3" w:rsidR="00D00E14" w:rsidRDefault="00D00E14" w:rsidP="00F3259E">
      <w:pPr>
        <w:pStyle w:val="Pagrindinistekstas1"/>
        <w:ind w:firstLine="0"/>
        <w:rPr>
          <w:rFonts w:ascii="Times New Roman" w:hAnsi="Times New Roman"/>
          <w:lang w:val="lt-LT"/>
        </w:rPr>
      </w:pPr>
    </w:p>
    <w:p w14:paraId="25AF2EC4" w14:textId="4CA1CBAD" w:rsidR="00D00E14" w:rsidRDefault="00D00E14" w:rsidP="00F3259E">
      <w:pPr>
        <w:pStyle w:val="Pagrindinistekstas1"/>
        <w:ind w:firstLine="0"/>
        <w:rPr>
          <w:rFonts w:ascii="Times New Roman" w:hAnsi="Times New Roman"/>
          <w:lang w:val="lt-LT"/>
        </w:rPr>
      </w:pPr>
    </w:p>
    <w:p w14:paraId="760F87B5" w14:textId="4CD61F1E" w:rsidR="00D00E14" w:rsidRDefault="00D00E14" w:rsidP="00F3259E">
      <w:pPr>
        <w:pStyle w:val="Pagrindinistekstas1"/>
        <w:ind w:firstLine="0"/>
        <w:rPr>
          <w:rFonts w:ascii="Times New Roman" w:hAnsi="Times New Roman"/>
          <w:lang w:val="lt-LT"/>
        </w:rPr>
      </w:pPr>
    </w:p>
    <w:p w14:paraId="4D749F2F" w14:textId="0E0BAD63" w:rsidR="00D00E14" w:rsidRDefault="00D00E14" w:rsidP="00F3259E">
      <w:pPr>
        <w:pStyle w:val="Pagrindinistekstas1"/>
        <w:ind w:firstLine="0"/>
        <w:rPr>
          <w:rFonts w:ascii="Times New Roman" w:hAnsi="Times New Roman"/>
          <w:lang w:val="lt-LT"/>
        </w:rPr>
      </w:pPr>
    </w:p>
    <w:p w14:paraId="7107643C" w14:textId="439D579E" w:rsidR="00D00E14" w:rsidRDefault="00D00E14" w:rsidP="00F3259E">
      <w:pPr>
        <w:pStyle w:val="Pagrindinistekstas1"/>
        <w:ind w:firstLine="0"/>
        <w:rPr>
          <w:rFonts w:ascii="Times New Roman" w:hAnsi="Times New Roman"/>
          <w:lang w:val="lt-LT"/>
        </w:rPr>
      </w:pPr>
    </w:p>
    <w:p w14:paraId="06373220" w14:textId="0E8AB46B" w:rsidR="00D00E14" w:rsidRDefault="00D00E14" w:rsidP="00F3259E">
      <w:pPr>
        <w:pStyle w:val="Pagrindinistekstas1"/>
        <w:ind w:firstLine="0"/>
        <w:rPr>
          <w:rFonts w:ascii="Times New Roman" w:hAnsi="Times New Roman"/>
          <w:lang w:val="lt-LT"/>
        </w:rPr>
      </w:pPr>
    </w:p>
    <w:p w14:paraId="7A382896" w14:textId="5779F9C7" w:rsidR="00D00E14" w:rsidRDefault="00D00E14" w:rsidP="00F3259E">
      <w:pPr>
        <w:pStyle w:val="Pagrindinistekstas1"/>
        <w:ind w:firstLine="0"/>
        <w:rPr>
          <w:rFonts w:ascii="Times New Roman" w:hAnsi="Times New Roman"/>
          <w:lang w:val="lt-LT"/>
        </w:rPr>
      </w:pPr>
    </w:p>
    <w:p w14:paraId="7D7027B9" w14:textId="52B0DBA4" w:rsidR="00D00E14" w:rsidRDefault="00D00E14" w:rsidP="00F3259E">
      <w:pPr>
        <w:pStyle w:val="Pagrindinistekstas1"/>
        <w:ind w:firstLine="0"/>
        <w:rPr>
          <w:rFonts w:ascii="Times New Roman" w:hAnsi="Times New Roman"/>
          <w:lang w:val="lt-LT"/>
        </w:rPr>
      </w:pPr>
    </w:p>
    <w:p w14:paraId="65E71118" w14:textId="6C87C2D9" w:rsidR="00D00E14" w:rsidRDefault="00D00E14" w:rsidP="00F3259E">
      <w:pPr>
        <w:pStyle w:val="Pagrindinistekstas1"/>
        <w:ind w:firstLine="0"/>
        <w:rPr>
          <w:rFonts w:ascii="Times New Roman" w:hAnsi="Times New Roman"/>
          <w:lang w:val="lt-LT"/>
        </w:rPr>
      </w:pPr>
    </w:p>
    <w:p w14:paraId="2F4AE5B6" w14:textId="675B39BA" w:rsidR="00D00E14" w:rsidRDefault="00D00E14" w:rsidP="00F3259E">
      <w:pPr>
        <w:pStyle w:val="Pagrindinistekstas1"/>
        <w:ind w:firstLine="0"/>
        <w:rPr>
          <w:rFonts w:ascii="Times New Roman" w:hAnsi="Times New Roman"/>
          <w:lang w:val="lt-LT"/>
        </w:rPr>
      </w:pPr>
    </w:p>
    <w:p w14:paraId="31C280C5" w14:textId="0DD2C423" w:rsidR="00D00E14" w:rsidRDefault="00D00E14" w:rsidP="00F3259E">
      <w:pPr>
        <w:pStyle w:val="Pagrindinistekstas1"/>
        <w:ind w:firstLine="0"/>
        <w:rPr>
          <w:rFonts w:ascii="Times New Roman" w:hAnsi="Times New Roman"/>
          <w:lang w:val="lt-LT"/>
        </w:rPr>
      </w:pPr>
    </w:p>
    <w:p w14:paraId="69BB1987" w14:textId="49CF2D54" w:rsidR="00D00E14" w:rsidRDefault="00D00E14" w:rsidP="00F3259E">
      <w:pPr>
        <w:pStyle w:val="Pagrindinistekstas1"/>
        <w:ind w:firstLine="0"/>
        <w:rPr>
          <w:rFonts w:ascii="Times New Roman" w:hAnsi="Times New Roman"/>
          <w:lang w:val="lt-LT"/>
        </w:rPr>
      </w:pPr>
    </w:p>
    <w:p w14:paraId="2C0ACED3" w14:textId="35AD504A" w:rsidR="00D00E14" w:rsidRDefault="00D00E14" w:rsidP="00F3259E">
      <w:pPr>
        <w:pStyle w:val="Pagrindinistekstas1"/>
        <w:ind w:firstLine="0"/>
        <w:rPr>
          <w:rFonts w:ascii="Times New Roman" w:hAnsi="Times New Roman"/>
          <w:lang w:val="lt-LT"/>
        </w:rPr>
      </w:pPr>
    </w:p>
    <w:p w14:paraId="54EE0657" w14:textId="4A76212E" w:rsidR="00D00E14" w:rsidRDefault="00D00E14" w:rsidP="00F3259E">
      <w:pPr>
        <w:pStyle w:val="Pagrindinistekstas1"/>
        <w:ind w:firstLine="0"/>
        <w:rPr>
          <w:rFonts w:ascii="Times New Roman" w:hAnsi="Times New Roman"/>
          <w:lang w:val="lt-LT"/>
        </w:rPr>
      </w:pPr>
    </w:p>
    <w:p w14:paraId="30E3B8EE" w14:textId="2B3A466C" w:rsidR="00D00E14" w:rsidRDefault="00D00E14" w:rsidP="00F3259E">
      <w:pPr>
        <w:pStyle w:val="Pagrindinistekstas1"/>
        <w:ind w:firstLine="0"/>
        <w:rPr>
          <w:rFonts w:ascii="Times New Roman" w:hAnsi="Times New Roman"/>
          <w:lang w:val="lt-LT"/>
        </w:rPr>
      </w:pPr>
    </w:p>
    <w:p w14:paraId="75AC6D68" w14:textId="72EE1641" w:rsidR="00D00E14" w:rsidRDefault="00D00E14" w:rsidP="00F3259E">
      <w:pPr>
        <w:pStyle w:val="Pagrindinistekstas1"/>
        <w:ind w:firstLine="0"/>
        <w:rPr>
          <w:rFonts w:ascii="Times New Roman" w:hAnsi="Times New Roman"/>
          <w:lang w:val="lt-LT"/>
        </w:rPr>
      </w:pPr>
    </w:p>
    <w:p w14:paraId="32D8B5F9" w14:textId="3EC9DCC3" w:rsidR="00D00E14" w:rsidRDefault="00D00E14" w:rsidP="00F3259E">
      <w:pPr>
        <w:pStyle w:val="Pagrindinistekstas1"/>
        <w:ind w:firstLine="0"/>
        <w:rPr>
          <w:rFonts w:ascii="Times New Roman" w:hAnsi="Times New Roman"/>
          <w:lang w:val="lt-LT"/>
        </w:rPr>
      </w:pPr>
    </w:p>
    <w:p w14:paraId="6126ED5E" w14:textId="2D6D28C2" w:rsidR="00D00E14" w:rsidRDefault="00D00E14" w:rsidP="00F3259E">
      <w:pPr>
        <w:pStyle w:val="Pagrindinistekstas1"/>
        <w:ind w:firstLine="0"/>
        <w:rPr>
          <w:rFonts w:ascii="Times New Roman" w:hAnsi="Times New Roman"/>
          <w:lang w:val="lt-LT"/>
        </w:rPr>
      </w:pPr>
    </w:p>
    <w:p w14:paraId="4FC16CBF" w14:textId="4A75C629" w:rsidR="00D00E14" w:rsidRDefault="00D00E14" w:rsidP="00F3259E">
      <w:pPr>
        <w:pStyle w:val="Pagrindinistekstas1"/>
        <w:ind w:firstLine="0"/>
        <w:rPr>
          <w:rFonts w:ascii="Times New Roman" w:hAnsi="Times New Roman"/>
          <w:lang w:val="lt-LT"/>
        </w:rPr>
      </w:pPr>
    </w:p>
    <w:p w14:paraId="233FE684" w14:textId="657B24B3" w:rsidR="00D00E14" w:rsidRDefault="00D00E14" w:rsidP="00F3259E">
      <w:pPr>
        <w:pStyle w:val="Pagrindinistekstas1"/>
        <w:ind w:firstLine="0"/>
        <w:rPr>
          <w:rFonts w:ascii="Times New Roman" w:hAnsi="Times New Roman"/>
          <w:lang w:val="lt-LT"/>
        </w:rPr>
      </w:pPr>
    </w:p>
    <w:p w14:paraId="403BE38F" w14:textId="5495BA71" w:rsidR="00D00E14" w:rsidRDefault="00D00E14" w:rsidP="00F3259E">
      <w:pPr>
        <w:pStyle w:val="Pagrindinistekstas1"/>
        <w:ind w:firstLine="0"/>
        <w:rPr>
          <w:rFonts w:ascii="Times New Roman" w:hAnsi="Times New Roman"/>
          <w:lang w:val="lt-LT"/>
        </w:rPr>
      </w:pPr>
    </w:p>
    <w:p w14:paraId="0F1E648F" w14:textId="1C047DD2" w:rsidR="00D00E14" w:rsidRDefault="00D00E14" w:rsidP="00F3259E">
      <w:pPr>
        <w:pStyle w:val="Pagrindinistekstas1"/>
        <w:ind w:firstLine="0"/>
        <w:rPr>
          <w:rFonts w:ascii="Times New Roman" w:hAnsi="Times New Roman"/>
          <w:lang w:val="lt-LT"/>
        </w:rPr>
      </w:pPr>
    </w:p>
    <w:p w14:paraId="735B99C8" w14:textId="1C278C36" w:rsidR="00D00E14" w:rsidRDefault="00D00E14" w:rsidP="00F3259E">
      <w:pPr>
        <w:pStyle w:val="Pagrindinistekstas1"/>
        <w:ind w:firstLine="0"/>
        <w:rPr>
          <w:rFonts w:ascii="Times New Roman" w:hAnsi="Times New Roman"/>
          <w:lang w:val="lt-LT"/>
        </w:rPr>
      </w:pPr>
    </w:p>
    <w:p w14:paraId="343AC584" w14:textId="4DB820E2" w:rsidR="00D00E14" w:rsidRDefault="00D00E14" w:rsidP="00F3259E">
      <w:pPr>
        <w:pStyle w:val="Pagrindinistekstas1"/>
        <w:ind w:firstLine="0"/>
        <w:rPr>
          <w:rFonts w:ascii="Times New Roman" w:hAnsi="Times New Roman"/>
          <w:lang w:val="lt-LT"/>
        </w:rPr>
      </w:pPr>
    </w:p>
    <w:p w14:paraId="2BD26654" w14:textId="41AC7164" w:rsidR="00D00E14" w:rsidRDefault="00D00E14" w:rsidP="00F3259E">
      <w:pPr>
        <w:pStyle w:val="Pagrindinistekstas1"/>
        <w:ind w:firstLine="0"/>
        <w:rPr>
          <w:rFonts w:ascii="Times New Roman" w:hAnsi="Times New Roman"/>
          <w:lang w:val="lt-LT"/>
        </w:rPr>
      </w:pPr>
    </w:p>
    <w:p w14:paraId="0F86F11B" w14:textId="46DC623D" w:rsidR="00D00E14" w:rsidRDefault="00D00E14" w:rsidP="00F3259E">
      <w:pPr>
        <w:pStyle w:val="Pagrindinistekstas1"/>
        <w:ind w:firstLine="0"/>
        <w:rPr>
          <w:rFonts w:ascii="Times New Roman" w:hAnsi="Times New Roman"/>
          <w:lang w:val="lt-LT"/>
        </w:rPr>
      </w:pPr>
    </w:p>
    <w:p w14:paraId="0FB1984D" w14:textId="2B2C8928" w:rsidR="00D00E14" w:rsidRDefault="00D00E14" w:rsidP="00F3259E">
      <w:pPr>
        <w:pStyle w:val="Pagrindinistekstas1"/>
        <w:ind w:firstLine="0"/>
        <w:rPr>
          <w:rFonts w:ascii="Times New Roman" w:hAnsi="Times New Roman"/>
          <w:lang w:val="lt-LT"/>
        </w:rPr>
      </w:pPr>
    </w:p>
    <w:p w14:paraId="66968C6F" w14:textId="38967469" w:rsidR="00D00E14" w:rsidRDefault="00D00E14" w:rsidP="00F3259E">
      <w:pPr>
        <w:pStyle w:val="Pagrindinistekstas1"/>
        <w:ind w:firstLine="0"/>
        <w:rPr>
          <w:rFonts w:ascii="Times New Roman" w:hAnsi="Times New Roman"/>
          <w:lang w:val="lt-LT"/>
        </w:rPr>
      </w:pPr>
    </w:p>
    <w:p w14:paraId="7EFCC42C" w14:textId="41FEB8A1" w:rsidR="00D00E14" w:rsidRDefault="00D00E14" w:rsidP="00F3259E">
      <w:pPr>
        <w:pStyle w:val="Pagrindinistekstas1"/>
        <w:ind w:firstLine="0"/>
        <w:rPr>
          <w:rFonts w:ascii="Times New Roman" w:hAnsi="Times New Roman"/>
          <w:lang w:val="lt-LT"/>
        </w:rPr>
      </w:pPr>
    </w:p>
    <w:p w14:paraId="63FDE103" w14:textId="1DAE18D8" w:rsidR="00D00E14" w:rsidRDefault="00D00E14" w:rsidP="00F3259E">
      <w:pPr>
        <w:pStyle w:val="Pagrindinistekstas1"/>
        <w:ind w:firstLine="0"/>
        <w:rPr>
          <w:rFonts w:ascii="Times New Roman" w:hAnsi="Times New Roman"/>
          <w:lang w:val="lt-LT"/>
        </w:rPr>
      </w:pPr>
    </w:p>
    <w:p w14:paraId="3AFBC766" w14:textId="681D5EFB" w:rsidR="00D00E14" w:rsidRDefault="00D00E14" w:rsidP="00F3259E">
      <w:pPr>
        <w:pStyle w:val="Pagrindinistekstas1"/>
        <w:ind w:firstLine="0"/>
        <w:rPr>
          <w:rFonts w:ascii="Times New Roman" w:hAnsi="Times New Roman"/>
          <w:lang w:val="lt-LT"/>
        </w:rPr>
      </w:pPr>
    </w:p>
    <w:p w14:paraId="20AC8996" w14:textId="396AE6BC" w:rsidR="00D00E14" w:rsidRPr="00D00E14" w:rsidRDefault="00D00E14" w:rsidP="00D00E14">
      <w:pPr>
        <w:spacing w:after="0" w:line="240" w:lineRule="auto"/>
        <w:jc w:val="right"/>
        <w:rPr>
          <w:rFonts w:ascii="Times New Roman" w:eastAsia="Times New Roman" w:hAnsi="Times New Roman" w:cs="Times New Roman"/>
          <w:sz w:val="24"/>
          <w:szCs w:val="24"/>
        </w:rPr>
      </w:pPr>
      <w:r w:rsidRPr="00D00E14">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3</w:t>
      </w:r>
      <w:bookmarkStart w:id="5" w:name="_GoBack"/>
      <w:bookmarkEnd w:id="5"/>
      <w:r w:rsidRPr="00D00E14">
        <w:rPr>
          <w:rFonts w:ascii="Times New Roman" w:eastAsia="Times New Roman" w:hAnsi="Times New Roman" w:cs="Times New Roman"/>
          <w:sz w:val="24"/>
          <w:szCs w:val="24"/>
        </w:rPr>
        <w:t xml:space="preserve"> priedas </w:t>
      </w:r>
    </w:p>
    <w:p w14:paraId="162708ED" w14:textId="77777777" w:rsidR="00D00E14" w:rsidRPr="00D00E14" w:rsidRDefault="00D00E14" w:rsidP="00D00E14">
      <w:pPr>
        <w:spacing w:after="0" w:line="240" w:lineRule="auto"/>
        <w:jc w:val="center"/>
        <w:rPr>
          <w:rFonts w:ascii="Times New Roman" w:eastAsia="Times New Roman" w:hAnsi="Times New Roman" w:cs="Times New Roman"/>
          <w:b/>
          <w:bCs/>
          <w:sz w:val="24"/>
          <w:szCs w:val="24"/>
        </w:rPr>
      </w:pPr>
    </w:p>
    <w:p w14:paraId="728E1FDF" w14:textId="77777777" w:rsidR="00D00E14" w:rsidRPr="00D00E14" w:rsidRDefault="00D00E14" w:rsidP="00D00E14">
      <w:pPr>
        <w:spacing w:after="0" w:line="240" w:lineRule="auto"/>
        <w:jc w:val="center"/>
        <w:rPr>
          <w:rFonts w:ascii="Times New Roman" w:eastAsia="Times New Roman" w:hAnsi="Times New Roman" w:cs="Times New Roman"/>
          <w:b/>
          <w:bCs/>
          <w:sz w:val="24"/>
          <w:szCs w:val="24"/>
        </w:rPr>
      </w:pPr>
    </w:p>
    <w:p w14:paraId="51699B8E" w14:textId="77777777" w:rsidR="00D00E14" w:rsidRPr="00D00E14" w:rsidRDefault="00D00E14" w:rsidP="00D00E14">
      <w:pPr>
        <w:spacing w:after="0" w:line="240" w:lineRule="auto"/>
        <w:jc w:val="center"/>
        <w:rPr>
          <w:rFonts w:ascii="Times New Roman" w:eastAsia="Times New Roman" w:hAnsi="Times New Roman" w:cs="Times New Roman"/>
          <w:b/>
          <w:bCs/>
          <w:sz w:val="24"/>
          <w:szCs w:val="24"/>
        </w:rPr>
      </w:pPr>
    </w:p>
    <w:p w14:paraId="5B818601" w14:textId="77777777" w:rsidR="00D00E14" w:rsidRPr="00D00E14" w:rsidRDefault="00D00E14" w:rsidP="00D00E14">
      <w:pPr>
        <w:spacing w:after="0" w:line="240" w:lineRule="auto"/>
        <w:jc w:val="center"/>
        <w:rPr>
          <w:rFonts w:ascii="Times New Roman" w:eastAsia="Times New Roman" w:hAnsi="Times New Roman" w:cs="Times New Roman"/>
          <w:b/>
          <w:bCs/>
          <w:sz w:val="24"/>
          <w:szCs w:val="24"/>
        </w:rPr>
      </w:pPr>
      <w:r w:rsidRPr="00D00E14">
        <w:rPr>
          <w:rFonts w:ascii="Times New Roman" w:eastAsia="Times New Roman" w:hAnsi="Times New Roman" w:cs="Times New Roman"/>
          <w:b/>
          <w:bCs/>
          <w:sz w:val="24"/>
          <w:szCs w:val="24"/>
        </w:rPr>
        <w:t>PASLAUGŲ PRIĖMIMO-PERDAVIMO AKTAS</w:t>
      </w:r>
    </w:p>
    <w:p w14:paraId="12FEB207" w14:textId="77777777" w:rsidR="00D00E14" w:rsidRPr="00D00E14" w:rsidRDefault="00D00E14" w:rsidP="00D00E14">
      <w:pPr>
        <w:spacing w:after="0" w:line="240" w:lineRule="auto"/>
        <w:jc w:val="center"/>
        <w:rPr>
          <w:rFonts w:ascii="Times New Roman" w:eastAsia="Times New Roman" w:hAnsi="Times New Roman" w:cs="Times New Roman"/>
          <w:b/>
          <w:bCs/>
          <w:sz w:val="20"/>
          <w:szCs w:val="24"/>
        </w:rPr>
      </w:pPr>
    </w:p>
    <w:p w14:paraId="50006BF7" w14:textId="77777777" w:rsidR="00D00E14" w:rsidRPr="00D00E14" w:rsidRDefault="00D00E14" w:rsidP="00D00E14">
      <w:pPr>
        <w:spacing w:after="0" w:line="240" w:lineRule="auto"/>
        <w:jc w:val="center"/>
        <w:rPr>
          <w:rFonts w:ascii="Times New Roman" w:eastAsia="Calibri" w:hAnsi="Times New Roman" w:cs="Times New Roman"/>
          <w:b/>
          <w:sz w:val="20"/>
          <w:szCs w:val="24"/>
        </w:rPr>
      </w:pPr>
      <w:r w:rsidRPr="00D00E14">
        <w:rPr>
          <w:rFonts w:ascii="Times New Roman" w:eastAsia="Times New Roman" w:hAnsi="Times New Roman" w:cs="Times New Roman"/>
          <w:b/>
          <w:bCs/>
          <w:sz w:val="20"/>
          <w:szCs w:val="24"/>
        </w:rPr>
        <w:t>(data)</w:t>
      </w:r>
    </w:p>
    <w:p w14:paraId="3B3AD020" w14:textId="10CCD786" w:rsidR="00D00E14" w:rsidRPr="00D00E14" w:rsidRDefault="00D00E14" w:rsidP="00D00E14">
      <w:pPr>
        <w:spacing w:after="0" w:line="240" w:lineRule="auto"/>
        <w:jc w:val="center"/>
        <w:rPr>
          <w:rFonts w:ascii="Times New Roman" w:eastAsia="Calibri" w:hAnsi="Times New Roman" w:cs="Times New Roman"/>
          <w:b/>
          <w:sz w:val="20"/>
          <w:szCs w:val="24"/>
        </w:rPr>
      </w:pPr>
      <w:r w:rsidRPr="00D00E14">
        <w:rPr>
          <w:rFonts w:ascii="Times New Roman" w:eastAsia="Calibri" w:hAnsi="Times New Roman" w:cs="Times New Roman"/>
          <w:b/>
          <w:sz w:val="20"/>
          <w:szCs w:val="24"/>
        </w:rPr>
        <w:t>Pagal 202</w:t>
      </w:r>
      <w:r>
        <w:rPr>
          <w:rFonts w:ascii="Times New Roman" w:eastAsia="Calibri" w:hAnsi="Times New Roman" w:cs="Times New Roman"/>
          <w:b/>
          <w:sz w:val="20"/>
          <w:szCs w:val="24"/>
        </w:rPr>
        <w:t>5</w:t>
      </w:r>
      <w:r w:rsidRPr="00D00E14">
        <w:rPr>
          <w:rFonts w:ascii="Times New Roman" w:eastAsia="Calibri" w:hAnsi="Times New Roman" w:cs="Times New Roman"/>
          <w:b/>
          <w:sz w:val="20"/>
          <w:szCs w:val="24"/>
        </w:rPr>
        <w:t>-</w:t>
      </w:r>
      <w:r>
        <w:rPr>
          <w:rFonts w:ascii="Times New Roman" w:eastAsia="Calibri" w:hAnsi="Times New Roman" w:cs="Times New Roman"/>
          <w:b/>
          <w:sz w:val="20"/>
          <w:szCs w:val="24"/>
        </w:rPr>
        <w:t>12</w:t>
      </w:r>
      <w:r w:rsidRPr="00D00E14">
        <w:rPr>
          <w:rFonts w:ascii="Times New Roman" w:eastAsia="Calibri" w:hAnsi="Times New Roman" w:cs="Times New Roman"/>
          <w:b/>
          <w:sz w:val="20"/>
          <w:szCs w:val="24"/>
        </w:rPr>
        <w:t>-   sutartį Nr. VP-</w:t>
      </w:r>
    </w:p>
    <w:p w14:paraId="5A4F3CF5" w14:textId="77777777" w:rsidR="00D00E14" w:rsidRPr="00D00E14" w:rsidRDefault="00D00E14" w:rsidP="00D00E14">
      <w:pPr>
        <w:spacing w:after="0" w:line="240" w:lineRule="auto"/>
        <w:jc w:val="center"/>
        <w:rPr>
          <w:rFonts w:ascii="Times New Roman" w:eastAsia="Calibri" w:hAnsi="Times New Roman" w:cs="Times New Roman"/>
          <w:b/>
          <w:sz w:val="20"/>
          <w:szCs w:val="24"/>
        </w:rPr>
      </w:pPr>
    </w:p>
    <w:p w14:paraId="2CE25AF9" w14:textId="77777777" w:rsidR="00D00E14" w:rsidRPr="00D00E14" w:rsidRDefault="00D00E14" w:rsidP="00D00E14">
      <w:pPr>
        <w:spacing w:after="0" w:line="240" w:lineRule="auto"/>
        <w:jc w:val="center"/>
        <w:rPr>
          <w:rFonts w:ascii="Times New Roman" w:eastAsia="Calibri" w:hAnsi="Times New Roman" w:cs="Times New Roman"/>
          <w:b/>
          <w:sz w:val="20"/>
          <w:szCs w:val="24"/>
        </w:rPr>
      </w:pPr>
    </w:p>
    <w:tbl>
      <w:tblPr>
        <w:tblW w:w="9747"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70"/>
        <w:gridCol w:w="4377"/>
      </w:tblGrid>
      <w:tr w:rsidR="00D00E14" w:rsidRPr="00D00E14" w14:paraId="62B5F6C0" w14:textId="77777777" w:rsidTr="00D00E14">
        <w:tc>
          <w:tcPr>
            <w:tcW w:w="5370" w:type="dxa"/>
            <w:tcBorders>
              <w:top w:val="single" w:sz="12" w:space="0" w:color="808080"/>
              <w:left w:val="single" w:sz="12" w:space="0" w:color="808080"/>
              <w:bottom w:val="single" w:sz="12" w:space="0" w:color="808080"/>
              <w:right w:val="single" w:sz="4" w:space="0" w:color="auto"/>
            </w:tcBorders>
            <w:hideMark/>
          </w:tcPr>
          <w:p w14:paraId="02C8BF61" w14:textId="223F8E5B" w:rsidR="00D00E14" w:rsidRPr="00D00E14" w:rsidRDefault="00D00E14" w:rsidP="00D00E14">
            <w:pPr>
              <w:keepNext/>
              <w:spacing w:before="80" w:after="80" w:line="240" w:lineRule="auto"/>
              <w:rPr>
                <w:rFonts w:ascii="Times New Roman" w:eastAsia="Times New Roman" w:hAnsi="Times New Roman" w:cs="Times New Roman"/>
                <w:bCs/>
                <w:sz w:val="20"/>
                <w:szCs w:val="24"/>
              </w:rPr>
            </w:pPr>
            <w:r>
              <w:rPr>
                <w:rFonts w:ascii="Times New Roman" w:eastAsia="Times New Roman" w:hAnsi="Times New Roman" w:cs="Times New Roman"/>
                <w:b/>
                <w:bCs/>
                <w:sz w:val="20"/>
                <w:szCs w:val="24"/>
              </w:rPr>
              <w:t>Klientas</w:t>
            </w:r>
            <w:r w:rsidRPr="00D00E14">
              <w:rPr>
                <w:rFonts w:ascii="Times New Roman" w:eastAsia="Times New Roman" w:hAnsi="Times New Roman" w:cs="Times New Roman"/>
                <w:b/>
                <w:bCs/>
                <w:sz w:val="20"/>
                <w:szCs w:val="24"/>
              </w:rPr>
              <w:t xml:space="preserve"> (paslaugų rezultatus priima):</w:t>
            </w:r>
          </w:p>
        </w:tc>
        <w:tc>
          <w:tcPr>
            <w:tcW w:w="4377" w:type="dxa"/>
            <w:tcBorders>
              <w:top w:val="single" w:sz="12" w:space="0" w:color="808080"/>
              <w:left w:val="single" w:sz="4" w:space="0" w:color="auto"/>
              <w:bottom w:val="single" w:sz="12" w:space="0" w:color="808080"/>
              <w:right w:val="single" w:sz="12" w:space="0" w:color="808080"/>
            </w:tcBorders>
            <w:hideMark/>
          </w:tcPr>
          <w:p w14:paraId="6A629333" w14:textId="49639BB6" w:rsidR="00D00E14" w:rsidRPr="00D00E14" w:rsidRDefault="00D00E14" w:rsidP="00D00E14">
            <w:pPr>
              <w:keepNext/>
              <w:spacing w:before="80" w:after="80" w:line="240" w:lineRule="auto"/>
              <w:rPr>
                <w:rFonts w:ascii="Times New Roman" w:eastAsia="Times New Roman" w:hAnsi="Times New Roman" w:cs="Times New Roman"/>
                <w:b/>
                <w:bCs/>
                <w:sz w:val="20"/>
                <w:szCs w:val="24"/>
              </w:rPr>
            </w:pPr>
            <w:bookmarkStart w:id="6" w:name="_Hlk216701594"/>
            <w:r>
              <w:rPr>
                <w:rFonts w:ascii="Times New Roman" w:eastAsia="Times New Roman" w:hAnsi="Times New Roman" w:cs="Times New Roman"/>
                <w:b/>
                <w:bCs/>
                <w:sz w:val="20"/>
                <w:szCs w:val="24"/>
              </w:rPr>
              <w:t>Paslaugų teikėjas</w:t>
            </w:r>
            <w:r w:rsidRPr="00D00E14">
              <w:rPr>
                <w:rFonts w:ascii="Times New Roman" w:eastAsia="Times New Roman" w:hAnsi="Times New Roman" w:cs="Times New Roman"/>
                <w:b/>
                <w:bCs/>
                <w:sz w:val="20"/>
                <w:szCs w:val="24"/>
              </w:rPr>
              <w:t xml:space="preserve"> </w:t>
            </w:r>
            <w:bookmarkEnd w:id="6"/>
            <w:r w:rsidRPr="00D00E14">
              <w:rPr>
                <w:rFonts w:ascii="Times New Roman" w:eastAsia="Times New Roman" w:hAnsi="Times New Roman" w:cs="Times New Roman"/>
                <w:b/>
                <w:bCs/>
                <w:sz w:val="20"/>
                <w:szCs w:val="24"/>
              </w:rPr>
              <w:t>(paslaugų rezultatus perduoda):</w:t>
            </w:r>
          </w:p>
        </w:tc>
      </w:tr>
      <w:tr w:rsidR="00D00E14" w:rsidRPr="00D00E14" w14:paraId="478AD009" w14:textId="77777777" w:rsidTr="00D00E14">
        <w:tc>
          <w:tcPr>
            <w:tcW w:w="5370" w:type="dxa"/>
            <w:tcBorders>
              <w:top w:val="single" w:sz="12" w:space="0" w:color="808080"/>
              <w:left w:val="single" w:sz="12" w:space="0" w:color="808080"/>
              <w:bottom w:val="single" w:sz="12" w:space="0" w:color="808080"/>
              <w:right w:val="single" w:sz="4" w:space="0" w:color="auto"/>
            </w:tcBorders>
            <w:hideMark/>
          </w:tcPr>
          <w:p w14:paraId="79C811D1" w14:textId="77777777" w:rsidR="00D00E14" w:rsidRPr="00D00E14" w:rsidRDefault="00D00E14" w:rsidP="00D00E14">
            <w:pPr>
              <w:spacing w:after="0" w:line="240" w:lineRule="auto"/>
              <w:rPr>
                <w:rFonts w:ascii="Times New Roman" w:eastAsia="Times New Roman" w:hAnsi="Times New Roman" w:cs="Times New Roman"/>
                <w:b/>
                <w:sz w:val="20"/>
                <w:szCs w:val="24"/>
              </w:rPr>
            </w:pPr>
            <w:r w:rsidRPr="00D00E14">
              <w:rPr>
                <w:rFonts w:ascii="Times New Roman" w:eastAsia="Times New Roman" w:hAnsi="Times New Roman" w:cs="Times New Roman"/>
                <w:b/>
                <w:sz w:val="20"/>
                <w:szCs w:val="24"/>
              </w:rPr>
              <w:t>Klaipėdos E.Galvanausko PMC</w:t>
            </w:r>
          </w:p>
          <w:p w14:paraId="0B60789D"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J. a. kodas: 140199874</w:t>
            </w:r>
          </w:p>
          <w:p w14:paraId="0EFFD1EA"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Adresas: Taikos prospektas 67, Klaipėda</w:t>
            </w:r>
          </w:p>
          <w:p w14:paraId="0724BE4D" w14:textId="29FBB308"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 xml:space="preserve">Tel.: </w:t>
            </w:r>
            <w:r>
              <w:rPr>
                <w:rFonts w:ascii="Times New Roman" w:eastAsia="Times New Roman" w:hAnsi="Times New Roman" w:cs="Times New Roman"/>
                <w:sz w:val="20"/>
                <w:szCs w:val="24"/>
              </w:rPr>
              <w:t>0</w:t>
            </w:r>
            <w:r w:rsidRPr="00D00E14">
              <w:rPr>
                <w:rFonts w:ascii="Times New Roman" w:eastAsia="Times New Roman" w:hAnsi="Times New Roman" w:cs="Times New Roman"/>
                <w:sz w:val="20"/>
                <w:szCs w:val="24"/>
              </w:rPr>
              <w:t xml:space="preserve"> 46 340 132</w:t>
            </w:r>
          </w:p>
          <w:p w14:paraId="27A53D9B"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 xml:space="preserve">El. paštas: </w:t>
            </w:r>
            <w:hyperlink r:id="rId10" w:history="1">
              <w:r w:rsidRPr="00D00E14">
                <w:rPr>
                  <w:rFonts w:ascii="Times New Roman" w:eastAsia="Times New Roman" w:hAnsi="Times New Roman" w:cs="Times New Roman"/>
                  <w:color w:val="0563C1"/>
                  <w:sz w:val="20"/>
                  <w:szCs w:val="24"/>
                  <w:u w:val="single"/>
                </w:rPr>
                <w:t>info@klaipedosgpmc.lt</w:t>
              </w:r>
            </w:hyperlink>
            <w:r w:rsidRPr="00D00E14">
              <w:rPr>
                <w:rFonts w:ascii="Times New Roman" w:eastAsia="Times New Roman" w:hAnsi="Times New Roman" w:cs="Times New Roman"/>
                <w:sz w:val="20"/>
                <w:szCs w:val="24"/>
              </w:rPr>
              <w:t xml:space="preserve"> </w:t>
            </w:r>
          </w:p>
          <w:p w14:paraId="09392E8A"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A/s LT837300010002298626)</w:t>
            </w:r>
          </w:p>
          <w:p w14:paraId="71BB25B1" w14:textId="77777777"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Times New Roman" w:hAnsi="Times New Roman" w:cs="Times New Roman"/>
                <w:sz w:val="20"/>
                <w:szCs w:val="24"/>
              </w:rPr>
              <w:t>Bankas AB „Swedbank“</w:t>
            </w:r>
          </w:p>
        </w:tc>
        <w:tc>
          <w:tcPr>
            <w:tcW w:w="4377" w:type="dxa"/>
            <w:tcBorders>
              <w:top w:val="single" w:sz="12" w:space="0" w:color="808080"/>
              <w:left w:val="single" w:sz="4" w:space="0" w:color="auto"/>
              <w:bottom w:val="single" w:sz="12" w:space="0" w:color="808080"/>
              <w:right w:val="single" w:sz="12" w:space="0" w:color="808080"/>
            </w:tcBorders>
            <w:hideMark/>
          </w:tcPr>
          <w:p w14:paraId="33A1F508" w14:textId="77777777" w:rsidR="00D00E14" w:rsidRPr="00D00E14" w:rsidRDefault="00D00E14" w:rsidP="00D00E14">
            <w:pPr>
              <w:spacing w:after="0" w:line="240" w:lineRule="auto"/>
              <w:rPr>
                <w:rFonts w:ascii="Times New Roman" w:eastAsia="Times New Roman" w:hAnsi="Times New Roman" w:cs="Times New Roman"/>
                <w:b/>
                <w:sz w:val="20"/>
                <w:szCs w:val="24"/>
              </w:rPr>
            </w:pPr>
            <w:r w:rsidRPr="00D00E14">
              <w:rPr>
                <w:rFonts w:ascii="Times New Roman" w:eastAsia="Times New Roman" w:hAnsi="Times New Roman" w:cs="Times New Roman"/>
                <w:b/>
                <w:sz w:val="20"/>
                <w:szCs w:val="24"/>
              </w:rPr>
              <w:t>(pavadinimas)</w:t>
            </w:r>
          </w:p>
          <w:p w14:paraId="674205F3"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J. a. kodas:</w:t>
            </w:r>
            <w:r w:rsidRPr="00D00E14">
              <w:rPr>
                <w:rFonts w:ascii="Times New Roman" w:eastAsia="Times New Roman" w:hAnsi="Times New Roman" w:cs="Times New Roman"/>
                <w:sz w:val="24"/>
                <w:szCs w:val="24"/>
              </w:rPr>
              <w:t xml:space="preserve"> </w:t>
            </w:r>
          </w:p>
          <w:p w14:paraId="6AEB3782"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w:t>
            </w:r>
          </w:p>
          <w:p w14:paraId="5CBD5635"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Tel.: +3706.......</w:t>
            </w:r>
          </w:p>
          <w:p w14:paraId="66A12351"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 xml:space="preserve">El. paštas: </w:t>
            </w:r>
            <w:hyperlink r:id="rId11" w:history="1">
              <w:r w:rsidRPr="00D00E14">
                <w:rPr>
                  <w:rFonts w:ascii="Times New Roman" w:eastAsia="Times New Roman" w:hAnsi="Times New Roman" w:cs="Times New Roman"/>
                  <w:color w:val="0563C1"/>
                  <w:sz w:val="20"/>
                  <w:szCs w:val="24"/>
                  <w:u w:val="single"/>
                </w:rPr>
                <w:t>................</w:t>
              </w:r>
            </w:hyperlink>
          </w:p>
          <w:p w14:paraId="4ED4C220" w14:textId="77777777" w:rsidR="00D00E14" w:rsidRPr="00D00E14" w:rsidRDefault="00D00E14" w:rsidP="00D00E14">
            <w:pPr>
              <w:spacing w:after="0" w:line="240" w:lineRule="auto"/>
              <w:rPr>
                <w:rFonts w:ascii="Times New Roman" w:eastAsia="Times New Roman" w:hAnsi="Times New Roman" w:cs="Times New Roman"/>
                <w:sz w:val="20"/>
                <w:szCs w:val="24"/>
              </w:rPr>
            </w:pPr>
            <w:r w:rsidRPr="00D00E14">
              <w:rPr>
                <w:rFonts w:ascii="Times New Roman" w:eastAsia="Times New Roman" w:hAnsi="Times New Roman" w:cs="Times New Roman"/>
                <w:sz w:val="20"/>
                <w:szCs w:val="24"/>
              </w:rPr>
              <w:t>A/s LT......................</w:t>
            </w:r>
          </w:p>
          <w:p w14:paraId="53282E73" w14:textId="77777777"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Times New Roman" w:hAnsi="Times New Roman" w:cs="Times New Roman"/>
                <w:sz w:val="20"/>
                <w:szCs w:val="24"/>
              </w:rPr>
              <w:t>.................. bankas</w:t>
            </w:r>
          </w:p>
        </w:tc>
      </w:tr>
    </w:tbl>
    <w:p w14:paraId="335BD671" w14:textId="77777777" w:rsidR="00D00E14" w:rsidRPr="00D00E14" w:rsidRDefault="00D00E14" w:rsidP="00D00E14">
      <w:pPr>
        <w:spacing w:after="0" w:line="240" w:lineRule="auto"/>
        <w:jc w:val="center"/>
        <w:rPr>
          <w:rFonts w:ascii="Times New Roman" w:eastAsia="Calibri" w:hAnsi="Times New Roman" w:cs="Times New Roman"/>
          <w:b/>
          <w:sz w:val="20"/>
          <w:szCs w:val="24"/>
        </w:rPr>
      </w:pPr>
    </w:p>
    <w:p w14:paraId="653E797A" w14:textId="77777777" w:rsidR="00D00E14" w:rsidRPr="00D00E14" w:rsidRDefault="00D00E14" w:rsidP="00D00E14">
      <w:pPr>
        <w:spacing w:after="0" w:line="240" w:lineRule="auto"/>
        <w:jc w:val="center"/>
        <w:rPr>
          <w:rFonts w:ascii="Times New Roman" w:eastAsia="Calibri" w:hAnsi="Times New Roman" w:cs="Times New Roman"/>
          <w:b/>
          <w:sz w:val="20"/>
          <w:szCs w:val="24"/>
        </w:rPr>
      </w:pPr>
    </w:p>
    <w:p w14:paraId="28C721A7" w14:textId="3314A62E"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 xml:space="preserve">1. </w:t>
      </w:r>
      <w:r w:rsidRPr="00D00E14">
        <w:rPr>
          <w:rFonts w:ascii="Times New Roman" w:eastAsia="Calibri" w:hAnsi="Times New Roman" w:cs="Times New Roman"/>
          <w:sz w:val="20"/>
          <w:szCs w:val="24"/>
        </w:rPr>
        <w:t xml:space="preserve">Paslaugų teikėjas </w:t>
      </w:r>
      <w:r w:rsidRPr="00D00E14">
        <w:rPr>
          <w:rFonts w:ascii="Times New Roman" w:eastAsia="Calibri" w:hAnsi="Times New Roman" w:cs="Times New Roman"/>
          <w:sz w:val="20"/>
          <w:szCs w:val="24"/>
        </w:rPr>
        <w:t xml:space="preserve">perduoda, o </w:t>
      </w:r>
      <w:r>
        <w:rPr>
          <w:rFonts w:ascii="Times New Roman" w:eastAsia="Calibri" w:hAnsi="Times New Roman" w:cs="Times New Roman"/>
          <w:sz w:val="20"/>
          <w:szCs w:val="24"/>
        </w:rPr>
        <w:t>Klientas</w:t>
      </w:r>
      <w:r w:rsidRPr="00D00E14">
        <w:rPr>
          <w:rFonts w:ascii="Times New Roman" w:eastAsia="Calibri" w:hAnsi="Times New Roman" w:cs="Times New Roman"/>
          <w:sz w:val="20"/>
          <w:szCs w:val="24"/>
        </w:rPr>
        <w:t xml:space="preserve"> priima šias paslaugas:</w:t>
      </w:r>
    </w:p>
    <w:p w14:paraId="7A62BF75" w14:textId="77777777" w:rsidR="00D00E14" w:rsidRPr="00D00E14" w:rsidRDefault="00D00E14" w:rsidP="00D00E14">
      <w:pPr>
        <w:spacing w:after="0" w:line="240" w:lineRule="auto"/>
        <w:rPr>
          <w:rFonts w:ascii="Times New Roman" w:eastAsia="Calibri" w:hAnsi="Times New Roman"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1522"/>
        <w:gridCol w:w="2660"/>
      </w:tblGrid>
      <w:tr w:rsidR="00D00E14" w:rsidRPr="00D00E14" w14:paraId="7FBF82C0" w14:textId="77777777" w:rsidTr="00D00E14">
        <w:tc>
          <w:tcPr>
            <w:tcW w:w="5949" w:type="dxa"/>
            <w:tcBorders>
              <w:top w:val="single" w:sz="4" w:space="0" w:color="auto"/>
              <w:left w:val="single" w:sz="4" w:space="0" w:color="auto"/>
              <w:bottom w:val="single" w:sz="4" w:space="0" w:color="auto"/>
              <w:right w:val="single" w:sz="4" w:space="0" w:color="auto"/>
            </w:tcBorders>
            <w:hideMark/>
          </w:tcPr>
          <w:p w14:paraId="3957E9C2" w14:textId="77777777" w:rsidR="00D00E14" w:rsidRPr="00D00E14" w:rsidRDefault="00D00E14" w:rsidP="00D00E14">
            <w:pPr>
              <w:spacing w:after="0" w:line="240" w:lineRule="auto"/>
              <w:jc w:val="center"/>
              <w:rPr>
                <w:rFonts w:ascii="Times New Roman" w:eastAsia="Calibri" w:hAnsi="Times New Roman" w:cs="Times New Roman"/>
                <w:b/>
                <w:sz w:val="20"/>
                <w:szCs w:val="24"/>
              </w:rPr>
            </w:pPr>
            <w:r w:rsidRPr="00D00E14">
              <w:rPr>
                <w:rFonts w:ascii="Times New Roman" w:eastAsia="Calibri" w:hAnsi="Times New Roman" w:cs="Times New Roman"/>
                <w:b/>
                <w:sz w:val="20"/>
                <w:szCs w:val="24"/>
              </w:rPr>
              <w:t>Pavadinimas</w:t>
            </w:r>
          </w:p>
        </w:tc>
        <w:tc>
          <w:tcPr>
            <w:tcW w:w="1614" w:type="dxa"/>
            <w:tcBorders>
              <w:top w:val="single" w:sz="4" w:space="0" w:color="auto"/>
              <w:left w:val="single" w:sz="4" w:space="0" w:color="auto"/>
              <w:bottom w:val="single" w:sz="4" w:space="0" w:color="auto"/>
              <w:right w:val="single" w:sz="4" w:space="0" w:color="auto"/>
            </w:tcBorders>
            <w:hideMark/>
          </w:tcPr>
          <w:p w14:paraId="7CAF93DC" w14:textId="77777777" w:rsidR="00D00E14" w:rsidRPr="00D00E14" w:rsidRDefault="00D00E14" w:rsidP="00D00E14">
            <w:pPr>
              <w:spacing w:after="0" w:line="240" w:lineRule="auto"/>
              <w:jc w:val="center"/>
              <w:rPr>
                <w:rFonts w:ascii="Times New Roman" w:eastAsia="Calibri" w:hAnsi="Times New Roman" w:cs="Times New Roman"/>
                <w:b/>
                <w:sz w:val="20"/>
                <w:szCs w:val="24"/>
              </w:rPr>
            </w:pPr>
            <w:r w:rsidRPr="00D00E14">
              <w:rPr>
                <w:rFonts w:ascii="Times New Roman" w:eastAsia="Calibri" w:hAnsi="Times New Roman" w:cs="Times New Roman"/>
                <w:b/>
                <w:sz w:val="20"/>
                <w:szCs w:val="24"/>
              </w:rPr>
              <w:t>Kiekis</w:t>
            </w:r>
          </w:p>
        </w:tc>
        <w:tc>
          <w:tcPr>
            <w:tcW w:w="2893" w:type="dxa"/>
            <w:tcBorders>
              <w:top w:val="single" w:sz="4" w:space="0" w:color="auto"/>
              <w:left w:val="single" w:sz="4" w:space="0" w:color="auto"/>
              <w:bottom w:val="single" w:sz="4" w:space="0" w:color="auto"/>
              <w:right w:val="single" w:sz="4" w:space="0" w:color="auto"/>
            </w:tcBorders>
            <w:hideMark/>
          </w:tcPr>
          <w:p w14:paraId="76C85DB3" w14:textId="77777777" w:rsidR="00D00E14" w:rsidRPr="00D00E14" w:rsidRDefault="00D00E14" w:rsidP="00D00E14">
            <w:pPr>
              <w:spacing w:after="0" w:line="240" w:lineRule="auto"/>
              <w:jc w:val="center"/>
              <w:rPr>
                <w:rFonts w:ascii="Times New Roman" w:eastAsia="Calibri" w:hAnsi="Times New Roman" w:cs="Times New Roman"/>
                <w:b/>
                <w:sz w:val="20"/>
                <w:szCs w:val="24"/>
              </w:rPr>
            </w:pPr>
            <w:r w:rsidRPr="00D00E14">
              <w:rPr>
                <w:rFonts w:ascii="Times New Roman" w:eastAsia="Calibri" w:hAnsi="Times New Roman" w:cs="Times New Roman"/>
                <w:b/>
                <w:sz w:val="20"/>
                <w:szCs w:val="24"/>
              </w:rPr>
              <w:t>Kaina</w:t>
            </w:r>
          </w:p>
        </w:tc>
      </w:tr>
      <w:tr w:rsidR="00D00E14" w:rsidRPr="00D00E14" w14:paraId="5476285F" w14:textId="77777777" w:rsidTr="00D00E14">
        <w:tc>
          <w:tcPr>
            <w:tcW w:w="5949" w:type="dxa"/>
            <w:tcBorders>
              <w:top w:val="single" w:sz="4" w:space="0" w:color="auto"/>
              <w:left w:val="single" w:sz="4" w:space="0" w:color="auto"/>
              <w:bottom w:val="single" w:sz="4" w:space="0" w:color="auto"/>
              <w:right w:val="single" w:sz="4" w:space="0" w:color="auto"/>
            </w:tcBorders>
          </w:tcPr>
          <w:p w14:paraId="71080126"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c>
          <w:tcPr>
            <w:tcW w:w="1614" w:type="dxa"/>
            <w:tcBorders>
              <w:top w:val="single" w:sz="4" w:space="0" w:color="auto"/>
              <w:left w:val="single" w:sz="4" w:space="0" w:color="auto"/>
              <w:bottom w:val="single" w:sz="4" w:space="0" w:color="auto"/>
              <w:right w:val="single" w:sz="4" w:space="0" w:color="auto"/>
            </w:tcBorders>
          </w:tcPr>
          <w:p w14:paraId="5B210351"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c>
          <w:tcPr>
            <w:tcW w:w="2893" w:type="dxa"/>
            <w:tcBorders>
              <w:top w:val="single" w:sz="4" w:space="0" w:color="auto"/>
              <w:left w:val="single" w:sz="4" w:space="0" w:color="auto"/>
              <w:bottom w:val="single" w:sz="4" w:space="0" w:color="auto"/>
              <w:right w:val="single" w:sz="4" w:space="0" w:color="auto"/>
            </w:tcBorders>
          </w:tcPr>
          <w:p w14:paraId="1C8925A7"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r>
      <w:tr w:rsidR="00D00E14" w:rsidRPr="00D00E14" w14:paraId="1FA863D3" w14:textId="77777777" w:rsidTr="00D00E14">
        <w:tc>
          <w:tcPr>
            <w:tcW w:w="7563" w:type="dxa"/>
            <w:gridSpan w:val="2"/>
            <w:tcBorders>
              <w:top w:val="single" w:sz="4" w:space="0" w:color="auto"/>
              <w:left w:val="single" w:sz="4" w:space="0" w:color="auto"/>
              <w:bottom w:val="single" w:sz="4" w:space="0" w:color="auto"/>
              <w:right w:val="single" w:sz="4" w:space="0" w:color="auto"/>
            </w:tcBorders>
            <w:hideMark/>
          </w:tcPr>
          <w:p w14:paraId="53F7A0E6" w14:textId="77777777" w:rsidR="00D00E14" w:rsidRPr="00D00E14" w:rsidRDefault="00D00E14" w:rsidP="00D00E14">
            <w:pPr>
              <w:spacing w:after="0" w:line="240" w:lineRule="auto"/>
              <w:jc w:val="right"/>
              <w:rPr>
                <w:rFonts w:ascii="Times New Roman" w:eastAsia="Calibri" w:hAnsi="Times New Roman" w:cs="Times New Roman"/>
                <w:sz w:val="20"/>
                <w:szCs w:val="24"/>
              </w:rPr>
            </w:pPr>
            <w:r w:rsidRPr="00D00E14">
              <w:rPr>
                <w:rFonts w:ascii="Times New Roman" w:eastAsia="Calibri" w:hAnsi="Times New Roman" w:cs="Times New Roman"/>
                <w:sz w:val="20"/>
                <w:szCs w:val="24"/>
              </w:rPr>
              <w:t>Suma be PVM</w:t>
            </w:r>
          </w:p>
        </w:tc>
        <w:tc>
          <w:tcPr>
            <w:tcW w:w="2893" w:type="dxa"/>
            <w:tcBorders>
              <w:top w:val="single" w:sz="4" w:space="0" w:color="auto"/>
              <w:left w:val="single" w:sz="4" w:space="0" w:color="auto"/>
              <w:bottom w:val="single" w:sz="4" w:space="0" w:color="auto"/>
              <w:right w:val="single" w:sz="4" w:space="0" w:color="auto"/>
            </w:tcBorders>
          </w:tcPr>
          <w:p w14:paraId="5DE46FF8"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r>
      <w:tr w:rsidR="00D00E14" w:rsidRPr="00D00E14" w14:paraId="0AA48926" w14:textId="77777777" w:rsidTr="00D00E14">
        <w:tc>
          <w:tcPr>
            <w:tcW w:w="7563" w:type="dxa"/>
            <w:gridSpan w:val="2"/>
            <w:tcBorders>
              <w:top w:val="single" w:sz="4" w:space="0" w:color="auto"/>
              <w:left w:val="single" w:sz="4" w:space="0" w:color="auto"/>
              <w:bottom w:val="single" w:sz="4" w:space="0" w:color="auto"/>
              <w:right w:val="single" w:sz="4" w:space="0" w:color="auto"/>
            </w:tcBorders>
            <w:hideMark/>
          </w:tcPr>
          <w:p w14:paraId="1A0A4A41" w14:textId="77777777" w:rsidR="00D00E14" w:rsidRPr="00D00E14" w:rsidRDefault="00D00E14" w:rsidP="00D00E14">
            <w:pPr>
              <w:spacing w:after="0" w:line="240" w:lineRule="auto"/>
              <w:jc w:val="right"/>
              <w:rPr>
                <w:rFonts w:ascii="Times New Roman" w:eastAsia="Calibri" w:hAnsi="Times New Roman" w:cs="Times New Roman"/>
                <w:sz w:val="20"/>
                <w:szCs w:val="24"/>
              </w:rPr>
            </w:pPr>
            <w:r w:rsidRPr="00D00E14">
              <w:rPr>
                <w:rFonts w:ascii="Times New Roman" w:eastAsia="Calibri" w:hAnsi="Times New Roman" w:cs="Times New Roman"/>
                <w:sz w:val="20"/>
                <w:szCs w:val="24"/>
              </w:rPr>
              <w:t>PVM</w:t>
            </w:r>
          </w:p>
        </w:tc>
        <w:tc>
          <w:tcPr>
            <w:tcW w:w="2893" w:type="dxa"/>
            <w:tcBorders>
              <w:top w:val="single" w:sz="4" w:space="0" w:color="auto"/>
              <w:left w:val="single" w:sz="4" w:space="0" w:color="auto"/>
              <w:bottom w:val="single" w:sz="4" w:space="0" w:color="auto"/>
              <w:right w:val="single" w:sz="4" w:space="0" w:color="auto"/>
            </w:tcBorders>
          </w:tcPr>
          <w:p w14:paraId="17CF66B9"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r>
      <w:tr w:rsidR="00D00E14" w:rsidRPr="00D00E14" w14:paraId="5A01D027" w14:textId="77777777" w:rsidTr="00D00E14">
        <w:tc>
          <w:tcPr>
            <w:tcW w:w="7563" w:type="dxa"/>
            <w:gridSpan w:val="2"/>
            <w:tcBorders>
              <w:top w:val="single" w:sz="4" w:space="0" w:color="auto"/>
              <w:left w:val="single" w:sz="4" w:space="0" w:color="auto"/>
              <w:bottom w:val="single" w:sz="4" w:space="0" w:color="auto"/>
              <w:right w:val="single" w:sz="4" w:space="0" w:color="auto"/>
            </w:tcBorders>
            <w:hideMark/>
          </w:tcPr>
          <w:p w14:paraId="652E2449" w14:textId="77777777" w:rsidR="00D00E14" w:rsidRPr="00D00E14" w:rsidRDefault="00D00E14" w:rsidP="00D00E14">
            <w:pPr>
              <w:spacing w:after="0" w:line="240" w:lineRule="auto"/>
              <w:jc w:val="right"/>
              <w:rPr>
                <w:rFonts w:ascii="Times New Roman" w:eastAsia="Calibri" w:hAnsi="Times New Roman" w:cs="Times New Roman"/>
                <w:sz w:val="20"/>
                <w:szCs w:val="24"/>
              </w:rPr>
            </w:pPr>
            <w:r w:rsidRPr="00D00E14">
              <w:rPr>
                <w:rFonts w:ascii="Times New Roman" w:eastAsia="Calibri" w:hAnsi="Times New Roman" w:cs="Times New Roman"/>
                <w:sz w:val="20"/>
                <w:szCs w:val="24"/>
              </w:rPr>
              <w:t>Iš viso</w:t>
            </w:r>
          </w:p>
        </w:tc>
        <w:tc>
          <w:tcPr>
            <w:tcW w:w="2893" w:type="dxa"/>
            <w:tcBorders>
              <w:top w:val="single" w:sz="4" w:space="0" w:color="auto"/>
              <w:left w:val="single" w:sz="4" w:space="0" w:color="auto"/>
              <w:bottom w:val="single" w:sz="4" w:space="0" w:color="auto"/>
              <w:right w:val="single" w:sz="4" w:space="0" w:color="auto"/>
            </w:tcBorders>
          </w:tcPr>
          <w:p w14:paraId="3632E82D" w14:textId="77777777" w:rsidR="00D00E14" w:rsidRPr="00D00E14" w:rsidRDefault="00D00E14" w:rsidP="00D00E14">
            <w:pPr>
              <w:spacing w:after="0" w:line="240" w:lineRule="auto"/>
              <w:jc w:val="both"/>
              <w:rPr>
                <w:rFonts w:ascii="Times New Roman" w:eastAsia="Calibri" w:hAnsi="Times New Roman" w:cs="Times New Roman"/>
                <w:sz w:val="20"/>
                <w:szCs w:val="24"/>
              </w:rPr>
            </w:pPr>
          </w:p>
        </w:tc>
      </w:tr>
    </w:tbl>
    <w:p w14:paraId="129B3ECA" w14:textId="77777777" w:rsidR="00D00E14" w:rsidRPr="00D00E14" w:rsidRDefault="00D00E14" w:rsidP="00D00E14">
      <w:pPr>
        <w:spacing w:after="0" w:line="240" w:lineRule="auto"/>
        <w:rPr>
          <w:rFonts w:ascii="Times New Roman" w:eastAsia="Calibri" w:hAnsi="Times New Roman" w:cs="Times New Roman"/>
          <w:sz w:val="20"/>
          <w:szCs w:val="24"/>
        </w:rPr>
      </w:pPr>
    </w:p>
    <w:p w14:paraId="68C47DF5" w14:textId="77777777" w:rsidR="00D00E14" w:rsidRPr="00D00E14" w:rsidRDefault="00D00E14" w:rsidP="00D00E14">
      <w:pPr>
        <w:spacing w:after="0" w:line="240" w:lineRule="auto"/>
        <w:rPr>
          <w:rFonts w:ascii="Times New Roman" w:eastAsia="Calibri" w:hAnsi="Times New Roman" w:cs="Times New Roman"/>
          <w:sz w:val="20"/>
          <w:szCs w:val="24"/>
        </w:rPr>
      </w:pPr>
    </w:p>
    <w:p w14:paraId="55211125" w14:textId="77777777"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2. Šiuo aktu sutarties šalys patvirtina, kad neturi viena kitai pretenzijų dėl šiame paslaugų priėmimo perdavimo akte nurodytų paslaugų kokybės.</w:t>
      </w:r>
    </w:p>
    <w:p w14:paraId="709B9CEB" w14:textId="2AACAF7D"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 xml:space="preserve">3. Aktas sudarytas dviem egzemplioriais – po vieną egzempliorių </w:t>
      </w:r>
      <w:r w:rsidRPr="00D00E14">
        <w:rPr>
          <w:rFonts w:ascii="Times New Roman" w:eastAsia="Calibri" w:hAnsi="Times New Roman" w:cs="Times New Roman"/>
          <w:sz w:val="20"/>
          <w:szCs w:val="24"/>
        </w:rPr>
        <w:t>Paslaugų teikėj</w:t>
      </w:r>
      <w:r>
        <w:rPr>
          <w:rFonts w:ascii="Times New Roman" w:eastAsia="Calibri" w:hAnsi="Times New Roman" w:cs="Times New Roman"/>
          <w:sz w:val="20"/>
          <w:szCs w:val="24"/>
        </w:rPr>
        <w:t>ui</w:t>
      </w:r>
      <w:r w:rsidRPr="00D00E14">
        <w:rPr>
          <w:rFonts w:ascii="Times New Roman" w:eastAsia="Calibri" w:hAnsi="Times New Roman" w:cs="Times New Roman"/>
          <w:sz w:val="20"/>
          <w:szCs w:val="24"/>
        </w:rPr>
        <w:t xml:space="preserve"> </w:t>
      </w:r>
      <w:r w:rsidRPr="00D00E14">
        <w:rPr>
          <w:rFonts w:ascii="Times New Roman" w:eastAsia="Calibri" w:hAnsi="Times New Roman" w:cs="Times New Roman"/>
          <w:sz w:val="20"/>
          <w:szCs w:val="24"/>
        </w:rPr>
        <w:t xml:space="preserve">ir </w:t>
      </w:r>
      <w:r>
        <w:rPr>
          <w:rFonts w:ascii="Times New Roman" w:eastAsia="Calibri" w:hAnsi="Times New Roman" w:cs="Times New Roman"/>
          <w:sz w:val="20"/>
          <w:szCs w:val="24"/>
        </w:rPr>
        <w:t>Klientui</w:t>
      </w:r>
      <w:r w:rsidRPr="00D00E14">
        <w:rPr>
          <w:rFonts w:ascii="Times New Roman" w:eastAsia="Calibri" w:hAnsi="Times New Roman" w:cs="Times New Roman"/>
          <w:sz w:val="20"/>
          <w:szCs w:val="24"/>
        </w:rPr>
        <w:t>.</w:t>
      </w:r>
    </w:p>
    <w:p w14:paraId="1CDFD377" w14:textId="77777777" w:rsidR="00D00E14" w:rsidRPr="00D00E14" w:rsidRDefault="00D00E14" w:rsidP="00D00E14">
      <w:pPr>
        <w:spacing w:after="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4. Pridedama:</w:t>
      </w:r>
    </w:p>
    <w:tbl>
      <w:tblPr>
        <w:tblW w:w="964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9"/>
        <w:gridCol w:w="283"/>
        <w:gridCol w:w="4363"/>
      </w:tblGrid>
      <w:tr w:rsidR="00D00E14" w:rsidRPr="00D00E14" w14:paraId="5C08369C" w14:textId="77777777" w:rsidTr="00D00E14">
        <w:trPr>
          <w:trHeight w:val="978"/>
        </w:trPr>
        <w:tc>
          <w:tcPr>
            <w:tcW w:w="4996" w:type="dxa"/>
            <w:tcBorders>
              <w:top w:val="nil"/>
              <w:left w:val="nil"/>
              <w:bottom w:val="single" w:sz="12" w:space="0" w:color="808080"/>
              <w:right w:val="nil"/>
            </w:tcBorders>
          </w:tcPr>
          <w:p w14:paraId="51C04BE1" w14:textId="77777777" w:rsidR="00D00E14" w:rsidRPr="00D00E14" w:rsidRDefault="00D00E14" w:rsidP="00D00E14">
            <w:pPr>
              <w:spacing w:before="120" w:after="0" w:line="276" w:lineRule="auto"/>
              <w:rPr>
                <w:rFonts w:ascii="Times New Roman" w:eastAsia="Calibri" w:hAnsi="Times New Roman" w:cs="Times New Roman"/>
                <w:b/>
                <w:sz w:val="20"/>
                <w:szCs w:val="24"/>
              </w:rPr>
            </w:pPr>
          </w:p>
          <w:p w14:paraId="592BD3CC" w14:textId="2CDB7078" w:rsidR="00D00E14" w:rsidRPr="00D00E14" w:rsidRDefault="00D00E14" w:rsidP="00D00E14">
            <w:pPr>
              <w:spacing w:before="120" w:after="0" w:line="276" w:lineRule="auto"/>
              <w:rPr>
                <w:rFonts w:ascii="Times New Roman" w:eastAsia="Calibri" w:hAnsi="Times New Roman" w:cs="Times New Roman"/>
                <w:sz w:val="20"/>
                <w:szCs w:val="24"/>
              </w:rPr>
            </w:pPr>
            <w:r>
              <w:rPr>
                <w:rFonts w:ascii="Times New Roman" w:eastAsia="Calibri" w:hAnsi="Times New Roman" w:cs="Times New Roman"/>
                <w:b/>
                <w:sz w:val="20"/>
                <w:szCs w:val="24"/>
              </w:rPr>
              <w:t>Klientas</w:t>
            </w:r>
            <w:r w:rsidRPr="00D00E14">
              <w:rPr>
                <w:rFonts w:ascii="Times New Roman" w:eastAsia="Calibri" w:hAnsi="Times New Roman" w:cs="Times New Roman"/>
                <w:b/>
                <w:sz w:val="20"/>
                <w:szCs w:val="24"/>
              </w:rPr>
              <w:t>:</w:t>
            </w:r>
          </w:p>
        </w:tc>
        <w:tc>
          <w:tcPr>
            <w:tcW w:w="283" w:type="dxa"/>
            <w:tcBorders>
              <w:top w:val="nil"/>
              <w:left w:val="nil"/>
              <w:bottom w:val="nil"/>
              <w:right w:val="nil"/>
            </w:tcBorders>
          </w:tcPr>
          <w:p w14:paraId="016929E1" w14:textId="77777777" w:rsidR="00D00E14" w:rsidRPr="00D00E14" w:rsidRDefault="00D00E14" w:rsidP="00D00E14">
            <w:pPr>
              <w:spacing w:before="120" w:after="0" w:line="276" w:lineRule="auto"/>
              <w:rPr>
                <w:rFonts w:ascii="Times New Roman" w:eastAsia="Calibri" w:hAnsi="Times New Roman" w:cs="Times New Roman"/>
                <w:sz w:val="20"/>
                <w:szCs w:val="24"/>
              </w:rPr>
            </w:pPr>
          </w:p>
        </w:tc>
        <w:tc>
          <w:tcPr>
            <w:tcW w:w="4361" w:type="dxa"/>
            <w:tcBorders>
              <w:top w:val="nil"/>
              <w:left w:val="nil"/>
              <w:bottom w:val="single" w:sz="12" w:space="0" w:color="808080"/>
              <w:right w:val="nil"/>
            </w:tcBorders>
          </w:tcPr>
          <w:p w14:paraId="3A785E60" w14:textId="77777777" w:rsidR="00D00E14" w:rsidRPr="00D00E14" w:rsidRDefault="00D00E14" w:rsidP="00D00E14">
            <w:pPr>
              <w:spacing w:before="120" w:after="0" w:line="276" w:lineRule="auto"/>
              <w:rPr>
                <w:rFonts w:ascii="Times New Roman" w:eastAsia="Calibri" w:hAnsi="Times New Roman" w:cs="Times New Roman"/>
                <w:b/>
                <w:sz w:val="20"/>
                <w:szCs w:val="24"/>
              </w:rPr>
            </w:pPr>
          </w:p>
          <w:p w14:paraId="36C96736" w14:textId="7A9556BB" w:rsidR="00D00E14" w:rsidRPr="00D00E14" w:rsidRDefault="00D00E14" w:rsidP="00D00E14">
            <w:pPr>
              <w:spacing w:before="120" w:after="0" w:line="276" w:lineRule="auto"/>
              <w:rPr>
                <w:rFonts w:ascii="Times New Roman" w:eastAsia="Calibri" w:hAnsi="Times New Roman" w:cs="Times New Roman"/>
                <w:sz w:val="20"/>
                <w:szCs w:val="24"/>
              </w:rPr>
            </w:pPr>
            <w:r w:rsidRPr="00D00E14">
              <w:rPr>
                <w:rFonts w:ascii="Times New Roman" w:eastAsia="Calibri" w:hAnsi="Times New Roman" w:cs="Times New Roman"/>
                <w:b/>
                <w:sz w:val="20"/>
                <w:szCs w:val="24"/>
              </w:rPr>
              <w:t>Paslaugų teikėjas</w:t>
            </w:r>
            <w:r w:rsidRPr="00D00E14">
              <w:rPr>
                <w:rFonts w:ascii="Times New Roman" w:eastAsia="Calibri" w:hAnsi="Times New Roman" w:cs="Times New Roman"/>
                <w:b/>
                <w:sz w:val="20"/>
                <w:szCs w:val="24"/>
              </w:rPr>
              <w:t>:</w:t>
            </w:r>
          </w:p>
          <w:p w14:paraId="67895BDB" w14:textId="77777777" w:rsidR="00D00E14" w:rsidRPr="00D00E14" w:rsidRDefault="00D00E14" w:rsidP="00D00E14">
            <w:pPr>
              <w:spacing w:before="120" w:after="0" w:line="276" w:lineRule="auto"/>
              <w:rPr>
                <w:rFonts w:ascii="Times New Roman" w:eastAsia="Calibri" w:hAnsi="Times New Roman" w:cs="Times New Roman"/>
                <w:sz w:val="20"/>
                <w:szCs w:val="24"/>
              </w:rPr>
            </w:pPr>
          </w:p>
          <w:p w14:paraId="1B95C737" w14:textId="77777777" w:rsidR="00D00E14" w:rsidRPr="00D00E14" w:rsidRDefault="00D00E14" w:rsidP="00D00E14">
            <w:pPr>
              <w:spacing w:before="120" w:after="0" w:line="276" w:lineRule="auto"/>
              <w:rPr>
                <w:rFonts w:ascii="Times New Roman" w:eastAsia="Calibri" w:hAnsi="Times New Roman" w:cs="Times New Roman"/>
                <w:sz w:val="20"/>
                <w:szCs w:val="24"/>
              </w:rPr>
            </w:pPr>
          </w:p>
        </w:tc>
      </w:tr>
      <w:tr w:rsidR="00D00E14" w:rsidRPr="00D00E14" w14:paraId="4F7F1E96" w14:textId="77777777" w:rsidTr="00D00E14">
        <w:trPr>
          <w:trHeight w:val="68"/>
        </w:trPr>
        <w:tc>
          <w:tcPr>
            <w:tcW w:w="4996" w:type="dxa"/>
            <w:tcBorders>
              <w:top w:val="single" w:sz="12" w:space="0" w:color="808080"/>
              <w:left w:val="nil"/>
              <w:bottom w:val="nil"/>
              <w:right w:val="nil"/>
            </w:tcBorders>
            <w:hideMark/>
          </w:tcPr>
          <w:p w14:paraId="4223F043" w14:textId="77777777" w:rsidR="00D00E14" w:rsidRPr="00D00E14" w:rsidRDefault="00D00E14" w:rsidP="00D00E14">
            <w:pPr>
              <w:spacing w:before="60" w:after="60" w:line="276"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(parašas)</w:t>
            </w:r>
          </w:p>
        </w:tc>
        <w:tc>
          <w:tcPr>
            <w:tcW w:w="283" w:type="dxa"/>
            <w:tcBorders>
              <w:top w:val="nil"/>
              <w:left w:val="nil"/>
              <w:bottom w:val="nil"/>
              <w:right w:val="nil"/>
            </w:tcBorders>
          </w:tcPr>
          <w:p w14:paraId="77C52243" w14:textId="77777777" w:rsidR="00D00E14" w:rsidRPr="00D00E14" w:rsidRDefault="00D00E14" w:rsidP="00D00E14">
            <w:pPr>
              <w:spacing w:before="60" w:after="60" w:line="276" w:lineRule="auto"/>
              <w:rPr>
                <w:rFonts w:ascii="Times New Roman" w:eastAsia="Calibri" w:hAnsi="Times New Roman" w:cs="Times New Roman"/>
                <w:sz w:val="20"/>
                <w:szCs w:val="24"/>
              </w:rPr>
            </w:pPr>
          </w:p>
        </w:tc>
        <w:tc>
          <w:tcPr>
            <w:tcW w:w="4361" w:type="dxa"/>
            <w:tcBorders>
              <w:top w:val="single" w:sz="12" w:space="0" w:color="808080"/>
              <w:left w:val="nil"/>
              <w:bottom w:val="nil"/>
              <w:right w:val="nil"/>
            </w:tcBorders>
            <w:hideMark/>
          </w:tcPr>
          <w:p w14:paraId="60C06211" w14:textId="77777777" w:rsidR="00D00E14" w:rsidRPr="00D00E14" w:rsidRDefault="00D00E14" w:rsidP="00D00E14">
            <w:pPr>
              <w:spacing w:before="60" w:after="60" w:line="276"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(parašas)</w:t>
            </w:r>
          </w:p>
        </w:tc>
      </w:tr>
      <w:tr w:rsidR="00D00E14" w:rsidRPr="00D00E14" w14:paraId="12DC2C84" w14:textId="77777777" w:rsidTr="00D00E14">
        <w:tc>
          <w:tcPr>
            <w:tcW w:w="4996" w:type="dxa"/>
            <w:tcBorders>
              <w:top w:val="nil"/>
              <w:left w:val="nil"/>
              <w:bottom w:val="single" w:sz="12" w:space="0" w:color="808080"/>
              <w:right w:val="nil"/>
            </w:tcBorders>
            <w:vAlign w:val="center"/>
            <w:hideMark/>
          </w:tcPr>
          <w:p w14:paraId="5AC5365C" w14:textId="77777777" w:rsidR="00D00E14" w:rsidRPr="00D00E14" w:rsidRDefault="00D00E14" w:rsidP="00D00E14">
            <w:pPr>
              <w:spacing w:before="200" w:after="4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(Vardas, pavardė)</w:t>
            </w:r>
          </w:p>
        </w:tc>
        <w:tc>
          <w:tcPr>
            <w:tcW w:w="283" w:type="dxa"/>
            <w:tcBorders>
              <w:top w:val="nil"/>
              <w:left w:val="nil"/>
              <w:bottom w:val="nil"/>
              <w:right w:val="nil"/>
            </w:tcBorders>
          </w:tcPr>
          <w:p w14:paraId="5AC34767" w14:textId="77777777" w:rsidR="00D00E14" w:rsidRPr="00D00E14" w:rsidRDefault="00D00E14" w:rsidP="00D00E14">
            <w:pPr>
              <w:spacing w:before="200" w:after="40" w:line="240" w:lineRule="auto"/>
              <w:rPr>
                <w:rFonts w:ascii="Times New Roman" w:eastAsia="Calibri" w:hAnsi="Times New Roman" w:cs="Times New Roman"/>
                <w:sz w:val="20"/>
                <w:szCs w:val="24"/>
              </w:rPr>
            </w:pPr>
          </w:p>
        </w:tc>
        <w:tc>
          <w:tcPr>
            <w:tcW w:w="4361" w:type="dxa"/>
            <w:tcBorders>
              <w:top w:val="nil"/>
              <w:left w:val="nil"/>
              <w:bottom w:val="single" w:sz="12" w:space="0" w:color="808080"/>
              <w:right w:val="nil"/>
            </w:tcBorders>
            <w:vAlign w:val="center"/>
            <w:hideMark/>
          </w:tcPr>
          <w:p w14:paraId="10972E69" w14:textId="77777777" w:rsidR="00D00E14" w:rsidRPr="00D00E14" w:rsidRDefault="00D00E14" w:rsidP="00D00E14">
            <w:pPr>
              <w:spacing w:before="200" w:after="4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(Vardas, pavardė)</w:t>
            </w:r>
          </w:p>
        </w:tc>
      </w:tr>
      <w:tr w:rsidR="00D00E14" w:rsidRPr="00D00E14" w14:paraId="665F6474" w14:textId="77777777" w:rsidTr="00D00E14">
        <w:tc>
          <w:tcPr>
            <w:tcW w:w="4996" w:type="dxa"/>
            <w:tcBorders>
              <w:top w:val="single" w:sz="12" w:space="0" w:color="808080"/>
              <w:left w:val="nil"/>
              <w:bottom w:val="single" w:sz="12" w:space="0" w:color="808080"/>
              <w:right w:val="nil"/>
            </w:tcBorders>
            <w:vAlign w:val="center"/>
            <w:hideMark/>
          </w:tcPr>
          <w:p w14:paraId="23A48A8A" w14:textId="77777777" w:rsidR="00D00E14" w:rsidRPr="00D00E14" w:rsidRDefault="00D00E14" w:rsidP="00D00E14">
            <w:pPr>
              <w:spacing w:before="200" w:after="4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(Pareigos)</w:t>
            </w:r>
          </w:p>
        </w:tc>
        <w:tc>
          <w:tcPr>
            <w:tcW w:w="283" w:type="dxa"/>
            <w:tcBorders>
              <w:top w:val="nil"/>
              <w:left w:val="nil"/>
              <w:bottom w:val="nil"/>
              <w:right w:val="nil"/>
            </w:tcBorders>
          </w:tcPr>
          <w:p w14:paraId="7A6387A7" w14:textId="77777777" w:rsidR="00D00E14" w:rsidRPr="00D00E14" w:rsidRDefault="00D00E14" w:rsidP="00D00E14">
            <w:pPr>
              <w:spacing w:before="200" w:after="40" w:line="240" w:lineRule="auto"/>
              <w:rPr>
                <w:rFonts w:ascii="Times New Roman" w:eastAsia="Calibri" w:hAnsi="Times New Roman" w:cs="Times New Roman"/>
                <w:sz w:val="20"/>
                <w:szCs w:val="24"/>
              </w:rPr>
            </w:pPr>
          </w:p>
        </w:tc>
        <w:tc>
          <w:tcPr>
            <w:tcW w:w="4361" w:type="dxa"/>
            <w:tcBorders>
              <w:top w:val="single" w:sz="12" w:space="0" w:color="808080"/>
              <w:left w:val="nil"/>
              <w:bottom w:val="single" w:sz="12" w:space="0" w:color="808080"/>
              <w:right w:val="nil"/>
            </w:tcBorders>
            <w:vAlign w:val="center"/>
            <w:hideMark/>
          </w:tcPr>
          <w:p w14:paraId="5758025C" w14:textId="77777777" w:rsidR="00D00E14" w:rsidRPr="00D00E14" w:rsidRDefault="00D00E14" w:rsidP="00D00E14">
            <w:pPr>
              <w:spacing w:before="200" w:after="40" w:line="240" w:lineRule="auto"/>
              <w:rPr>
                <w:rFonts w:ascii="Times New Roman" w:eastAsia="Calibri" w:hAnsi="Times New Roman" w:cs="Times New Roman"/>
                <w:sz w:val="20"/>
                <w:szCs w:val="24"/>
              </w:rPr>
            </w:pPr>
            <w:r w:rsidRPr="00D00E14">
              <w:rPr>
                <w:rFonts w:ascii="Times New Roman" w:eastAsia="Calibri" w:hAnsi="Times New Roman" w:cs="Times New Roman"/>
                <w:sz w:val="20"/>
                <w:szCs w:val="24"/>
              </w:rPr>
              <w:t>(Pareigos)</w:t>
            </w:r>
          </w:p>
        </w:tc>
      </w:tr>
    </w:tbl>
    <w:p w14:paraId="749D9898" w14:textId="77777777" w:rsidR="00D00E14" w:rsidRPr="00D00E14" w:rsidRDefault="00D00E14" w:rsidP="00D00E14">
      <w:pPr>
        <w:spacing w:after="0" w:line="240" w:lineRule="auto"/>
        <w:rPr>
          <w:rFonts w:ascii="Times New Roman" w:eastAsia="Calibri" w:hAnsi="Times New Roman" w:cs="Times New Roman"/>
          <w:sz w:val="20"/>
          <w:szCs w:val="24"/>
        </w:rPr>
      </w:pPr>
    </w:p>
    <w:p w14:paraId="49D1B599" w14:textId="77777777" w:rsidR="00D00E14" w:rsidRPr="00B02194" w:rsidRDefault="00D00E14" w:rsidP="00F3259E">
      <w:pPr>
        <w:pStyle w:val="Pagrindinistekstas1"/>
        <w:ind w:firstLine="0"/>
        <w:rPr>
          <w:rFonts w:ascii="Times New Roman" w:hAnsi="Times New Roman"/>
          <w:lang w:val="lt-LT"/>
        </w:rPr>
      </w:pPr>
    </w:p>
    <w:sectPr w:rsidR="00D00E14"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5"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8"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21"/>
  </w:num>
  <w:num w:numId="13">
    <w:abstractNumId w:val="1"/>
  </w:num>
  <w:num w:numId="14">
    <w:abstractNumId w:val="2"/>
  </w:num>
  <w:num w:numId="15">
    <w:abstractNumId w:val="26"/>
  </w:num>
  <w:num w:numId="16">
    <w:abstractNumId w:val="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0"/>
  </w:num>
  <w:num w:numId="21">
    <w:abstractNumId w:val="3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4"/>
  </w:num>
  <w:num w:numId="26">
    <w:abstractNumId w:val="11"/>
  </w:num>
  <w:num w:numId="27">
    <w:abstractNumId w:val="32"/>
  </w:num>
  <w:num w:numId="28">
    <w:abstractNumId w:val="28"/>
  </w:num>
  <w:num w:numId="29">
    <w:abstractNumId w:val="10"/>
  </w:num>
  <w:num w:numId="30">
    <w:abstractNumId w:val="17"/>
  </w:num>
  <w:num w:numId="31">
    <w:abstractNumId w:val="27"/>
  </w:num>
  <w:num w:numId="32">
    <w:abstractNumId w:val="7"/>
  </w:num>
  <w:num w:numId="33">
    <w:abstractNumId w:val="16"/>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283D"/>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17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59B"/>
    <w:rsid w:val="00342EF1"/>
    <w:rsid w:val="00343D82"/>
    <w:rsid w:val="00344088"/>
    <w:rsid w:val="003448D6"/>
    <w:rsid w:val="00346DBE"/>
    <w:rsid w:val="0034743D"/>
    <w:rsid w:val="0035194E"/>
    <w:rsid w:val="00352C42"/>
    <w:rsid w:val="00354467"/>
    <w:rsid w:val="00355FDB"/>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BBC"/>
    <w:rsid w:val="00547C2E"/>
    <w:rsid w:val="00551856"/>
    <w:rsid w:val="00552256"/>
    <w:rsid w:val="00552F56"/>
    <w:rsid w:val="00552FED"/>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5F7F9B"/>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10C7"/>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8D8"/>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6CD"/>
    <w:rsid w:val="00A54893"/>
    <w:rsid w:val="00A55450"/>
    <w:rsid w:val="00A5574A"/>
    <w:rsid w:val="00A55E99"/>
    <w:rsid w:val="00A609BB"/>
    <w:rsid w:val="00A648D1"/>
    <w:rsid w:val="00A67D74"/>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186C"/>
    <w:rsid w:val="00BB3D62"/>
    <w:rsid w:val="00BB4BB5"/>
    <w:rsid w:val="00BB52A8"/>
    <w:rsid w:val="00BB58B0"/>
    <w:rsid w:val="00BC1DF4"/>
    <w:rsid w:val="00BC299C"/>
    <w:rsid w:val="00BC3C83"/>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7C93"/>
    <w:rsid w:val="00C67F4E"/>
    <w:rsid w:val="00C706AB"/>
    <w:rsid w:val="00C70C07"/>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E674B"/>
    <w:rsid w:val="00CF3148"/>
    <w:rsid w:val="00CF55B4"/>
    <w:rsid w:val="00D007B9"/>
    <w:rsid w:val="00D00E14"/>
    <w:rsid w:val="00D02ADF"/>
    <w:rsid w:val="00D0402E"/>
    <w:rsid w:val="00D052AF"/>
    <w:rsid w:val="00D058DE"/>
    <w:rsid w:val="00D064AD"/>
    <w:rsid w:val="00D13B5D"/>
    <w:rsid w:val="00D150BF"/>
    <w:rsid w:val="00D20B16"/>
    <w:rsid w:val="00D2228A"/>
    <w:rsid w:val="00D22B6E"/>
    <w:rsid w:val="00D2428A"/>
    <w:rsid w:val="00D257A9"/>
    <w:rsid w:val="00D26A8B"/>
    <w:rsid w:val="00D270A4"/>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36BE"/>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2435"/>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D6AF2"/>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57B35"/>
    <w:rsid w:val="00F57D84"/>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paragraph" w:styleId="Heading3">
    <w:name w:val="heading 3"/>
    <w:basedOn w:val="Normal"/>
    <w:next w:val="Normal"/>
    <w:link w:val="Heading3Char"/>
    <w:uiPriority w:val="9"/>
    <w:semiHidden/>
    <w:unhideWhenUsed/>
    <w:qFormat/>
    <w:rsid w:val="00F57D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customStyle="1" w:styleId="Heading3Char">
    <w:name w:val="Heading 3 Char"/>
    <w:basedOn w:val="DefaultParagraphFont"/>
    <w:link w:val="Heading3"/>
    <w:uiPriority w:val="9"/>
    <w:semiHidden/>
    <w:rsid w:val="00F57D84"/>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5F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98968878">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0691029">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kstutyte@klaipedosgpmc.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uromatas@euromatas.lt" TargetMode="External"/><Relationship Id="rId5" Type="http://schemas.openxmlformats.org/officeDocument/2006/relationships/footnotes" Target="footnotes.xml"/><Relationship Id="rId10" Type="http://schemas.openxmlformats.org/officeDocument/2006/relationships/hyperlink" Target="mailto:info@klaipedosgpm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F10B818D0385422F8211B1C48D5DE704"/>
        <w:category>
          <w:name w:val="General"/>
          <w:gallery w:val="placeholder"/>
        </w:category>
        <w:types>
          <w:type w:val="bbPlcHdr"/>
        </w:types>
        <w:behaviors>
          <w:behavior w:val="content"/>
        </w:behaviors>
        <w:guid w:val="{BEB12A30-E88E-4573-9864-ED32B1FD93D2}"/>
      </w:docPartPr>
      <w:docPartBody>
        <w:p w:rsidR="005E1DE5" w:rsidRDefault="00C81734" w:rsidP="00C81734">
          <w:pPr>
            <w:pStyle w:val="F10B818D0385422F8211B1C48D5DE704"/>
          </w:pPr>
          <w:r w:rsidRPr="00DF28AC">
            <w:rPr>
              <w:rStyle w:val="PlaceholderText"/>
            </w:rPr>
            <w:t>Pasirinkite elementą.</w:t>
          </w:r>
        </w:p>
      </w:docPartBody>
    </w:docPart>
    <w:docPart>
      <w:docPartPr>
        <w:name w:val="6FCFC8F69DFA47CD8A2B99A2A0DAAE91"/>
        <w:category>
          <w:name w:val="General"/>
          <w:gallery w:val="placeholder"/>
        </w:category>
        <w:types>
          <w:type w:val="bbPlcHdr"/>
        </w:types>
        <w:behaviors>
          <w:behavior w:val="content"/>
        </w:behaviors>
        <w:guid w:val="{AF38834B-94DF-44B7-AD1D-9E76C50E0648}"/>
      </w:docPartPr>
      <w:docPartBody>
        <w:p w:rsidR="005E1DE5" w:rsidRDefault="00C81734" w:rsidP="00C81734">
          <w:pPr>
            <w:pStyle w:val="6FCFC8F69DFA47CD8A2B99A2A0DAAE91"/>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130BDA"/>
    <w:rsid w:val="005E1DE5"/>
    <w:rsid w:val="005F2237"/>
    <w:rsid w:val="007E0525"/>
    <w:rsid w:val="00800B9E"/>
    <w:rsid w:val="00A53DC9"/>
    <w:rsid w:val="00C81734"/>
    <w:rsid w:val="00C83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734"/>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 w:type="paragraph" w:customStyle="1" w:styleId="0BB85C6947084ECBB507C11B268DF919">
    <w:name w:val="0BB85C6947084ECBB507C11B268DF919"/>
    <w:rsid w:val="007E0525"/>
  </w:style>
  <w:style w:type="paragraph" w:customStyle="1" w:styleId="9AE7ABAA99654AEC867B30F209C43C79">
    <w:name w:val="9AE7ABAA99654AEC867B30F209C43C79"/>
    <w:rsid w:val="007E0525"/>
  </w:style>
  <w:style w:type="paragraph" w:customStyle="1" w:styleId="BBF0091507F64C2FB38C9090F15E021F">
    <w:name w:val="BBF0091507F64C2FB38C9090F15E021F"/>
    <w:rsid w:val="007E0525"/>
  </w:style>
  <w:style w:type="paragraph" w:customStyle="1" w:styleId="F705EDD4C39C48D086BF6C78ED8C5FCD">
    <w:name w:val="F705EDD4C39C48D086BF6C78ED8C5FCD"/>
    <w:rsid w:val="007E0525"/>
  </w:style>
  <w:style w:type="paragraph" w:customStyle="1" w:styleId="2312E7CC2AAF4BC694BD3D9BC9AD2B99">
    <w:name w:val="2312E7CC2AAF4BC694BD3D9BC9AD2B99"/>
    <w:rsid w:val="007E0525"/>
  </w:style>
  <w:style w:type="paragraph" w:customStyle="1" w:styleId="EE34B32B2BCC40ADAFD168A3F1662319">
    <w:name w:val="EE34B32B2BCC40ADAFD168A3F1662319"/>
    <w:rsid w:val="007E0525"/>
  </w:style>
  <w:style w:type="paragraph" w:customStyle="1" w:styleId="F10B818D0385422F8211B1C48D5DE704">
    <w:name w:val="F10B818D0385422F8211B1C48D5DE704"/>
    <w:rsid w:val="00C81734"/>
  </w:style>
  <w:style w:type="paragraph" w:customStyle="1" w:styleId="6FCFC8F69DFA47CD8A2B99A2A0DAAE91">
    <w:name w:val="6FCFC8F69DFA47CD8A2B99A2A0DAAE91"/>
    <w:rsid w:val="00C81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13414</Words>
  <Characters>7647</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2025-12-12T14:42:00Z</dcterms:created>
  <dcterms:modified xsi:type="dcterms:W3CDTF">2025-12-15T12:35:00Z</dcterms:modified>
  <cp:category/>
  <cp:contentStatus/>
</cp:coreProperties>
</file>