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DD" w:rsidRPr="00177CDD" w:rsidRDefault="00177CDD" w:rsidP="00177CDD">
      <w:pPr>
        <w:spacing w:before="0"/>
        <w:ind w:left="7776" w:hanging="26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Pirkimo sąlygų 4</w:t>
      </w:r>
      <w:bookmarkStart w:id="0" w:name="_GoBack"/>
      <w:bookmarkEnd w:id="0"/>
      <w:r w:rsidRPr="00177CDD">
        <w:rPr>
          <w:bCs/>
          <w:sz w:val="24"/>
          <w:szCs w:val="24"/>
        </w:rPr>
        <w:t xml:space="preserve"> priedas </w:t>
      </w:r>
    </w:p>
    <w:p w:rsidR="000E0AD7" w:rsidRDefault="000E0AD7"/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r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Pr="000A2AEB">
        <w:rPr>
          <w:rFonts w:eastAsia="Arial Unicode MS"/>
          <w:b/>
          <w:i/>
          <w:sz w:val="24"/>
          <w:szCs w:val="24"/>
          <w:bdr w:val="nil"/>
        </w:rPr>
        <w:t>ūlymo forma</w:t>
      </w:r>
      <w:r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511BCD" w:rsidRDefault="000A2AEB" w:rsidP="000A2AEB">
      <w:pPr>
        <w:spacing w:before="0"/>
        <w:ind w:left="720"/>
        <w:jc w:val="center"/>
        <w:textAlignment w:val="baseline"/>
        <w:rPr>
          <w:rFonts w:cstheme="minorHAnsi"/>
          <w:b/>
          <w:bCs/>
          <w:sz w:val="24"/>
          <w:szCs w:val="24"/>
        </w:rPr>
      </w:pP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DĖL </w:t>
      </w:r>
      <w:r w:rsidR="00511BCD" w:rsidRPr="00913464">
        <w:rPr>
          <w:rFonts w:cstheme="minorHAnsi"/>
          <w:b/>
          <w:bCs/>
          <w:sz w:val="24"/>
          <w:szCs w:val="24"/>
        </w:rPr>
        <w:t xml:space="preserve">LIETUVOS RESPUBLIKOS SEIMO KANCELIARIJOS INFORMACINĖS SISTEMOS DOKUMENTŲ VALDYMO </w:t>
      </w:r>
      <w:r w:rsidR="00511BCD">
        <w:rPr>
          <w:rFonts w:cstheme="minorHAnsi"/>
          <w:b/>
          <w:bCs/>
          <w:sz w:val="24"/>
          <w:szCs w:val="24"/>
        </w:rPr>
        <w:t xml:space="preserve">POSISTEMIO „DOCLOGIX“ </w:t>
      </w:r>
    </w:p>
    <w:p w:rsidR="000A2AEB" w:rsidRPr="000A2AEB" w:rsidRDefault="00511BCD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</w:rPr>
      </w:pPr>
      <w:r>
        <w:rPr>
          <w:rFonts w:cstheme="minorHAnsi"/>
          <w:b/>
          <w:bCs/>
          <w:sz w:val="24"/>
          <w:szCs w:val="24"/>
        </w:rPr>
        <w:t>LICENCIJŲ</w:t>
      </w:r>
      <w:r w:rsidRPr="00E57067">
        <w:rPr>
          <w:rFonts w:eastAsia="Arial Unicode MS" w:cstheme="minorHAnsi"/>
          <w:b/>
          <w:bCs/>
          <w:sz w:val="24"/>
          <w:szCs w:val="24"/>
          <w:bdr w:val="nil"/>
        </w:rPr>
        <w:t xml:space="preserve"> </w:t>
      </w:r>
      <w:r w:rsidRPr="00E57067">
        <w:rPr>
          <w:rFonts w:eastAsia="Arial Unicode MS" w:cstheme="minorHAnsi"/>
          <w:b/>
          <w:sz w:val="24"/>
          <w:szCs w:val="24"/>
          <w:bdr w:val="nil"/>
        </w:rPr>
        <w:t>PIRKIMO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(data)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AE63AC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Už pasiūlymą atsa</w:t>
            </w:r>
            <w:r w:rsidR="00AE63AC">
              <w:rPr>
                <w:sz w:val="24"/>
                <w:szCs w:val="24"/>
              </w:rPr>
              <w:t xml:space="preserve">kingo asmens pareigos, vardas, </w:t>
            </w:r>
            <w:r w:rsidRPr="000A2AEB">
              <w:rPr>
                <w:sz w:val="24"/>
                <w:szCs w:val="24"/>
              </w:rPr>
              <w:t>pavardė</w:t>
            </w:r>
            <w:r w:rsidR="00AE63AC">
              <w:rPr>
                <w:sz w:val="24"/>
                <w:szCs w:val="24"/>
              </w:rPr>
              <w:t>, tel., el.paštas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(-us)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(-us)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CD3217" w:rsidRDefault="000A2AEB" w:rsidP="00883C74">
      <w:pPr>
        <w:spacing w:before="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1. Šiuo pasiūlymu pažymime, kad sutinkame su visomis pirkimo sąlygomis, nustatytomis </w:t>
      </w:r>
      <w:r w:rsidR="00511BCD" w:rsidRPr="00511BCD">
        <w:rPr>
          <w:b/>
          <w:szCs w:val="24"/>
        </w:rPr>
        <w:t>Lietuvos Respublikos Seimo kanceliarijos informacinės sistemos Dokumentų valdymo posistemio „Doclogix“</w:t>
      </w:r>
      <w:r w:rsidR="00511BCD">
        <w:rPr>
          <w:b/>
          <w:szCs w:val="24"/>
        </w:rPr>
        <w:t xml:space="preserve"> licencijų</w:t>
      </w:r>
      <w:r w:rsidRPr="000A2AEB">
        <w:rPr>
          <w:sz w:val="24"/>
          <w:szCs w:val="24"/>
        </w:rPr>
        <w:t xml:space="preserve"> </w:t>
      </w:r>
      <w:r w:rsidR="0024566A">
        <w:rPr>
          <w:sz w:val="24"/>
          <w:szCs w:val="24"/>
        </w:rPr>
        <w:t>skelbiamos apklausos</w:t>
      </w:r>
      <w:r>
        <w:rPr>
          <w:sz w:val="24"/>
          <w:szCs w:val="24"/>
        </w:rPr>
        <w:t xml:space="preserve"> skelbime </w:t>
      </w:r>
      <w:r w:rsidRPr="000A2AEB">
        <w:rPr>
          <w:sz w:val="24"/>
          <w:szCs w:val="24"/>
        </w:rPr>
        <w:t xml:space="preserve">ir šio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(reikalavimuose, techninėje specifikacijoje, sąlygų patikslinimuose, paaiškinimuose ir kt.). </w:t>
      </w:r>
    </w:p>
    <w:p w:rsidR="00FD7975" w:rsidRPr="00883C74" w:rsidRDefault="00FD7975" w:rsidP="00FD7975">
      <w:pPr>
        <w:spacing w:before="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D7975">
        <w:rPr>
          <w:sz w:val="24"/>
          <w:szCs w:val="24"/>
        </w:rPr>
        <w:t>. Patvirtiname, kad mums netaikomi pirkimo sąlygų 1 priede nurodyti pašalinimo pagrindai.</w:t>
      </w:r>
    </w:p>
    <w:p w:rsidR="00CD3217" w:rsidRDefault="00FD7975" w:rsidP="0065067F">
      <w:pPr>
        <w:spacing w:before="60"/>
        <w:ind w:right="-142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883C74">
        <w:rPr>
          <w:sz w:val="24"/>
          <w:szCs w:val="24"/>
        </w:rPr>
        <w:t xml:space="preserve">. </w:t>
      </w:r>
      <w:r w:rsidR="0065067F">
        <w:rPr>
          <w:sz w:val="24"/>
          <w:szCs w:val="24"/>
        </w:rPr>
        <w:t>Kartu su pasiūlymu p</w:t>
      </w:r>
      <w:r w:rsidR="00883C74">
        <w:rPr>
          <w:sz w:val="24"/>
          <w:szCs w:val="24"/>
        </w:rPr>
        <w:t>ateikiamas</w:t>
      </w:r>
      <w:r w:rsidR="0065067F" w:rsidRPr="0065067F">
        <w:rPr>
          <w:sz w:val="24"/>
          <w:szCs w:val="24"/>
        </w:rPr>
        <w:t xml:space="preserve"> </w:t>
      </w:r>
      <w:r w:rsidR="00883C74" w:rsidRPr="00883C74">
        <w:rPr>
          <w:b/>
          <w:sz w:val="24"/>
          <w:szCs w:val="24"/>
        </w:rPr>
        <w:t xml:space="preserve">dokumentas, </w:t>
      </w:r>
      <w:r w:rsidR="00883C74" w:rsidRPr="00883C74">
        <w:rPr>
          <w:sz w:val="24"/>
          <w:szCs w:val="24"/>
        </w:rPr>
        <w:t>patvirtinantis, kad tiekėjas arba kitas ūkio subjektas, kurio pajėgumu tiekėjas numato remtis, yra</w:t>
      </w:r>
      <w:r w:rsidR="00883C74" w:rsidRPr="00883C74">
        <w:rPr>
          <w:b/>
          <w:sz w:val="24"/>
          <w:szCs w:val="24"/>
        </w:rPr>
        <w:t xml:space="preserve"> perkančiosios organizacijos naudojamos DVS gamintojas arba oficialus gamintojo įgaliotas atstovas ir turi teisę platinti perkančiosios organizacijos naudojamos DVS licencijas.</w:t>
      </w:r>
    </w:p>
    <w:p w:rsidR="00883C74" w:rsidRDefault="00FD7975" w:rsidP="00883C74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83C74" w:rsidRPr="00883C74">
        <w:rPr>
          <w:sz w:val="24"/>
          <w:szCs w:val="24"/>
        </w:rPr>
        <w:t xml:space="preserve">. Siūlomos </w:t>
      </w:r>
      <w:r w:rsidR="00883C74">
        <w:rPr>
          <w:sz w:val="24"/>
          <w:szCs w:val="24"/>
        </w:rPr>
        <w:t>prekės</w:t>
      </w:r>
      <w:r w:rsidR="00883C74" w:rsidRPr="00883C74">
        <w:rPr>
          <w:sz w:val="24"/>
          <w:szCs w:val="24"/>
        </w:rPr>
        <w:t xml:space="preserve"> visiškai atitinka pirkimo dokumentuose nurodytus techninius reikalavimus. Į </w:t>
      </w:r>
      <w:r w:rsidR="00883C74">
        <w:rPr>
          <w:sz w:val="24"/>
          <w:szCs w:val="24"/>
        </w:rPr>
        <w:t>prekių</w:t>
      </w:r>
      <w:r w:rsidR="00883C74" w:rsidRPr="00883C74">
        <w:rPr>
          <w:sz w:val="24"/>
          <w:szCs w:val="24"/>
        </w:rPr>
        <w:t xml:space="preserve"> kainą yra įskaičiuoti visi mokesčiai ir tiekėjo išlaidos, taip pat kitos su pirkimo objektu susijusios išlaidos bei kiti galimi mokėjimai, reikalingi tinkamam pirkimo sutarties įvykdymui:</w:t>
      </w:r>
    </w:p>
    <w:p w:rsidR="00883C74" w:rsidRPr="00883C74" w:rsidRDefault="00883C74" w:rsidP="00883C74">
      <w:pPr>
        <w:spacing w:before="60"/>
        <w:ind w:right="-142" w:firstLine="720"/>
        <w:jc w:val="both"/>
        <w:rPr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3260"/>
        <w:gridCol w:w="1276"/>
        <w:gridCol w:w="1701"/>
        <w:gridCol w:w="1134"/>
        <w:gridCol w:w="2126"/>
      </w:tblGrid>
      <w:tr w:rsidR="00883C74" w:rsidRPr="00883C74" w:rsidTr="00883C74">
        <w:trPr>
          <w:trHeight w:val="582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83C74" w:rsidRPr="00883C74" w:rsidRDefault="00883C74" w:rsidP="00883C74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83C74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83C74" w:rsidRPr="00883C74" w:rsidRDefault="00883C74" w:rsidP="00883C74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83C74">
              <w:rPr>
                <w:b/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3C74" w:rsidRPr="00883C74" w:rsidRDefault="00883C74" w:rsidP="00883C74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83C74">
              <w:rPr>
                <w:b/>
                <w:sz w:val="24"/>
                <w:szCs w:val="24"/>
              </w:rPr>
              <w:t>Matavimo vienetas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83C74" w:rsidRPr="00883C74" w:rsidRDefault="00883C74" w:rsidP="00883C74">
            <w:pPr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Matavimo vieneto kaina, Eur be PVM*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83C74" w:rsidRPr="00883C74" w:rsidRDefault="00883C74" w:rsidP="00883C74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83C74"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83C74" w:rsidRPr="00883C74" w:rsidRDefault="00FD7975" w:rsidP="00883C74">
            <w:pPr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Suma, Eur*</w:t>
            </w:r>
          </w:p>
        </w:tc>
      </w:tr>
      <w:tr w:rsidR="00883C74" w:rsidRPr="00883C74" w:rsidTr="00FD7975">
        <w:trPr>
          <w:trHeight w:val="624"/>
        </w:trPr>
        <w:tc>
          <w:tcPr>
            <w:tcW w:w="851" w:type="dxa"/>
            <w:tcBorders>
              <w:bottom w:val="single" w:sz="4" w:space="0" w:color="auto"/>
            </w:tcBorders>
          </w:tcPr>
          <w:p w:rsidR="00883C74" w:rsidRPr="00883C74" w:rsidRDefault="00883C74" w:rsidP="00883C74">
            <w:pPr>
              <w:widowControl w:val="0"/>
              <w:numPr>
                <w:ilvl w:val="0"/>
                <w:numId w:val="2"/>
              </w:numPr>
              <w:spacing w:before="0" w:line="360" w:lineRule="auto"/>
              <w:ind w:left="357" w:hanging="357"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83C74" w:rsidRPr="00883C74" w:rsidRDefault="00883C74" w:rsidP="00883C74">
            <w:pPr>
              <w:spacing w:before="0"/>
              <w:rPr>
                <w:sz w:val="24"/>
                <w:szCs w:val="24"/>
              </w:rPr>
            </w:pPr>
            <w:r w:rsidRPr="00883C74">
              <w:rPr>
                <w:sz w:val="24"/>
                <w:szCs w:val="24"/>
              </w:rPr>
              <w:t xml:space="preserve">Dokumentų valdymo sistemos licencijos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3C74" w:rsidRPr="00883C74" w:rsidRDefault="00883C74" w:rsidP="00883C74">
            <w:pPr>
              <w:spacing w:before="0"/>
              <w:jc w:val="center"/>
              <w:rPr>
                <w:sz w:val="24"/>
                <w:szCs w:val="24"/>
              </w:rPr>
            </w:pPr>
            <w:r w:rsidRPr="00883C74">
              <w:rPr>
                <w:sz w:val="24"/>
                <w:szCs w:val="24"/>
              </w:rPr>
              <w:t>Licencija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C74" w:rsidRPr="00883C74" w:rsidRDefault="00883C74" w:rsidP="00883C74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3C74" w:rsidRPr="00883C74" w:rsidRDefault="00883C74" w:rsidP="00883C74">
            <w:pPr>
              <w:spacing w:before="0"/>
              <w:jc w:val="center"/>
              <w:rPr>
                <w:sz w:val="24"/>
                <w:szCs w:val="24"/>
              </w:rPr>
            </w:pPr>
            <w:r w:rsidRPr="00883C74">
              <w:rPr>
                <w:sz w:val="24"/>
                <w:szCs w:val="24"/>
              </w:rPr>
              <w:t>205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3C74" w:rsidRPr="00883C74" w:rsidRDefault="00883C74" w:rsidP="00883C74">
            <w:pPr>
              <w:spacing w:before="0"/>
              <w:rPr>
                <w:sz w:val="24"/>
                <w:szCs w:val="24"/>
              </w:rPr>
            </w:pPr>
          </w:p>
          <w:p w:rsidR="00883C74" w:rsidRPr="00883C74" w:rsidRDefault="00883C74" w:rsidP="00883C74">
            <w:pPr>
              <w:spacing w:before="0"/>
              <w:rPr>
                <w:sz w:val="24"/>
                <w:szCs w:val="24"/>
              </w:rPr>
            </w:pPr>
          </w:p>
        </w:tc>
      </w:tr>
      <w:tr w:rsidR="00883C74" w:rsidRPr="00883C74" w:rsidTr="00FD7975">
        <w:trPr>
          <w:trHeight w:val="382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74" w:rsidRPr="00883C74" w:rsidRDefault="00FD7975" w:rsidP="00883C74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 Eur be PVM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3C74" w:rsidRPr="00883C74" w:rsidRDefault="00883C74" w:rsidP="00883C74">
            <w:pPr>
              <w:spacing w:before="0"/>
              <w:rPr>
                <w:sz w:val="24"/>
                <w:szCs w:val="24"/>
              </w:rPr>
            </w:pPr>
          </w:p>
        </w:tc>
      </w:tr>
      <w:tr w:rsidR="00FD7975" w:rsidRPr="00883C74" w:rsidTr="00FD7975">
        <w:trPr>
          <w:trHeight w:val="382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75" w:rsidRPr="00883C74" w:rsidRDefault="00FD7975" w:rsidP="00883C74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PVM 21%: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975" w:rsidRPr="00883C74" w:rsidRDefault="00FD7975" w:rsidP="00883C74">
            <w:pPr>
              <w:spacing w:before="0"/>
              <w:rPr>
                <w:sz w:val="24"/>
                <w:szCs w:val="24"/>
              </w:rPr>
            </w:pPr>
          </w:p>
        </w:tc>
      </w:tr>
      <w:tr w:rsidR="00FD7975" w:rsidRPr="00883C74" w:rsidTr="00FD7975">
        <w:trPr>
          <w:trHeight w:val="382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75" w:rsidRPr="00883C74" w:rsidRDefault="00FD7975" w:rsidP="00883C74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 Eur su PVM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75" w:rsidRPr="00883C74" w:rsidRDefault="00FD7975" w:rsidP="00883C74">
            <w:pPr>
              <w:spacing w:before="0"/>
              <w:rPr>
                <w:sz w:val="24"/>
                <w:szCs w:val="24"/>
              </w:rPr>
            </w:pPr>
          </w:p>
        </w:tc>
      </w:tr>
    </w:tbl>
    <w:p w:rsidR="00FD7975" w:rsidRPr="00FD7975" w:rsidRDefault="00FD7975" w:rsidP="00FD7975">
      <w:pPr>
        <w:spacing w:before="0"/>
        <w:ind w:right="-142" w:firstLine="720"/>
        <w:jc w:val="both"/>
        <w:rPr>
          <w:i/>
          <w:sz w:val="20"/>
          <w:szCs w:val="20"/>
        </w:rPr>
      </w:pPr>
      <w:r w:rsidRPr="00FD7975">
        <w:rPr>
          <w:i/>
          <w:sz w:val="20"/>
          <w:szCs w:val="20"/>
        </w:rPr>
        <w:t>* kaina nurodoma suapvalinta iki 2 skaitmenų po kablelio. Tais atvejais, kai pagal galiojančius teisės aktus tiekėjui nereikia mokėti PVM, jis su įrašo kainą Eur be PVM ir nurodo priežastis, dėl kurių PVM nemoka.</w:t>
      </w:r>
    </w:p>
    <w:p w:rsidR="000A2AEB" w:rsidRDefault="000A2AEB" w:rsidP="00607006">
      <w:pPr>
        <w:spacing w:before="60"/>
        <w:ind w:right="-143"/>
        <w:jc w:val="both"/>
        <w:rPr>
          <w:sz w:val="24"/>
          <w:szCs w:val="24"/>
        </w:rPr>
      </w:pPr>
    </w:p>
    <w:p w:rsidR="00FD7975" w:rsidRPr="000A2AEB" w:rsidRDefault="00FD7975" w:rsidP="00607006">
      <w:pPr>
        <w:spacing w:before="60"/>
        <w:ind w:right="-143"/>
        <w:jc w:val="both"/>
        <w:rPr>
          <w:sz w:val="24"/>
          <w:szCs w:val="24"/>
        </w:rPr>
      </w:pPr>
    </w:p>
    <w:p w:rsidR="000A2AEB" w:rsidRPr="000A2AEB" w:rsidRDefault="00FD7975" w:rsidP="00607006">
      <w:pPr>
        <w:spacing w:before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2AEB" w:rsidRPr="000A2AEB">
        <w:rPr>
          <w:sz w:val="24"/>
          <w:szCs w:val="24"/>
        </w:rPr>
        <w:t>. Šiame pasiūlyme yra pateikta ir konfidenciali informacija*: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Eil.Nr.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</w:tr>
      <w:tr w:rsidR="00FD7975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75" w:rsidRPr="000A2AEB" w:rsidRDefault="00FD7975" w:rsidP="000A2AEB">
            <w:pPr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75" w:rsidRPr="000A2AEB" w:rsidRDefault="00FD7975" w:rsidP="000A2AEB">
            <w:pPr>
              <w:jc w:val="both"/>
            </w:pP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FD7975" w:rsidRDefault="00FD7975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</w:p>
    <w:p w:rsidR="000A2AEB" w:rsidRPr="000A2AEB" w:rsidRDefault="00FD7975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A2AEB" w:rsidRPr="000A2AEB">
        <w:rPr>
          <w:sz w:val="24"/>
          <w:szCs w:val="24"/>
        </w:rPr>
        <w:t>. Pasiūlymas galioja 90 dienų.</w:t>
      </w:r>
    </w:p>
    <w:p w:rsidR="000A2AEB" w:rsidRPr="000A2AEB" w:rsidRDefault="00FD7975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A2AEB" w:rsidRPr="000A2AEB">
        <w:rPr>
          <w:sz w:val="24"/>
          <w:szCs w:val="24"/>
        </w:rPr>
        <w:t>. Kartu su pasiūlymu pateikiami šie dokumentai: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2127"/>
      </w:tblGrid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2127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Pr="000A2AEB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</w:t>
            </w:r>
            <w:r w:rsidR="00607006">
              <w:rPr>
                <w:position w:val="6"/>
                <w:sz w:val="20"/>
                <w:szCs w:val="20"/>
              </w:rPr>
              <w:t>ioto asmens pareigų pavadinimas</w:t>
            </w:r>
            <w:r w:rsidRPr="000A2AEB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Pr="000A2AEB" w:rsidRDefault="000A2AEB" w:rsidP="000A2AEB">
      <w:pPr>
        <w:ind w:right="-511"/>
        <w:jc w:val="both"/>
        <w:rPr>
          <w:sz w:val="20"/>
          <w:szCs w:val="20"/>
        </w:rPr>
        <w:sectPr w:rsidR="000A2AEB" w:rsidRPr="000A2AEB" w:rsidSect="0033412F">
          <w:pgSz w:w="11907" w:h="16840" w:code="9"/>
          <w:pgMar w:top="1276" w:right="709" w:bottom="1134" w:left="1134" w:header="624" w:footer="624" w:gutter="0"/>
          <w:pgNumType w:chapSep="emDash"/>
          <w:cols w:space="1296"/>
          <w:docGrid w:linePitch="299"/>
        </w:sectPr>
      </w:pPr>
    </w:p>
    <w:p w:rsidR="000A2AEB" w:rsidRDefault="000A2AEB" w:rsidP="00FD7975"/>
    <w:sectPr w:rsidR="000A2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5D69"/>
    <w:multiLevelType w:val="hybridMultilevel"/>
    <w:tmpl w:val="44F4B300"/>
    <w:lvl w:ilvl="0" w:tplc="8CA066E0">
      <w:start w:val="1"/>
      <w:numFmt w:val="decimal"/>
      <w:pStyle w:val="modPunktai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9057D"/>
    <w:rsid w:val="000A2AEB"/>
    <w:rsid w:val="000A3283"/>
    <w:rsid w:val="000E0AD7"/>
    <w:rsid w:val="001739B7"/>
    <w:rsid w:val="00177CDD"/>
    <w:rsid w:val="001E6594"/>
    <w:rsid w:val="0024566A"/>
    <w:rsid w:val="00263CE5"/>
    <w:rsid w:val="0040092D"/>
    <w:rsid w:val="00511BCD"/>
    <w:rsid w:val="005C1782"/>
    <w:rsid w:val="00607006"/>
    <w:rsid w:val="0065067F"/>
    <w:rsid w:val="00664938"/>
    <w:rsid w:val="006D791A"/>
    <w:rsid w:val="00743DD8"/>
    <w:rsid w:val="007D4C2C"/>
    <w:rsid w:val="00883C74"/>
    <w:rsid w:val="0090099B"/>
    <w:rsid w:val="00AE63AC"/>
    <w:rsid w:val="00CD3217"/>
    <w:rsid w:val="00DA40C3"/>
    <w:rsid w:val="00E34CB9"/>
    <w:rsid w:val="00E91320"/>
    <w:rsid w:val="00EF164A"/>
    <w:rsid w:val="00FB47F7"/>
    <w:rsid w:val="00FD7975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C28B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2AEB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511BCD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BCD"/>
    <w:rPr>
      <w:rFonts w:ascii="Times New Roman" w:eastAsia="Times New Roman" w:hAnsi="Times New Roman" w:cs="Times New Roman"/>
    </w:rPr>
  </w:style>
  <w:style w:type="paragraph" w:customStyle="1" w:styleId="modPunktai">
    <w:name w:val="mod: Punktai"/>
    <w:basedOn w:val="Antrat2"/>
    <w:rsid w:val="00883C74"/>
    <w:pPr>
      <w:keepNext w:val="0"/>
      <w:keepLines w:val="0"/>
      <w:widowControl w:val="0"/>
      <w:numPr>
        <w:numId w:val="1"/>
      </w:numPr>
      <w:tabs>
        <w:tab w:val="num" w:pos="360"/>
      </w:tabs>
      <w:spacing w:before="0" w:line="360" w:lineRule="auto"/>
      <w:ind w:left="0" w:firstLine="0"/>
      <w:jc w:val="both"/>
    </w:pPr>
    <w:rPr>
      <w:rFonts w:ascii="Times New Roman" w:eastAsia="Times New Roman" w:hAnsi="Times New Roman" w:cs="Times New Roman"/>
      <w:bCs/>
      <w:iCs/>
      <w:color w:val="auto"/>
      <w:sz w:val="24"/>
      <w:szCs w:val="24"/>
      <w:lang w:val="x-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15</cp:revision>
  <dcterms:created xsi:type="dcterms:W3CDTF">2025-08-22T11:05:00Z</dcterms:created>
  <dcterms:modified xsi:type="dcterms:W3CDTF">2025-12-15T12:46:00Z</dcterms:modified>
</cp:coreProperties>
</file>