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5274" w14:textId="0E69D020" w:rsidR="00324E3D" w:rsidRPr="00152C1E" w:rsidRDefault="00200BD4" w:rsidP="00907AB4">
      <w:r w:rsidRPr="00152C1E">
        <w:rPr>
          <w:bCs/>
        </w:rPr>
        <w:tab/>
      </w:r>
      <w:r w:rsidR="00B81E9B">
        <w:rPr>
          <w:bCs/>
        </w:rPr>
        <w:tab/>
      </w:r>
      <w:r w:rsidR="00C378CB">
        <w:rPr>
          <w:bCs/>
        </w:rPr>
        <w:t xml:space="preserve"> </w:t>
      </w:r>
      <w:r w:rsidR="00C56469">
        <w:rPr>
          <w:bCs/>
        </w:rPr>
        <w:tab/>
      </w:r>
      <w:r w:rsidR="00C56469">
        <w:rPr>
          <w:bCs/>
        </w:rPr>
        <w:tab/>
      </w:r>
      <w:r w:rsidR="00C56469">
        <w:rPr>
          <w:bCs/>
        </w:rPr>
        <w:tab/>
      </w:r>
      <w:r w:rsidR="00C56469">
        <w:rPr>
          <w:bCs/>
        </w:rPr>
        <w:tab/>
      </w:r>
      <w:r w:rsidR="00C56469">
        <w:rPr>
          <w:bCs/>
        </w:rPr>
        <w:tab/>
      </w:r>
      <w:r w:rsidR="00C56469">
        <w:rPr>
          <w:bCs/>
        </w:rPr>
        <w:tab/>
      </w:r>
      <w:r w:rsidR="00C56469">
        <w:rPr>
          <w:bCs/>
        </w:rPr>
        <w:tab/>
      </w:r>
      <w:r w:rsidR="00E94092">
        <w:rPr>
          <w:bCs/>
        </w:rPr>
        <w:t xml:space="preserve">     </w:t>
      </w:r>
      <w:r w:rsidR="00272DEB">
        <w:rPr>
          <w:bCs/>
        </w:rPr>
        <w:t xml:space="preserve">                                                                    </w:t>
      </w:r>
      <w:r w:rsidR="00E94092">
        <w:rPr>
          <w:bCs/>
        </w:rPr>
        <w:t xml:space="preserve">  </w:t>
      </w:r>
      <w:r w:rsidR="00C56469">
        <w:rPr>
          <w:bCs/>
        </w:rPr>
        <w:t>1 priedas</w:t>
      </w:r>
    </w:p>
    <w:p w14:paraId="6EFDD9A5" w14:textId="77777777" w:rsidR="00B16F3D" w:rsidRPr="00001D58" w:rsidRDefault="00324E3D" w:rsidP="00324E3D">
      <w:pPr>
        <w:pStyle w:val="Subtitle"/>
        <w:spacing w:before="60" w:after="60"/>
        <w:jc w:val="center"/>
        <w:rPr>
          <w:b/>
          <w:bCs/>
          <w:sz w:val="26"/>
          <w:szCs w:val="26"/>
          <w:u w:val="none"/>
          <w:lang w:val="lt-LT"/>
        </w:rPr>
      </w:pPr>
      <w:r w:rsidRPr="00001D58">
        <w:rPr>
          <w:b/>
          <w:bCs/>
          <w:sz w:val="26"/>
          <w:szCs w:val="26"/>
          <w:u w:val="none"/>
          <w:lang w:val="lt-LT"/>
        </w:rPr>
        <w:t xml:space="preserve">PASIŪLYMAS </w:t>
      </w:r>
    </w:p>
    <w:p w14:paraId="1B9391FE" w14:textId="1497D55A" w:rsidR="00324E3D" w:rsidRPr="007277AB" w:rsidRDefault="00940697" w:rsidP="00324E3D">
      <w:pPr>
        <w:pStyle w:val="Subtitle"/>
        <w:spacing w:before="60" w:after="60"/>
        <w:jc w:val="center"/>
        <w:rPr>
          <w:rFonts w:eastAsia="Calibri"/>
          <w:b/>
          <w:bCs/>
          <w:iCs/>
          <w:color w:val="2E74B5" w:themeColor="accent1" w:themeShade="BF"/>
          <w:u w:val="none"/>
          <w:lang w:val="lt-LT"/>
        </w:rPr>
      </w:pPr>
      <w:r>
        <w:rPr>
          <w:b/>
          <w:bCs/>
          <w:iCs/>
          <w:u w:val="none"/>
          <w:lang w:val="lt-LT"/>
        </w:rPr>
        <w:t>KTDA degalinės potencialiai pavojingų įrenginių techninės būklės priežiūros paslaugų pasiūlymas</w:t>
      </w:r>
    </w:p>
    <w:p w14:paraId="70B05720" w14:textId="3A574911" w:rsidR="00324E3D" w:rsidRPr="007277AB" w:rsidRDefault="007277AB" w:rsidP="007277AB">
      <w:pPr>
        <w:pStyle w:val="Subtitle"/>
        <w:spacing w:before="60" w:after="60"/>
        <w:jc w:val="center"/>
        <w:rPr>
          <w:bCs/>
          <w:color w:val="000000" w:themeColor="text1"/>
          <w:vertAlign w:val="superscript"/>
          <w:lang w:val="lt-LT"/>
        </w:rPr>
      </w:pPr>
      <w:r w:rsidRPr="007277AB">
        <w:rPr>
          <w:rStyle w:val="pildymui"/>
          <w:b/>
          <w:bCs/>
          <w:color w:val="000000" w:themeColor="text1"/>
          <w:u w:val="none"/>
          <w:lang w:val="lt-LT"/>
        </w:rPr>
        <w:t xml:space="preserve">      </w:t>
      </w:r>
      <w:r w:rsidRPr="007277AB">
        <w:rPr>
          <w:rStyle w:val="pildymui"/>
          <w:b/>
          <w:bCs/>
          <w:color w:val="000000" w:themeColor="text1"/>
          <w:lang w:val="lt-LT"/>
        </w:rPr>
        <w:t>Lietuvos kariuomenės Logistikos valdybos Įgulų aptarnavimo tarnyba</w:t>
      </w:r>
    </w:p>
    <w:p w14:paraId="78008D04" w14:textId="77777777" w:rsidR="007277AB" w:rsidRDefault="007277AB" w:rsidP="00152C1E">
      <w:pPr>
        <w:jc w:val="center"/>
      </w:pPr>
      <w:bookmarkStart w:id="0" w:name="_Toc147739116"/>
    </w:p>
    <w:p w14:paraId="6227AEDA" w14:textId="0D93A5D6" w:rsidR="00907AB4" w:rsidRPr="00CE0DDD" w:rsidRDefault="00907AB4" w:rsidP="00907AB4">
      <w:pPr>
        <w:pStyle w:val="ListParagraph"/>
        <w:numPr>
          <w:ilvl w:val="0"/>
          <w:numId w:val="11"/>
        </w:numPr>
        <w:jc w:val="center"/>
        <w:rPr>
          <w:b/>
        </w:rPr>
      </w:pPr>
      <w:bookmarkStart w:id="1" w:name="_Toc329443227"/>
      <w:r w:rsidRPr="00CE0DDD">
        <w:rPr>
          <w:b/>
        </w:rPr>
        <w:t>INFORMACIJA APIE TE</w:t>
      </w:r>
      <w:r w:rsidR="00CD6B7C">
        <w:rPr>
          <w:b/>
        </w:rPr>
        <w:t>I</w:t>
      </w:r>
      <w:r w:rsidRPr="00CE0DDD">
        <w:rPr>
          <w:b/>
        </w:rPr>
        <w:t>KĖJĄ</w:t>
      </w:r>
    </w:p>
    <w:p w14:paraId="276BCCDE" w14:textId="77777777" w:rsidR="00907AB4" w:rsidRPr="00152C1E" w:rsidRDefault="00907AB4" w:rsidP="00907AB4">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6AC47B1B"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6D9F3B29" w14:textId="1AC68F7A" w:rsidR="00907AB4" w:rsidRPr="00C72B82" w:rsidRDefault="00E94092" w:rsidP="004415B8">
            <w:pPr>
              <w:pStyle w:val="NoSpacing"/>
              <w:rPr>
                <w:b/>
              </w:rPr>
            </w:pPr>
            <w:r>
              <w:rPr>
                <w:b/>
              </w:rPr>
              <w:t>T</w:t>
            </w:r>
            <w:r w:rsidR="00907AB4">
              <w:rPr>
                <w:b/>
              </w:rPr>
              <w:t>e</w:t>
            </w:r>
            <w:r>
              <w:rPr>
                <w:b/>
              </w:rPr>
              <w:t>i</w:t>
            </w:r>
            <w:r w:rsidR="00907AB4" w:rsidRPr="00C72B82">
              <w:rPr>
                <w:b/>
              </w:rPr>
              <w:t xml:space="preserve">kėjo pavadinimas </w:t>
            </w:r>
            <w:r w:rsidR="00907AB4"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0AD7DEC" w14:textId="77777777" w:rsidR="00907AB4" w:rsidRPr="00875978" w:rsidRDefault="00907AB4" w:rsidP="004415B8">
            <w:pPr>
              <w:pStyle w:val="NoSpacing"/>
            </w:pPr>
          </w:p>
        </w:tc>
      </w:tr>
      <w:tr w:rsidR="00907AB4" w:rsidRPr="00875978" w14:paraId="55939116"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EB3B9BE" w14:textId="5DDFD181" w:rsidR="00907AB4" w:rsidRPr="00C72B82" w:rsidRDefault="00907AB4" w:rsidP="00E94092">
            <w:pPr>
              <w:pStyle w:val="NoSpacing"/>
              <w:rPr>
                <w:b/>
              </w:rPr>
            </w:pPr>
            <w:r>
              <w:rPr>
                <w:b/>
              </w:rPr>
              <w:t>Te</w:t>
            </w:r>
            <w:r w:rsidR="00E94092">
              <w:rPr>
                <w:b/>
              </w:rPr>
              <w:t>i</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1FE955F6" w14:textId="77777777" w:rsidR="00907AB4" w:rsidRPr="00875978" w:rsidRDefault="00907AB4" w:rsidP="004415B8">
            <w:pPr>
              <w:pStyle w:val="NoSpacing"/>
            </w:pPr>
          </w:p>
        </w:tc>
      </w:tr>
      <w:tr w:rsidR="00907AB4" w:rsidRPr="00875978" w14:paraId="0755D96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1931E737" w14:textId="77777777" w:rsidR="00907AB4" w:rsidRPr="00C72B82" w:rsidRDefault="00907AB4" w:rsidP="004415B8">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2A7FE3E0" w14:textId="77777777" w:rsidR="00907AB4" w:rsidRPr="00875978" w:rsidRDefault="00907AB4" w:rsidP="004415B8">
            <w:pPr>
              <w:pStyle w:val="NoSpacing"/>
            </w:pPr>
          </w:p>
        </w:tc>
      </w:tr>
      <w:tr w:rsidR="00907AB4" w:rsidRPr="00875978" w14:paraId="15BDA6C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380F8EB" w14:textId="77777777" w:rsidR="00907AB4" w:rsidRPr="00C72B82" w:rsidRDefault="00907AB4" w:rsidP="004415B8">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05D9F5F7" w14:textId="77777777" w:rsidR="00907AB4" w:rsidRPr="00875978" w:rsidRDefault="00907AB4" w:rsidP="004415B8">
            <w:pPr>
              <w:pStyle w:val="NoSpacing"/>
            </w:pPr>
          </w:p>
        </w:tc>
      </w:tr>
      <w:tr w:rsidR="00907AB4" w:rsidRPr="00875978" w14:paraId="4A053D64"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7B2D90F" w14:textId="77777777" w:rsidR="00907AB4" w:rsidRPr="00C72B82" w:rsidRDefault="00907AB4" w:rsidP="004415B8">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33DEEF7" w14:textId="77777777" w:rsidR="00907AB4" w:rsidRPr="00875978" w:rsidRDefault="00907AB4" w:rsidP="004415B8">
            <w:pPr>
              <w:pStyle w:val="NoSpacing"/>
            </w:pPr>
          </w:p>
        </w:tc>
      </w:tr>
      <w:tr w:rsidR="00907AB4" w:rsidRPr="00875978" w14:paraId="5AAB316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4610FFFE" w14:textId="77777777" w:rsidR="00907AB4" w:rsidRPr="00C72B82" w:rsidRDefault="00907AB4" w:rsidP="004415B8">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153984E0" w14:textId="77777777" w:rsidR="00907AB4" w:rsidRPr="00875978" w:rsidRDefault="00907AB4" w:rsidP="004415B8">
            <w:pPr>
              <w:pStyle w:val="NoSpacing"/>
            </w:pPr>
          </w:p>
        </w:tc>
      </w:tr>
      <w:tr w:rsidR="00907AB4" w:rsidRPr="00875978" w14:paraId="2D1AA3EF"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49441AB" w14:textId="1E5B5290" w:rsidR="00907AB4" w:rsidRPr="00C72B82" w:rsidRDefault="00907AB4" w:rsidP="00E94092">
            <w:pPr>
              <w:pStyle w:val="NoSpacing"/>
              <w:rPr>
                <w:b/>
              </w:rPr>
            </w:pPr>
            <w:r>
              <w:rPr>
                <w:b/>
              </w:rPr>
              <w:t>Te</w:t>
            </w:r>
            <w:r w:rsidR="00E94092">
              <w:rPr>
                <w:b/>
              </w:rPr>
              <w:t>i</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76A82EDC" w14:textId="77777777" w:rsidR="00907AB4" w:rsidRPr="00875978" w:rsidRDefault="00907AB4" w:rsidP="004415B8">
            <w:pPr>
              <w:pStyle w:val="NoSpacing"/>
            </w:pPr>
          </w:p>
        </w:tc>
      </w:tr>
      <w:tr w:rsidR="00907AB4" w:rsidRPr="00875978" w14:paraId="41D770B1"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20FE4F5" w14:textId="00C191E1" w:rsidR="00907AB4" w:rsidRPr="00C72B82" w:rsidRDefault="00907AB4" w:rsidP="00E94092">
            <w:pPr>
              <w:pStyle w:val="NoSpacing"/>
              <w:rPr>
                <w:b/>
              </w:rPr>
            </w:pPr>
            <w:r>
              <w:rPr>
                <w:b/>
                <w:bCs/>
                <w:iCs/>
              </w:rPr>
              <w:t>Te</w:t>
            </w:r>
            <w:r w:rsidR="00E94092">
              <w:rPr>
                <w:b/>
                <w:bCs/>
                <w:iCs/>
              </w:rPr>
              <w:t>i</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66CF82BD" w14:textId="77777777" w:rsidR="00907AB4" w:rsidRPr="00875978" w:rsidRDefault="00907AB4" w:rsidP="004415B8">
            <w:pPr>
              <w:pStyle w:val="NoSpacing"/>
            </w:pPr>
          </w:p>
        </w:tc>
      </w:tr>
      <w:tr w:rsidR="00907AB4" w:rsidRPr="00875978" w14:paraId="2380D7A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10AFC96" w14:textId="0FA1F339" w:rsidR="00907AB4" w:rsidRPr="00C72B82" w:rsidRDefault="00907AB4" w:rsidP="00E94092">
            <w:pPr>
              <w:pStyle w:val="NoSpacing"/>
              <w:rPr>
                <w:b/>
                <w:bCs/>
                <w:iCs/>
              </w:rPr>
            </w:pPr>
            <w:r>
              <w:rPr>
                <w:b/>
                <w:bCs/>
                <w:iCs/>
              </w:rPr>
              <w:t>Te</w:t>
            </w:r>
            <w:r w:rsidR="00E94092">
              <w:rPr>
                <w:b/>
                <w:bCs/>
                <w:iCs/>
              </w:rPr>
              <w:t>i</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1D88C882" w14:textId="77777777" w:rsidR="00907AB4" w:rsidRPr="00875978" w:rsidRDefault="00907AB4" w:rsidP="004415B8">
            <w:pPr>
              <w:pStyle w:val="NoSpacing"/>
            </w:pPr>
          </w:p>
        </w:tc>
      </w:tr>
      <w:tr w:rsidR="00907AB4" w:rsidRPr="00875978" w14:paraId="5FE29DF8"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0DEF2E3" w14:textId="77777777" w:rsidR="00907AB4" w:rsidRPr="00C72B82" w:rsidRDefault="00907AB4" w:rsidP="004415B8">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2418A0EE" w14:textId="77777777" w:rsidR="00907AB4" w:rsidRPr="00875978" w:rsidRDefault="00907AB4" w:rsidP="004415B8">
            <w:pPr>
              <w:pStyle w:val="NoSpacing"/>
            </w:pPr>
          </w:p>
        </w:tc>
      </w:tr>
    </w:tbl>
    <w:p w14:paraId="13D30A93" w14:textId="77777777" w:rsidR="00907AB4" w:rsidRDefault="00907AB4" w:rsidP="00907AB4">
      <w:pPr>
        <w:spacing w:line="259" w:lineRule="auto"/>
        <w:ind w:left="720"/>
        <w:jc w:val="center"/>
        <w:rPr>
          <w:bCs/>
        </w:rPr>
      </w:pPr>
    </w:p>
    <w:bookmarkEnd w:id="1"/>
    <w:p w14:paraId="22497289" w14:textId="40647B1E" w:rsidR="00907AB4" w:rsidRPr="00E94092" w:rsidRDefault="00907AB4" w:rsidP="00E94092">
      <w:pPr>
        <w:pStyle w:val="ListParagraph"/>
        <w:numPr>
          <w:ilvl w:val="0"/>
          <w:numId w:val="11"/>
        </w:numPr>
        <w:shd w:val="clear" w:color="auto" w:fill="FFFFFF"/>
        <w:jc w:val="center"/>
        <w:rPr>
          <w:b/>
          <w:bCs/>
        </w:rPr>
      </w:pPr>
      <w:r w:rsidRPr="00E94092">
        <w:rPr>
          <w:b/>
          <w:bCs/>
        </w:rPr>
        <w:t>INFORMACIJA APIE SUBTE</w:t>
      </w:r>
      <w:r w:rsidR="00E94092" w:rsidRPr="00E94092">
        <w:rPr>
          <w:b/>
          <w:bCs/>
        </w:rPr>
        <w:t>I</w:t>
      </w:r>
      <w:r w:rsidRPr="00E94092">
        <w:rPr>
          <w:b/>
          <w:bCs/>
        </w:rPr>
        <w:t>KĖJUS</w:t>
      </w:r>
    </w:p>
    <w:p w14:paraId="16972B4A" w14:textId="77777777" w:rsidR="00E94092" w:rsidRPr="00E94092" w:rsidRDefault="00E94092" w:rsidP="00272DEB">
      <w:pPr>
        <w:pStyle w:val="ListParagraph"/>
        <w:shd w:val="clear" w:color="auto" w:fill="FFFFFF"/>
        <w:rPr>
          <w:b/>
          <w:bCs/>
        </w:rPr>
      </w:pPr>
    </w:p>
    <w:p w14:paraId="76BBB008" w14:textId="77777777" w:rsidR="00907AB4" w:rsidRPr="00875978" w:rsidRDefault="00907AB4" w:rsidP="00907AB4">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42D08AC5" w14:textId="77777777" w:rsidTr="004415B8">
        <w:tc>
          <w:tcPr>
            <w:tcW w:w="3040" w:type="pct"/>
            <w:tcBorders>
              <w:top w:val="single" w:sz="4" w:space="0" w:color="auto"/>
              <w:left w:val="single" w:sz="4" w:space="0" w:color="auto"/>
              <w:bottom w:val="single" w:sz="4" w:space="0" w:color="auto"/>
              <w:right w:val="single" w:sz="4" w:space="0" w:color="auto"/>
            </w:tcBorders>
          </w:tcPr>
          <w:p w14:paraId="195D20F0" w14:textId="77777777" w:rsidR="00907AB4" w:rsidRPr="00C72B82" w:rsidRDefault="00907AB4" w:rsidP="004415B8">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24C55EBF" w14:textId="77777777" w:rsidR="00907AB4" w:rsidRPr="00875978" w:rsidRDefault="00907AB4" w:rsidP="004415B8">
            <w:pPr>
              <w:pStyle w:val="NoSpacing"/>
            </w:pPr>
          </w:p>
        </w:tc>
      </w:tr>
      <w:tr w:rsidR="00907AB4" w:rsidRPr="00875978" w14:paraId="11122062" w14:textId="77777777" w:rsidTr="004415B8">
        <w:tc>
          <w:tcPr>
            <w:tcW w:w="3040" w:type="pct"/>
            <w:tcBorders>
              <w:top w:val="single" w:sz="4" w:space="0" w:color="auto"/>
              <w:left w:val="single" w:sz="4" w:space="0" w:color="auto"/>
              <w:bottom w:val="single" w:sz="4" w:space="0" w:color="auto"/>
              <w:right w:val="single" w:sz="4" w:space="0" w:color="auto"/>
            </w:tcBorders>
          </w:tcPr>
          <w:p w14:paraId="5568890C" w14:textId="77777777" w:rsidR="00907AB4" w:rsidRPr="00C72B82" w:rsidRDefault="00907AB4" w:rsidP="004415B8">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265E7744" w14:textId="77777777" w:rsidR="00907AB4" w:rsidRPr="00875978" w:rsidRDefault="00907AB4" w:rsidP="004415B8">
            <w:pPr>
              <w:pStyle w:val="NoSpacing"/>
            </w:pPr>
          </w:p>
        </w:tc>
      </w:tr>
      <w:tr w:rsidR="00907AB4" w:rsidRPr="00875978" w14:paraId="6392CAD1" w14:textId="77777777" w:rsidTr="004415B8">
        <w:tc>
          <w:tcPr>
            <w:tcW w:w="3040" w:type="pct"/>
            <w:tcBorders>
              <w:top w:val="single" w:sz="4" w:space="0" w:color="auto"/>
              <w:left w:val="single" w:sz="4" w:space="0" w:color="auto"/>
              <w:bottom w:val="single" w:sz="4" w:space="0" w:color="auto"/>
              <w:right w:val="single" w:sz="4" w:space="0" w:color="auto"/>
            </w:tcBorders>
          </w:tcPr>
          <w:p w14:paraId="7F70F74F" w14:textId="77777777" w:rsidR="00907AB4" w:rsidRPr="00C72B82" w:rsidRDefault="00907AB4" w:rsidP="004415B8">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2BCC9C3E" w14:textId="77777777" w:rsidR="00907AB4" w:rsidRPr="00875978" w:rsidRDefault="00907AB4" w:rsidP="004415B8">
            <w:pPr>
              <w:pStyle w:val="NoSpacing"/>
            </w:pPr>
          </w:p>
        </w:tc>
      </w:tr>
    </w:tbl>
    <w:p w14:paraId="117B9B08" w14:textId="77777777" w:rsidR="00907AB4" w:rsidRPr="00875978" w:rsidRDefault="00907AB4" w:rsidP="00907AB4">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4DF732FC" w14:textId="77777777" w:rsidR="00907AB4" w:rsidRPr="00875978" w:rsidRDefault="00907AB4" w:rsidP="00907AB4">
      <w:pPr>
        <w:pStyle w:val="NoSpacing"/>
        <w:jc w:val="both"/>
      </w:pPr>
      <w:r w:rsidRPr="00875978">
        <w:t>Suprantame, kad išaiškėjus aukščiau nurodytoms aplinkybėms būsime pašalinti iš šio pirkimo ir mūsų pateiktas pasiūlymas bus atmestas.</w:t>
      </w:r>
    </w:p>
    <w:p w14:paraId="66C83D36" w14:textId="77777777" w:rsidR="00E94092" w:rsidRDefault="00E94092" w:rsidP="00DE1360">
      <w:pPr>
        <w:jc w:val="center"/>
        <w:rPr>
          <w:b/>
        </w:rPr>
      </w:pPr>
    </w:p>
    <w:p w14:paraId="21C1550F" w14:textId="71A40203" w:rsidR="00324E3D" w:rsidRPr="00E94092" w:rsidRDefault="00200BD4" w:rsidP="00E94092">
      <w:pPr>
        <w:pStyle w:val="ListParagraph"/>
        <w:numPr>
          <w:ilvl w:val="0"/>
          <w:numId w:val="12"/>
        </w:numPr>
        <w:jc w:val="center"/>
        <w:rPr>
          <w:b/>
        </w:rPr>
      </w:pPr>
      <w:r w:rsidRPr="00E94092">
        <w:rPr>
          <w:b/>
        </w:rPr>
        <w:lastRenderedPageBreak/>
        <w:t>PASIŪLYMO KAINA</w:t>
      </w:r>
    </w:p>
    <w:p w14:paraId="5E5489C9" w14:textId="77777777" w:rsidR="00E94092" w:rsidRPr="00E94092" w:rsidRDefault="00E94092" w:rsidP="00E94092">
      <w:pPr>
        <w:pStyle w:val="ListParagraph"/>
        <w:ind w:left="1080"/>
        <w:rPr>
          <w:color w:val="2E74B5" w:themeColor="accent1" w:themeShade="BF"/>
        </w:rPr>
      </w:pPr>
    </w:p>
    <w:p w14:paraId="2E10DCD1" w14:textId="70639C74" w:rsidR="00AF0CFA" w:rsidRPr="00AF0CFA" w:rsidRDefault="00200BD4" w:rsidP="00AF0CFA">
      <w:pPr>
        <w:widowControl w:val="0"/>
        <w:jc w:val="both"/>
        <w:rPr>
          <w:color w:val="000000" w:themeColor="text1"/>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1A64E8">
        <w:t xml:space="preserve">. </w:t>
      </w:r>
      <w:r w:rsidR="001A64E8" w:rsidRPr="001A64E8">
        <w:rPr>
          <w:b/>
        </w:rPr>
        <w:t>Kainos</w:t>
      </w:r>
      <w:r w:rsidR="00C43ABD">
        <w:rPr>
          <w:b/>
        </w:rPr>
        <w:t xml:space="preserve"> ir įkainiai</w:t>
      </w:r>
      <w:r w:rsidR="001A64E8" w:rsidRPr="001A64E8">
        <w:rPr>
          <w:b/>
        </w:rPr>
        <w:t xml:space="preserve"> turi būti nurodyt</w:t>
      </w:r>
      <w:r w:rsidR="00C43ABD">
        <w:rPr>
          <w:b/>
        </w:rPr>
        <w:t>i</w:t>
      </w:r>
      <w:r w:rsidR="001A64E8" w:rsidRPr="001A64E8">
        <w:rPr>
          <w:b/>
        </w:rPr>
        <w:t xml:space="preserve"> su visomis papildomomis su sutarties įvykdymu susijusiomis išlaidomis.</w:t>
      </w:r>
      <w:r w:rsidR="00AF0CFA">
        <w:rPr>
          <w:b/>
        </w:rPr>
        <w:t xml:space="preserve"> </w:t>
      </w:r>
      <w:r w:rsidR="00AF0CFA" w:rsidRPr="00AF0CFA">
        <w:rPr>
          <w:color w:val="000000" w:themeColor="text1"/>
        </w:rPr>
        <w:t>Pasiūlymo 1 mėnesio paslaugos įkainis negali viršyti perkančiosios organizacijos maksimalaus leidžiamo paslaugos įkainio</w:t>
      </w:r>
      <w:r w:rsidR="00AF0CFA">
        <w:rPr>
          <w:color w:val="000000" w:themeColor="text1"/>
        </w:rPr>
        <w:t xml:space="preserve"> (3 stulpelis)</w:t>
      </w:r>
      <w:r w:rsidR="00AF0CFA" w:rsidRPr="00AF0CFA">
        <w:rPr>
          <w:color w:val="000000" w:themeColor="text1"/>
        </w:rPr>
        <w:t>. Viršijus šį įkainį, pasiūlymas bus atmetamas.</w:t>
      </w:r>
    </w:p>
    <w:p w14:paraId="501C9100" w14:textId="57F3F812" w:rsidR="00324E3D" w:rsidRPr="001A64E8" w:rsidRDefault="00324E3D" w:rsidP="00200BD4">
      <w:pPr>
        <w:spacing w:before="60" w:after="60"/>
        <w:jc w:val="both"/>
        <w:rPr>
          <w:b/>
        </w:rPr>
      </w:pPr>
    </w:p>
    <w:tbl>
      <w:tblPr>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79"/>
        <w:gridCol w:w="1150"/>
        <w:gridCol w:w="2266"/>
        <w:gridCol w:w="1558"/>
        <w:gridCol w:w="1897"/>
      </w:tblGrid>
      <w:tr w:rsidR="00940697" w:rsidRPr="00152C1E" w14:paraId="1EB58671" w14:textId="77777777" w:rsidTr="00AF0CFA">
        <w:trPr>
          <w:trHeight w:val="309"/>
          <w:jc w:val="center"/>
        </w:trPr>
        <w:tc>
          <w:tcPr>
            <w:tcW w:w="6079" w:type="dxa"/>
            <w:shd w:val="clear" w:color="auto" w:fill="D9E2F3" w:themeFill="accent5" w:themeFillTint="33"/>
            <w:vAlign w:val="center"/>
          </w:tcPr>
          <w:p w14:paraId="289CA5B4" w14:textId="77777777" w:rsidR="00940697" w:rsidRPr="00152C1E" w:rsidRDefault="00940697" w:rsidP="0037173D">
            <w:pPr>
              <w:spacing w:before="60" w:after="60"/>
              <w:jc w:val="center"/>
              <w:rPr>
                <w:b/>
                <w:iCs/>
              </w:rPr>
            </w:pPr>
            <w:r w:rsidRPr="00152C1E">
              <w:rPr>
                <w:b/>
                <w:iCs/>
              </w:rPr>
              <w:t>Pirkimo objektas</w:t>
            </w:r>
          </w:p>
        </w:tc>
        <w:tc>
          <w:tcPr>
            <w:tcW w:w="1150" w:type="dxa"/>
            <w:shd w:val="clear" w:color="auto" w:fill="D9E2F3" w:themeFill="accent5" w:themeFillTint="33"/>
            <w:vAlign w:val="center"/>
          </w:tcPr>
          <w:p w14:paraId="302D7E81" w14:textId="580F6640" w:rsidR="00940697" w:rsidRPr="00152C1E" w:rsidRDefault="00940697" w:rsidP="0037173D">
            <w:pPr>
              <w:spacing w:before="60" w:after="60"/>
              <w:jc w:val="center"/>
              <w:rPr>
                <w:b/>
              </w:rPr>
            </w:pPr>
            <w:r>
              <w:rPr>
                <w:b/>
              </w:rPr>
              <w:t>Paslaugų kiekis</w:t>
            </w:r>
          </w:p>
        </w:tc>
        <w:tc>
          <w:tcPr>
            <w:tcW w:w="2266" w:type="dxa"/>
            <w:shd w:val="clear" w:color="auto" w:fill="D9E2F3" w:themeFill="accent5" w:themeFillTint="33"/>
            <w:vAlign w:val="center"/>
          </w:tcPr>
          <w:p w14:paraId="47634BD4" w14:textId="0E08DC71" w:rsidR="00940697" w:rsidRPr="006D4A77" w:rsidRDefault="00940697" w:rsidP="00C43ABD">
            <w:pPr>
              <w:spacing w:before="60" w:after="60"/>
              <w:jc w:val="center"/>
              <w:rPr>
                <w:b/>
              </w:rPr>
            </w:pPr>
            <w:r w:rsidRPr="00940697">
              <w:rPr>
                <w:b/>
                <w:color w:val="FF0000"/>
              </w:rPr>
              <w:t>Perkančiosios organizacijos maksimalus leidžiamas 1 mėnesio paslaugos įkainis, EUR be PVM</w:t>
            </w:r>
          </w:p>
        </w:tc>
        <w:tc>
          <w:tcPr>
            <w:tcW w:w="1558" w:type="dxa"/>
            <w:shd w:val="clear" w:color="auto" w:fill="D9E2F3" w:themeFill="accent5" w:themeFillTint="33"/>
            <w:vAlign w:val="center"/>
          </w:tcPr>
          <w:p w14:paraId="140B62B0" w14:textId="53F15D79" w:rsidR="00940697" w:rsidRPr="006D4A77" w:rsidRDefault="00940697" w:rsidP="00C43ABD">
            <w:pPr>
              <w:spacing w:before="60" w:after="60"/>
              <w:jc w:val="center"/>
              <w:rPr>
                <w:b/>
              </w:rPr>
            </w:pPr>
            <w:r>
              <w:rPr>
                <w:b/>
              </w:rPr>
              <w:t>Siūlomas paslaugos įkainis</w:t>
            </w:r>
            <w:r w:rsidRPr="006D4A77">
              <w:rPr>
                <w:b/>
              </w:rPr>
              <w:t>, EUR</w:t>
            </w:r>
            <w:r>
              <w:rPr>
                <w:b/>
              </w:rPr>
              <w:t xml:space="preserve"> be PVM</w:t>
            </w:r>
          </w:p>
        </w:tc>
        <w:tc>
          <w:tcPr>
            <w:tcW w:w="1897" w:type="dxa"/>
            <w:shd w:val="clear" w:color="auto" w:fill="D9E2F3" w:themeFill="accent5" w:themeFillTint="33"/>
            <w:vAlign w:val="center"/>
          </w:tcPr>
          <w:p w14:paraId="5A202843" w14:textId="185B5426" w:rsidR="00940697" w:rsidRPr="006D4A77" w:rsidRDefault="00940697" w:rsidP="00C43ABD">
            <w:pPr>
              <w:spacing w:before="60" w:after="60"/>
              <w:jc w:val="center"/>
              <w:rPr>
                <w:b/>
              </w:rPr>
            </w:pPr>
            <w:r>
              <w:rPr>
                <w:b/>
              </w:rPr>
              <w:t>Viso laikotarpio palyginamoji kaina, EUR be PVM</w:t>
            </w:r>
            <w:r w:rsidR="00AF0CFA">
              <w:rPr>
                <w:b/>
              </w:rPr>
              <w:t xml:space="preserve"> (2x4)</w:t>
            </w:r>
          </w:p>
        </w:tc>
      </w:tr>
      <w:tr w:rsidR="00AF0CFA" w:rsidRPr="00152C1E" w14:paraId="262616F4" w14:textId="77777777" w:rsidTr="00AF0CFA">
        <w:trPr>
          <w:trHeight w:val="296"/>
          <w:jc w:val="center"/>
        </w:trPr>
        <w:tc>
          <w:tcPr>
            <w:tcW w:w="6079" w:type="dxa"/>
            <w:vAlign w:val="center"/>
          </w:tcPr>
          <w:p w14:paraId="4FBB7346" w14:textId="77777777" w:rsidR="00AF0CFA" w:rsidRPr="00152C1E" w:rsidRDefault="00AF0CFA" w:rsidP="00213A02">
            <w:pPr>
              <w:spacing w:before="60" w:after="60"/>
              <w:jc w:val="center"/>
              <w:rPr>
                <w:i/>
              </w:rPr>
            </w:pPr>
            <w:r w:rsidRPr="00152C1E">
              <w:rPr>
                <w:i/>
                <w:iCs/>
              </w:rPr>
              <w:t>1</w:t>
            </w:r>
          </w:p>
        </w:tc>
        <w:tc>
          <w:tcPr>
            <w:tcW w:w="1150" w:type="dxa"/>
            <w:vAlign w:val="center"/>
          </w:tcPr>
          <w:p w14:paraId="3AD45015" w14:textId="64D7A449" w:rsidR="00AF0CFA" w:rsidRPr="00152C1E" w:rsidRDefault="00AF0CFA" w:rsidP="00213A02">
            <w:pPr>
              <w:spacing w:before="60" w:after="60"/>
              <w:jc w:val="center"/>
              <w:rPr>
                <w:i/>
              </w:rPr>
            </w:pPr>
            <w:r>
              <w:rPr>
                <w:i/>
              </w:rPr>
              <w:t>2</w:t>
            </w:r>
          </w:p>
        </w:tc>
        <w:tc>
          <w:tcPr>
            <w:tcW w:w="2266" w:type="dxa"/>
            <w:vAlign w:val="center"/>
          </w:tcPr>
          <w:p w14:paraId="0713F5C4" w14:textId="3A048B3D" w:rsidR="00AF0CFA" w:rsidRPr="00152C1E" w:rsidRDefault="00AF0CFA" w:rsidP="00213A02">
            <w:pPr>
              <w:spacing w:before="60" w:after="60"/>
              <w:jc w:val="center"/>
              <w:rPr>
                <w:i/>
              </w:rPr>
            </w:pPr>
            <w:r>
              <w:rPr>
                <w:i/>
              </w:rPr>
              <w:t>3</w:t>
            </w:r>
          </w:p>
        </w:tc>
        <w:tc>
          <w:tcPr>
            <w:tcW w:w="1558" w:type="dxa"/>
            <w:vAlign w:val="center"/>
          </w:tcPr>
          <w:p w14:paraId="7B26A62F" w14:textId="51F9E5AA" w:rsidR="00AF0CFA" w:rsidRPr="00152C1E" w:rsidRDefault="00AF0CFA" w:rsidP="00213A02">
            <w:pPr>
              <w:spacing w:before="60" w:after="60"/>
              <w:jc w:val="center"/>
              <w:rPr>
                <w:i/>
              </w:rPr>
            </w:pPr>
            <w:r>
              <w:rPr>
                <w:i/>
              </w:rPr>
              <w:t>4</w:t>
            </w:r>
          </w:p>
        </w:tc>
        <w:tc>
          <w:tcPr>
            <w:tcW w:w="1897" w:type="dxa"/>
            <w:vAlign w:val="center"/>
          </w:tcPr>
          <w:p w14:paraId="7F70D19B" w14:textId="5F570B5D" w:rsidR="00AF0CFA" w:rsidRPr="00152C1E" w:rsidRDefault="00AF0CFA" w:rsidP="00213A02">
            <w:pPr>
              <w:spacing w:before="60" w:after="60"/>
              <w:jc w:val="center"/>
              <w:rPr>
                <w:i/>
              </w:rPr>
            </w:pPr>
            <w:r>
              <w:rPr>
                <w:i/>
              </w:rPr>
              <w:t>5</w:t>
            </w:r>
          </w:p>
        </w:tc>
      </w:tr>
      <w:tr w:rsidR="00940697" w:rsidRPr="00152C1E" w14:paraId="44D81E56" w14:textId="77777777" w:rsidTr="00AF0CFA">
        <w:trPr>
          <w:jc w:val="center"/>
        </w:trPr>
        <w:tc>
          <w:tcPr>
            <w:tcW w:w="6079" w:type="dxa"/>
            <w:vAlign w:val="center"/>
          </w:tcPr>
          <w:p w14:paraId="013641BF" w14:textId="77777777" w:rsidR="00940697" w:rsidRPr="006A0FF7" w:rsidRDefault="00940697" w:rsidP="006A0FF7">
            <w:pPr>
              <w:spacing w:before="60" w:after="60"/>
              <w:rPr>
                <w:iCs/>
                <w:color w:val="000000" w:themeColor="text1"/>
              </w:rPr>
            </w:pPr>
            <w:r>
              <w:rPr>
                <w:b/>
                <w:bCs/>
              </w:rPr>
              <w:t>Potencialiai pavojingų įrenginių techninės būklės priežiūros paslauga</w:t>
            </w:r>
            <w:r>
              <w:rPr>
                <w:bCs/>
              </w:rPr>
              <w:t xml:space="preserve"> (v</w:t>
            </w:r>
            <w:r w:rsidRPr="001A2208">
              <w:rPr>
                <w:bCs/>
              </w:rPr>
              <w:t xml:space="preserve">izualiai apžiūrėti </w:t>
            </w:r>
            <w:r>
              <w:rPr>
                <w:bCs/>
              </w:rPr>
              <w:t xml:space="preserve">antžemines </w:t>
            </w:r>
            <w:r w:rsidRPr="001A2208">
              <w:rPr>
                <w:bCs/>
              </w:rPr>
              <w:t>kuro talpyklas</w:t>
            </w:r>
            <w:r>
              <w:rPr>
                <w:bCs/>
              </w:rPr>
              <w:t xml:space="preserve"> – 1 vnt. - 30 m</w:t>
            </w:r>
            <w:r>
              <w:rPr>
                <w:bCs/>
                <w:vertAlign w:val="superscript"/>
              </w:rPr>
              <w:t>3</w:t>
            </w:r>
            <w:r w:rsidRPr="001A2208">
              <w:rPr>
                <w:bCs/>
              </w:rPr>
              <w:t xml:space="preserve">, </w:t>
            </w:r>
            <w:r>
              <w:rPr>
                <w:bCs/>
              </w:rPr>
              <w:t xml:space="preserve">kuro išdavimo kolonėles – 1 vnt., </w:t>
            </w:r>
            <w:r w:rsidRPr="001A2208">
              <w:rPr>
                <w:bCs/>
              </w:rPr>
              <w:t>nustatyti trūkumus ir defektus, surašyti juos į įre</w:t>
            </w:r>
            <w:r>
              <w:rPr>
                <w:bCs/>
              </w:rPr>
              <w:t>nginių priežiūros žurnalą).</w:t>
            </w:r>
          </w:p>
        </w:tc>
        <w:tc>
          <w:tcPr>
            <w:tcW w:w="1150" w:type="dxa"/>
            <w:vAlign w:val="center"/>
          </w:tcPr>
          <w:p w14:paraId="1C6EF022" w14:textId="7934CF3D" w:rsidR="00940697" w:rsidRPr="006A0FF7" w:rsidRDefault="00940697" w:rsidP="006A0FF7">
            <w:pPr>
              <w:spacing w:before="60" w:after="60"/>
              <w:rPr>
                <w:iCs/>
                <w:color w:val="000000" w:themeColor="text1"/>
              </w:rPr>
            </w:pPr>
            <w:r>
              <w:rPr>
                <w:iCs/>
                <w:color w:val="000000" w:themeColor="text1"/>
              </w:rPr>
              <w:t>36 kartai</w:t>
            </w:r>
          </w:p>
        </w:tc>
        <w:tc>
          <w:tcPr>
            <w:tcW w:w="2266" w:type="dxa"/>
            <w:vAlign w:val="center"/>
          </w:tcPr>
          <w:p w14:paraId="576C6A7A" w14:textId="6E55052C" w:rsidR="00940697" w:rsidRPr="00152C1E" w:rsidRDefault="00940697" w:rsidP="00940697">
            <w:pPr>
              <w:spacing w:before="60" w:after="60"/>
              <w:ind w:firstLine="41"/>
              <w:jc w:val="center"/>
            </w:pPr>
            <w:r w:rsidRPr="00AF0CFA">
              <w:rPr>
                <w:color w:val="FF0000"/>
              </w:rPr>
              <w:t>206,61</w:t>
            </w:r>
          </w:p>
        </w:tc>
        <w:tc>
          <w:tcPr>
            <w:tcW w:w="1558" w:type="dxa"/>
            <w:vAlign w:val="center"/>
          </w:tcPr>
          <w:p w14:paraId="04D2C7FF" w14:textId="77777777" w:rsidR="00940697" w:rsidRPr="00152C1E" w:rsidRDefault="00940697" w:rsidP="003B0A32">
            <w:pPr>
              <w:spacing w:before="60" w:after="60"/>
              <w:ind w:firstLine="41"/>
            </w:pPr>
          </w:p>
        </w:tc>
        <w:tc>
          <w:tcPr>
            <w:tcW w:w="1897" w:type="dxa"/>
            <w:vAlign w:val="center"/>
          </w:tcPr>
          <w:p w14:paraId="27641075" w14:textId="2FBD1B73" w:rsidR="00940697" w:rsidRPr="00152C1E" w:rsidRDefault="00940697" w:rsidP="003B0A32">
            <w:pPr>
              <w:spacing w:before="60" w:after="60"/>
              <w:ind w:firstLine="41"/>
            </w:pPr>
          </w:p>
        </w:tc>
      </w:tr>
      <w:tr w:rsidR="00940697" w:rsidRPr="00152C1E" w14:paraId="694EFAE0" w14:textId="77777777" w:rsidTr="00AF0CFA">
        <w:trPr>
          <w:jc w:val="center"/>
        </w:trPr>
        <w:tc>
          <w:tcPr>
            <w:tcW w:w="11053" w:type="dxa"/>
            <w:gridSpan w:val="4"/>
            <w:vAlign w:val="center"/>
          </w:tcPr>
          <w:p w14:paraId="7965D73D" w14:textId="77777777" w:rsidR="00940697" w:rsidRPr="00152C1E" w:rsidRDefault="00940697" w:rsidP="00AF0CFA">
            <w:pPr>
              <w:spacing w:before="60" w:after="60"/>
              <w:ind w:firstLine="41"/>
              <w:jc w:val="right"/>
            </w:pPr>
            <w:r w:rsidRPr="00940697">
              <w:rPr>
                <w:b/>
                <w:bCs/>
              </w:rPr>
              <w:t>Pasiūlymo palyginamoji kaina, EUR be PVM</w:t>
            </w:r>
          </w:p>
        </w:tc>
        <w:tc>
          <w:tcPr>
            <w:tcW w:w="1897" w:type="dxa"/>
            <w:vAlign w:val="center"/>
          </w:tcPr>
          <w:p w14:paraId="3CD24287" w14:textId="620BCA89" w:rsidR="00940697" w:rsidRPr="00152C1E" w:rsidRDefault="00940697" w:rsidP="003B0A32">
            <w:pPr>
              <w:spacing w:before="60" w:after="60"/>
              <w:ind w:firstLine="41"/>
            </w:pPr>
          </w:p>
        </w:tc>
      </w:tr>
      <w:tr w:rsidR="00940697" w:rsidRPr="00152C1E" w14:paraId="250D22D8" w14:textId="77777777" w:rsidTr="00AF0CFA">
        <w:trPr>
          <w:jc w:val="center"/>
        </w:trPr>
        <w:tc>
          <w:tcPr>
            <w:tcW w:w="11053" w:type="dxa"/>
            <w:gridSpan w:val="4"/>
            <w:vAlign w:val="center"/>
          </w:tcPr>
          <w:p w14:paraId="4AA702F4" w14:textId="77777777" w:rsidR="00940697" w:rsidRDefault="00940697" w:rsidP="00AF0CFA">
            <w:pPr>
              <w:spacing w:before="60" w:after="60"/>
              <w:ind w:firstLine="41"/>
              <w:jc w:val="right"/>
              <w:rPr>
                <w:b/>
                <w:bCs/>
              </w:rPr>
            </w:pPr>
            <w:r>
              <w:rPr>
                <w:b/>
                <w:bCs/>
              </w:rPr>
              <w:t>PVM (21%)</w:t>
            </w:r>
          </w:p>
        </w:tc>
        <w:tc>
          <w:tcPr>
            <w:tcW w:w="1897" w:type="dxa"/>
            <w:vAlign w:val="center"/>
          </w:tcPr>
          <w:p w14:paraId="4452517E" w14:textId="4294344B" w:rsidR="00940697" w:rsidRPr="00152C1E" w:rsidRDefault="00940697" w:rsidP="003B0A32">
            <w:pPr>
              <w:spacing w:before="60" w:after="60"/>
              <w:ind w:firstLine="41"/>
            </w:pPr>
          </w:p>
        </w:tc>
      </w:tr>
      <w:tr w:rsidR="00940697" w:rsidRPr="00152C1E" w14:paraId="6E525636" w14:textId="77777777" w:rsidTr="00AF0CFA">
        <w:trPr>
          <w:jc w:val="center"/>
        </w:trPr>
        <w:tc>
          <w:tcPr>
            <w:tcW w:w="11053" w:type="dxa"/>
            <w:gridSpan w:val="4"/>
            <w:tcBorders>
              <w:bottom w:val="single" w:sz="4" w:space="0" w:color="auto"/>
            </w:tcBorders>
            <w:vAlign w:val="center"/>
          </w:tcPr>
          <w:p w14:paraId="04CDC8EA" w14:textId="77777777" w:rsidR="00940697" w:rsidRPr="00152C1E" w:rsidRDefault="00940697" w:rsidP="00AF0CFA">
            <w:pPr>
              <w:spacing w:before="60" w:after="60"/>
              <w:ind w:firstLine="41"/>
              <w:jc w:val="right"/>
            </w:pPr>
            <w:r w:rsidRPr="00940697">
              <w:rPr>
                <w:b/>
                <w:bCs/>
              </w:rPr>
              <w:t xml:space="preserve">Pasiūlymo palyginamoji kaina, EUR </w:t>
            </w:r>
            <w:r>
              <w:rPr>
                <w:b/>
                <w:bCs/>
              </w:rPr>
              <w:t>su</w:t>
            </w:r>
            <w:r w:rsidRPr="00940697">
              <w:rPr>
                <w:b/>
                <w:bCs/>
              </w:rPr>
              <w:t xml:space="preserve"> PVM</w:t>
            </w:r>
          </w:p>
        </w:tc>
        <w:tc>
          <w:tcPr>
            <w:tcW w:w="1897" w:type="dxa"/>
            <w:tcBorders>
              <w:bottom w:val="single" w:sz="4" w:space="0" w:color="auto"/>
            </w:tcBorders>
            <w:vAlign w:val="center"/>
          </w:tcPr>
          <w:p w14:paraId="2ACF508F" w14:textId="05DCDB18" w:rsidR="00940697" w:rsidRPr="00152C1E" w:rsidRDefault="00940697" w:rsidP="003B0A32">
            <w:pPr>
              <w:spacing w:before="60" w:after="60"/>
              <w:ind w:firstLine="41"/>
            </w:pPr>
          </w:p>
        </w:tc>
      </w:tr>
    </w:tbl>
    <w:p w14:paraId="101F9A84" w14:textId="77777777" w:rsidR="00326D6A" w:rsidRDefault="00326D6A" w:rsidP="008B527B">
      <w:pPr>
        <w:rPr>
          <w:b/>
        </w:rPr>
      </w:pPr>
    </w:p>
    <w:p w14:paraId="0E196272" w14:textId="2A663561" w:rsidR="008B527B" w:rsidRDefault="008B527B" w:rsidP="008B527B">
      <w:pPr>
        <w:rPr>
          <w:b/>
        </w:rPr>
      </w:pPr>
      <w:r w:rsidRPr="00152C1E">
        <w:rPr>
          <w:b/>
        </w:rPr>
        <w:t>Pasiūlymo kaina žodžiais: _____________________________________________________________________</w:t>
      </w:r>
      <w:r w:rsidR="00D52961">
        <w:rPr>
          <w:b/>
        </w:rPr>
        <w:t>___</w:t>
      </w:r>
      <w:r w:rsidR="00326D6A">
        <w:rPr>
          <w:b/>
        </w:rPr>
        <w:t>____</w:t>
      </w:r>
      <w:r w:rsidR="00D52961">
        <w:rPr>
          <w:b/>
        </w:rPr>
        <w:t>_____</w:t>
      </w:r>
      <w:r w:rsidRPr="00152C1E">
        <w:rPr>
          <w:b/>
        </w:rPr>
        <w:t>_</w:t>
      </w:r>
      <w:r w:rsidR="00326D6A">
        <w:rPr>
          <w:b/>
        </w:rPr>
        <w:t xml:space="preserve"> .</w:t>
      </w:r>
    </w:p>
    <w:p w14:paraId="710492EE" w14:textId="77777777" w:rsidR="003B0A32" w:rsidRDefault="003B0A32" w:rsidP="002C0F99">
      <w:pPr>
        <w:jc w:val="both"/>
      </w:pPr>
      <w:bookmarkStart w:id="2" w:name="_Hlk495407184"/>
    </w:p>
    <w:bookmarkEnd w:id="2"/>
    <w:p w14:paraId="1E8F07CF" w14:textId="3D8B5DFB" w:rsidR="00E42A4B" w:rsidRDefault="003B0A32" w:rsidP="008B527B">
      <w:pPr>
        <w:widowControl w:val="0"/>
        <w:jc w:val="both"/>
      </w:pPr>
      <w:r>
        <w:t xml:space="preserve">*Visos kainos ir įkainiai </w:t>
      </w:r>
      <w:r w:rsidR="00326D6A">
        <w:t>turi būti pateikti nurodant ne daugiau nei 2 skaičius po kablelio.</w:t>
      </w:r>
    </w:p>
    <w:p w14:paraId="64E4BC2C" w14:textId="060865B8" w:rsidR="00AF0CFA" w:rsidRDefault="00AF0CFA" w:rsidP="008B527B">
      <w:pPr>
        <w:widowControl w:val="0"/>
        <w:jc w:val="both"/>
      </w:pPr>
      <w:r>
        <w:t>**Palyginamoji kaina nėra sutarties kaina. Ji skirta pasiūlymų eilei nustatyti.</w:t>
      </w:r>
    </w:p>
    <w:p w14:paraId="3590FF19" w14:textId="77777777" w:rsidR="00E94092" w:rsidRDefault="00E94092" w:rsidP="0072256F">
      <w:pPr>
        <w:pStyle w:val="ListParagraph"/>
        <w:autoSpaceDE w:val="0"/>
        <w:autoSpaceDN w:val="0"/>
        <w:adjustRightInd w:val="0"/>
        <w:spacing w:before="60" w:after="60"/>
        <w:ind w:left="714"/>
        <w:contextualSpacing w:val="0"/>
        <w:jc w:val="center"/>
        <w:rPr>
          <w:b/>
          <w:bCs/>
        </w:rPr>
      </w:pPr>
    </w:p>
    <w:p w14:paraId="4AF7BEC1" w14:textId="419AE013" w:rsidR="00151638" w:rsidRDefault="00151638" w:rsidP="0072256F">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p w14:paraId="3355AAF0" w14:textId="77777777" w:rsidR="00E94092" w:rsidRPr="00152C1E" w:rsidRDefault="00E94092" w:rsidP="0072256F">
      <w:pPr>
        <w:pStyle w:val="ListParagraph"/>
        <w:autoSpaceDE w:val="0"/>
        <w:autoSpaceDN w:val="0"/>
        <w:adjustRightInd w:val="0"/>
        <w:spacing w:before="60" w:after="60"/>
        <w:ind w:left="714"/>
        <w:contextualSpacing w:val="0"/>
        <w:jc w:val="center"/>
      </w:pP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E94092">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lastRenderedPageBreak/>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E94092">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E94092">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50F97E29" w:rsidR="00151638" w:rsidRPr="00E94092" w:rsidRDefault="00272DEB" w:rsidP="00272DEB">
      <w:pPr>
        <w:pStyle w:val="ListParagraph"/>
        <w:autoSpaceDE w:val="0"/>
        <w:autoSpaceDN w:val="0"/>
        <w:adjustRightInd w:val="0"/>
        <w:spacing w:before="60" w:after="60"/>
        <w:ind w:left="1080"/>
        <w:jc w:val="center"/>
        <w:rPr>
          <w:b/>
          <w:bCs/>
        </w:rPr>
      </w:pPr>
      <w:r>
        <w:rPr>
          <w:b/>
          <w:bCs/>
        </w:rPr>
        <w:t>5.</w:t>
      </w:r>
      <w:r w:rsidR="00151638" w:rsidRPr="00E94092">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E94092">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1F747D27" w14:textId="77777777" w:rsidR="00151638" w:rsidRPr="00152C1E" w:rsidRDefault="00151638" w:rsidP="00E76A93">
            <w:pPr>
              <w:spacing w:before="60" w:after="60"/>
              <w:jc w:val="center"/>
              <w:rPr>
                <w:b/>
                <w:color w:val="000000" w:themeColor="text1"/>
              </w:rPr>
            </w:pPr>
            <w:r w:rsidRPr="00152C1E">
              <w:rPr>
                <w:b/>
                <w:color w:val="000000" w:themeColor="text1"/>
              </w:rPr>
              <w:t>Pateikto dokumento pavadinimas</w:t>
            </w:r>
          </w:p>
          <w:p w14:paraId="52F1FC23" w14:textId="5E08765B" w:rsidR="00151638" w:rsidRPr="00152C1E" w:rsidRDefault="00151638" w:rsidP="00291051">
            <w:pPr>
              <w:spacing w:before="60" w:after="60"/>
              <w:jc w:val="center"/>
              <w:rPr>
                <w:b/>
                <w:bCs/>
              </w:rPr>
            </w:pPr>
          </w:p>
        </w:tc>
      </w:tr>
      <w:tr w:rsidR="00151638" w:rsidRPr="00152C1E" w14:paraId="273F8D4E" w14:textId="77777777" w:rsidTr="00E94092">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E94092">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4B479BFA" w14:textId="02D3D4A6" w:rsidR="00151638" w:rsidRDefault="00C43886" w:rsidP="00C43886">
      <w:pPr>
        <w:spacing w:before="60" w:after="60"/>
        <w:ind w:firstLine="720"/>
        <w:jc w:val="center"/>
        <w:rPr>
          <w:b/>
          <w:bCs/>
        </w:rPr>
      </w:pPr>
      <w:r w:rsidRPr="00C43886">
        <w:rPr>
          <w:b/>
          <w:bCs/>
        </w:rPr>
        <w:t>6. PAPILDOMOS SĄLYGOS</w:t>
      </w:r>
    </w:p>
    <w:p w14:paraId="36DF82F6" w14:textId="5ADB87A8" w:rsidR="00973C97" w:rsidRPr="00AF0CFA" w:rsidRDefault="00E94092" w:rsidP="006D4A77">
      <w:pPr>
        <w:rPr>
          <w:bCs/>
        </w:rPr>
      </w:pPr>
      <w:r w:rsidRPr="00AF0CFA">
        <w:rPr>
          <w:bCs/>
        </w:rPr>
        <w:t>6.</w:t>
      </w:r>
      <w:r w:rsidR="006A0FF7" w:rsidRPr="00AF0CFA">
        <w:rPr>
          <w:bCs/>
        </w:rPr>
        <w:t>1</w:t>
      </w:r>
      <w:r w:rsidRPr="00AF0CFA">
        <w:rPr>
          <w:bCs/>
        </w:rPr>
        <w:t xml:space="preserve">. </w:t>
      </w:r>
      <w:r w:rsidR="006D4A77" w:rsidRPr="00AF0CFA">
        <w:rPr>
          <w:bCs/>
        </w:rPr>
        <w:t xml:space="preserve">Pirkimui taikomi žaliojo pirkimo reikalavimai </w:t>
      </w:r>
      <w:r w:rsidR="00AF0CFA">
        <w:rPr>
          <w:bCs/>
        </w:rPr>
        <w:t>v</w:t>
      </w:r>
      <w:r w:rsidR="006D4A77" w:rsidRPr="00AF0CFA">
        <w:rPr>
          <w:bCs/>
        </w:rPr>
        <w:t>adovaujantis LR Aplinkos ministro įsakymu patvirtinto Aplinkos apsaugos kriterijų taikymo, vykdant žaliuosius pirkimus, tvarkos aprašo 4.</w:t>
      </w:r>
      <w:r w:rsidR="00DC134C" w:rsidRPr="00AF0CFA">
        <w:rPr>
          <w:bCs/>
        </w:rPr>
        <w:t>4.3. punktu – perkama paslauga, nesukurianti materialaus objekto, negeneruojanti atliekų, nesuk</w:t>
      </w:r>
      <w:r w:rsidR="00AF0CFA">
        <w:rPr>
          <w:bCs/>
        </w:rPr>
        <w:t>u</w:t>
      </w:r>
      <w:r w:rsidR="00DC134C" w:rsidRPr="00AF0CFA">
        <w:rPr>
          <w:bCs/>
        </w:rPr>
        <w:t>rianti taršos šaltinio.</w:t>
      </w:r>
    </w:p>
    <w:bookmarkEnd w:id="0"/>
    <w:p w14:paraId="7B52BCA5" w14:textId="77777777" w:rsidR="00272DEB" w:rsidRPr="00957FD9" w:rsidRDefault="00272DEB" w:rsidP="00272DEB">
      <w:pPr>
        <w:tabs>
          <w:tab w:val="left" w:pos="599"/>
        </w:tabs>
        <w:ind w:right="425" w:firstLine="709"/>
        <w:jc w:val="both"/>
        <w:rPr>
          <w:b/>
        </w:rPr>
      </w:pPr>
      <w:r w:rsidRPr="00957FD9">
        <w:rPr>
          <w:b/>
        </w:rPr>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048"/>
        <w:gridCol w:w="3832"/>
        <w:gridCol w:w="3928"/>
        <w:gridCol w:w="3374"/>
      </w:tblGrid>
      <w:tr w:rsidR="00272DEB" w:rsidRPr="006314DC" w14:paraId="3BCFF775" w14:textId="77777777" w:rsidTr="00632A70">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01C125C" w14:textId="77777777" w:rsidR="00272DEB" w:rsidRPr="006314DC" w:rsidRDefault="00272DEB" w:rsidP="00632A70">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F9162F" w14:textId="77777777" w:rsidR="00272DEB" w:rsidRPr="006314DC" w:rsidRDefault="00272DEB" w:rsidP="00632A70">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D4DCD8" w14:textId="77777777" w:rsidR="00272DEB" w:rsidRPr="006314DC" w:rsidRDefault="00272DEB" w:rsidP="00632A70">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92727" w14:textId="77777777" w:rsidR="00272DEB" w:rsidRPr="006314DC" w:rsidRDefault="00272DEB" w:rsidP="00632A70">
            <w:pPr>
              <w:jc w:val="center"/>
              <w:rPr>
                <w:bCs/>
              </w:rPr>
            </w:pPr>
            <w:r w:rsidRPr="006314DC">
              <w:rPr>
                <w:bCs/>
              </w:rPr>
              <w:t>Asmuo, pasirašantis sutartį</w:t>
            </w:r>
          </w:p>
        </w:tc>
      </w:tr>
      <w:tr w:rsidR="00272DEB" w:rsidRPr="006314DC" w14:paraId="717749D4"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45519BF" w14:textId="77777777" w:rsidR="00272DEB" w:rsidRPr="006314DC" w:rsidRDefault="00272DEB" w:rsidP="00632A70">
            <w:pPr>
              <w:jc w:val="center"/>
            </w:pPr>
            <w:r w:rsidRPr="006314DC">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FC990D9" w14:textId="77777777" w:rsidR="00272DEB" w:rsidRPr="006314DC" w:rsidRDefault="00272DEB" w:rsidP="00632A70">
            <w:pPr>
              <w:jc w:val="both"/>
            </w:pPr>
            <w:r w:rsidRPr="006314DC">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2C6B438"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0BFC8497" w14:textId="77777777" w:rsidR="00272DEB" w:rsidRPr="006314DC" w:rsidRDefault="00272DEB" w:rsidP="00632A70"/>
        </w:tc>
      </w:tr>
      <w:tr w:rsidR="00272DEB" w:rsidRPr="006314DC" w14:paraId="6F44323A"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85833F8" w14:textId="77777777" w:rsidR="00272DEB" w:rsidRPr="006314DC" w:rsidRDefault="00272DEB" w:rsidP="00632A70">
            <w:pPr>
              <w:jc w:val="center"/>
            </w:pPr>
            <w:r w:rsidRPr="006314DC">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ACE5E93" w14:textId="77777777" w:rsidR="00272DEB" w:rsidRPr="006314DC" w:rsidRDefault="00272DEB" w:rsidP="00632A70">
            <w:pPr>
              <w:jc w:val="both"/>
            </w:pPr>
            <w: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1A0F110F" w14:textId="77777777" w:rsidR="00272DEB" w:rsidRPr="00A862B8" w:rsidRDefault="00272DEB" w:rsidP="00632A70">
            <w:pPr>
              <w:rPr>
                <w:color w:val="A5A5A5" w:themeColor="accent3"/>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4F0E3641" w14:textId="77777777" w:rsidR="00272DEB" w:rsidRPr="006314DC" w:rsidRDefault="00272DEB" w:rsidP="00632A70"/>
        </w:tc>
      </w:tr>
      <w:tr w:rsidR="00272DEB" w:rsidRPr="006314DC" w14:paraId="19B9B4A0" w14:textId="77777777" w:rsidTr="00632A70">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2647DA60" w14:textId="77777777" w:rsidR="00272DEB" w:rsidRPr="006314DC" w:rsidRDefault="00272DEB" w:rsidP="00632A70">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2D915FBB" w14:textId="77777777" w:rsidR="00272DEB" w:rsidRPr="006314DC" w:rsidRDefault="00272DEB" w:rsidP="00632A70">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3D124E05" w14:textId="77777777" w:rsidR="00272DEB" w:rsidRPr="006314DC" w:rsidRDefault="00272DEB" w:rsidP="00632A70"/>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0247DB6E" w14:textId="77777777" w:rsidR="00272DEB" w:rsidRPr="006314DC" w:rsidRDefault="00272DEB" w:rsidP="00632A70"/>
        </w:tc>
      </w:tr>
      <w:tr w:rsidR="00272DEB" w:rsidRPr="006314DC" w14:paraId="5E7B8B33" w14:textId="77777777" w:rsidTr="00632A70">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53114F" w14:textId="77777777" w:rsidR="00272DEB" w:rsidRPr="006314DC" w:rsidRDefault="00272DEB" w:rsidP="00632A70">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01CBAA24" w14:textId="77777777" w:rsidR="00272DEB" w:rsidRPr="006314DC" w:rsidRDefault="00272DEB" w:rsidP="00632A70">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D4AE185" w14:textId="77777777" w:rsidR="00272DEB" w:rsidRPr="006314DC" w:rsidRDefault="00272DEB" w:rsidP="00632A70"/>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3CBA9F3C" w14:textId="77777777" w:rsidR="00272DEB" w:rsidRPr="006314DC" w:rsidRDefault="00272DEB" w:rsidP="00632A70"/>
        </w:tc>
      </w:tr>
      <w:tr w:rsidR="00272DEB" w:rsidRPr="006314DC" w14:paraId="56D9FB2E" w14:textId="77777777" w:rsidTr="00632A70">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80B87" w14:textId="77777777" w:rsidR="00272DEB" w:rsidRPr="006314DC" w:rsidRDefault="00272DEB" w:rsidP="00632A70">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7FF1861" w14:textId="77777777" w:rsidR="00272DEB" w:rsidRPr="006314DC" w:rsidRDefault="00272DEB" w:rsidP="00632A70">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0570F04"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16E7D4C3" w14:textId="77777777" w:rsidR="00272DEB" w:rsidRPr="006314DC" w:rsidRDefault="00272DEB" w:rsidP="00632A70"/>
        </w:tc>
      </w:tr>
    </w:tbl>
    <w:p w14:paraId="0385F259" w14:textId="77777777" w:rsidR="00272DEB" w:rsidRPr="006314DC" w:rsidRDefault="00272DEB" w:rsidP="00272DEB">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44AF039E" w14:textId="77777777" w:rsidR="00272DEB" w:rsidRDefault="00272DEB" w:rsidP="00272DEB">
      <w:pPr>
        <w:pStyle w:val="Body2"/>
        <w:rPr>
          <w:rFonts w:cs="Times New Roman"/>
          <w:bCs/>
          <w:iCs/>
          <w:color w:val="FF0000"/>
          <w:sz w:val="24"/>
          <w:szCs w:val="24"/>
          <w:lang w:val="lt-LT"/>
        </w:rPr>
      </w:pPr>
    </w:p>
    <w:p w14:paraId="092AA296" w14:textId="77777777" w:rsidR="00272DEB" w:rsidRDefault="00272DEB" w:rsidP="00272DEB">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093DEA52" w14:textId="399F63B6" w:rsidR="00934ECD" w:rsidRPr="0072256F" w:rsidRDefault="00272DEB" w:rsidP="00272DEB">
      <w:pPr>
        <w:pStyle w:val="Body2"/>
        <w:rPr>
          <w:rFonts w:cs="Times New Roman"/>
          <w:bCs/>
          <w:color w:val="000000" w:themeColor="text1"/>
          <w:sz w:val="24"/>
          <w:szCs w:val="24"/>
          <w:lang w:val="lt-LT"/>
        </w:rPr>
      </w:pPr>
      <w:r>
        <w:rPr>
          <w:rFonts w:cs="Times New Roman"/>
          <w:bCs/>
          <w:iCs/>
          <w:color w:val="auto"/>
          <w:sz w:val="24"/>
          <w:szCs w:val="24"/>
          <w:lang w:val="lt-LT"/>
        </w:rPr>
        <w:t>Tei</w:t>
      </w:r>
      <w:r w:rsidRPr="00A303D5">
        <w:rPr>
          <w:rFonts w:cs="Times New Roman"/>
          <w:bCs/>
          <w:iCs/>
          <w:color w:val="auto"/>
          <w:sz w:val="24"/>
          <w:szCs w:val="24"/>
          <w:lang w:val="lt-LT"/>
        </w:rPr>
        <w:t>kėjo arba jo įgalioto asmens pareigų pavadinimas</w:t>
      </w:r>
      <w:r w:rsidRPr="00A303D5">
        <w:rPr>
          <w:rFonts w:cs="Times New Roman"/>
          <w:bCs/>
          <w:iCs/>
          <w:color w:val="auto"/>
          <w:sz w:val="24"/>
          <w:szCs w:val="24"/>
          <w:lang w:val="lt-LT"/>
        </w:rPr>
        <w:tab/>
      </w:r>
      <w:r>
        <w:rPr>
          <w:rFonts w:cs="Times New Roman"/>
          <w:bCs/>
          <w:iCs/>
          <w:color w:val="auto"/>
          <w:sz w:val="24"/>
          <w:szCs w:val="24"/>
          <w:lang w:val="lt-LT"/>
        </w:rPr>
        <w:t xml:space="preserve">              Parašas</w:t>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Pr>
          <w:rFonts w:cs="Times New Roman"/>
          <w:bCs/>
          <w:iCs/>
          <w:color w:val="auto"/>
          <w:sz w:val="24"/>
          <w:szCs w:val="24"/>
          <w:lang w:val="lt-LT"/>
        </w:rPr>
        <w:t xml:space="preserve">       </w:t>
      </w:r>
      <w:r w:rsidRPr="00A303D5">
        <w:rPr>
          <w:rFonts w:cs="Times New Roman"/>
          <w:bCs/>
          <w:iCs/>
          <w:color w:val="auto"/>
          <w:sz w:val="24"/>
          <w:szCs w:val="24"/>
          <w:lang w:val="lt-LT"/>
        </w:rPr>
        <w:t>Vardas ir pavardė</w:t>
      </w:r>
    </w:p>
    <w:sectPr w:rsidR="00934ECD" w:rsidRPr="0072256F" w:rsidSect="005B1313">
      <w:pgSz w:w="15840" w:h="12240" w:orient="landscape"/>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77B7" w14:textId="77777777" w:rsidR="003E32ED" w:rsidRDefault="003E32ED" w:rsidP="00324E3D">
      <w:r>
        <w:separator/>
      </w:r>
    </w:p>
  </w:endnote>
  <w:endnote w:type="continuationSeparator" w:id="0">
    <w:p w14:paraId="1218A24F" w14:textId="77777777" w:rsidR="003E32ED" w:rsidRDefault="003E32ED"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99D8D" w14:textId="77777777" w:rsidR="003E32ED" w:rsidRDefault="003E32ED" w:rsidP="00324E3D">
      <w:r>
        <w:separator/>
      </w:r>
    </w:p>
  </w:footnote>
  <w:footnote w:type="continuationSeparator" w:id="0">
    <w:p w14:paraId="2B8B537D" w14:textId="77777777" w:rsidR="003E32ED" w:rsidRDefault="003E32ED"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5055A"/>
    <w:multiLevelType w:val="hybridMultilevel"/>
    <w:tmpl w:val="53DE05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C4D34"/>
    <w:multiLevelType w:val="hybridMultilevel"/>
    <w:tmpl w:val="F59876EA"/>
    <w:lvl w:ilvl="0" w:tplc="DA220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FE0CBD"/>
    <w:multiLevelType w:val="hybridMultilevel"/>
    <w:tmpl w:val="374A6CA8"/>
    <w:lvl w:ilvl="0" w:tplc="4ACE101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FB5113"/>
    <w:multiLevelType w:val="hybridMultilevel"/>
    <w:tmpl w:val="F2321E6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104671">
    <w:abstractNumId w:val="7"/>
  </w:num>
  <w:num w:numId="2" w16cid:durableId="2126383494">
    <w:abstractNumId w:val="0"/>
  </w:num>
  <w:num w:numId="3" w16cid:durableId="1278371962">
    <w:abstractNumId w:val="3"/>
  </w:num>
  <w:num w:numId="4" w16cid:durableId="1210723358">
    <w:abstractNumId w:val="2"/>
  </w:num>
  <w:num w:numId="5" w16cid:durableId="1068454555">
    <w:abstractNumId w:val="4"/>
  </w:num>
  <w:num w:numId="6" w16cid:durableId="983311620">
    <w:abstractNumId w:val="11"/>
  </w:num>
  <w:num w:numId="7" w16cid:durableId="1245185161">
    <w:abstractNumId w:val="8"/>
  </w:num>
  <w:num w:numId="8" w16cid:durableId="2097051490">
    <w:abstractNumId w:val="5"/>
  </w:num>
  <w:num w:numId="9" w16cid:durableId="940836958">
    <w:abstractNumId w:val="6"/>
  </w:num>
  <w:num w:numId="10" w16cid:durableId="1689139745">
    <w:abstractNumId w:val="9"/>
  </w:num>
  <w:num w:numId="11" w16cid:durableId="1409645333">
    <w:abstractNumId w:val="1"/>
  </w:num>
  <w:num w:numId="12" w16cid:durableId="1485852270">
    <w:abstractNumId w:val="10"/>
  </w:num>
  <w:num w:numId="13" w16cid:durableId="1072890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350F0"/>
    <w:rsid w:val="000544FE"/>
    <w:rsid w:val="00064B9A"/>
    <w:rsid w:val="000A7B83"/>
    <w:rsid w:val="000B3595"/>
    <w:rsid w:val="000B72B1"/>
    <w:rsid w:val="000D101F"/>
    <w:rsid w:val="000E1F6A"/>
    <w:rsid w:val="00123052"/>
    <w:rsid w:val="00151638"/>
    <w:rsid w:val="00152C1E"/>
    <w:rsid w:val="00175031"/>
    <w:rsid w:val="001A64E8"/>
    <w:rsid w:val="001F26C0"/>
    <w:rsid w:val="00200BD4"/>
    <w:rsid w:val="00202D08"/>
    <w:rsid w:val="00213A02"/>
    <w:rsid w:val="002172FA"/>
    <w:rsid w:val="00225C1E"/>
    <w:rsid w:val="00227169"/>
    <w:rsid w:val="00256F06"/>
    <w:rsid w:val="00271245"/>
    <w:rsid w:val="00272DEB"/>
    <w:rsid w:val="00272F44"/>
    <w:rsid w:val="0028404C"/>
    <w:rsid w:val="00291051"/>
    <w:rsid w:val="00295280"/>
    <w:rsid w:val="002A3C8C"/>
    <w:rsid w:val="002B7CD5"/>
    <w:rsid w:val="002C0F99"/>
    <w:rsid w:val="002E370D"/>
    <w:rsid w:val="00303174"/>
    <w:rsid w:val="003047C9"/>
    <w:rsid w:val="00310567"/>
    <w:rsid w:val="00317F98"/>
    <w:rsid w:val="00324E3D"/>
    <w:rsid w:val="00326D6A"/>
    <w:rsid w:val="0032796E"/>
    <w:rsid w:val="003449FE"/>
    <w:rsid w:val="00360DBA"/>
    <w:rsid w:val="00366366"/>
    <w:rsid w:val="003732EF"/>
    <w:rsid w:val="003738BB"/>
    <w:rsid w:val="00394EDD"/>
    <w:rsid w:val="003A3805"/>
    <w:rsid w:val="003A6F72"/>
    <w:rsid w:val="003B0A32"/>
    <w:rsid w:val="003D1EC4"/>
    <w:rsid w:val="003E32ED"/>
    <w:rsid w:val="003F18BB"/>
    <w:rsid w:val="003F3166"/>
    <w:rsid w:val="00435BC6"/>
    <w:rsid w:val="004453F1"/>
    <w:rsid w:val="00447FA1"/>
    <w:rsid w:val="00453F2B"/>
    <w:rsid w:val="0046623A"/>
    <w:rsid w:val="004A6C06"/>
    <w:rsid w:val="004B33BF"/>
    <w:rsid w:val="004C71FF"/>
    <w:rsid w:val="004D0414"/>
    <w:rsid w:val="004D624E"/>
    <w:rsid w:val="004E36A7"/>
    <w:rsid w:val="004E763B"/>
    <w:rsid w:val="005125AD"/>
    <w:rsid w:val="00534E4D"/>
    <w:rsid w:val="00567814"/>
    <w:rsid w:val="00582A70"/>
    <w:rsid w:val="00585CD8"/>
    <w:rsid w:val="00597DA1"/>
    <w:rsid w:val="005A7E23"/>
    <w:rsid w:val="005B1313"/>
    <w:rsid w:val="005C3341"/>
    <w:rsid w:val="006073B4"/>
    <w:rsid w:val="00632769"/>
    <w:rsid w:val="00643714"/>
    <w:rsid w:val="00652D1F"/>
    <w:rsid w:val="00692C02"/>
    <w:rsid w:val="006A0FF7"/>
    <w:rsid w:val="006C60B8"/>
    <w:rsid w:val="006D4A77"/>
    <w:rsid w:val="006E0E3F"/>
    <w:rsid w:val="006F1811"/>
    <w:rsid w:val="0072256F"/>
    <w:rsid w:val="007277AB"/>
    <w:rsid w:val="00727D16"/>
    <w:rsid w:val="007300A9"/>
    <w:rsid w:val="007324C6"/>
    <w:rsid w:val="00744747"/>
    <w:rsid w:val="00764DF0"/>
    <w:rsid w:val="00771FF5"/>
    <w:rsid w:val="00796D88"/>
    <w:rsid w:val="00797F2C"/>
    <w:rsid w:val="007B44C2"/>
    <w:rsid w:val="007B5E66"/>
    <w:rsid w:val="007C3042"/>
    <w:rsid w:val="007D7FA1"/>
    <w:rsid w:val="007F06F4"/>
    <w:rsid w:val="00813C5B"/>
    <w:rsid w:val="00825473"/>
    <w:rsid w:val="00832C1C"/>
    <w:rsid w:val="0083607D"/>
    <w:rsid w:val="00856C58"/>
    <w:rsid w:val="00865A96"/>
    <w:rsid w:val="00867C73"/>
    <w:rsid w:val="00871C75"/>
    <w:rsid w:val="008B527B"/>
    <w:rsid w:val="008B7E4B"/>
    <w:rsid w:val="008F51A8"/>
    <w:rsid w:val="00907AB4"/>
    <w:rsid w:val="009114F8"/>
    <w:rsid w:val="009131B9"/>
    <w:rsid w:val="00934ECD"/>
    <w:rsid w:val="00940697"/>
    <w:rsid w:val="00941D69"/>
    <w:rsid w:val="00973C97"/>
    <w:rsid w:val="00983DDB"/>
    <w:rsid w:val="009C2512"/>
    <w:rsid w:val="00A02E42"/>
    <w:rsid w:val="00A139F4"/>
    <w:rsid w:val="00A715CF"/>
    <w:rsid w:val="00A72FB6"/>
    <w:rsid w:val="00A841FA"/>
    <w:rsid w:val="00A92332"/>
    <w:rsid w:val="00AA47C7"/>
    <w:rsid w:val="00AB2159"/>
    <w:rsid w:val="00AF0CFA"/>
    <w:rsid w:val="00B12A98"/>
    <w:rsid w:val="00B16F3D"/>
    <w:rsid w:val="00B33DE5"/>
    <w:rsid w:val="00B81E9B"/>
    <w:rsid w:val="00B820BC"/>
    <w:rsid w:val="00BF2C25"/>
    <w:rsid w:val="00BF4FF8"/>
    <w:rsid w:val="00BF55D7"/>
    <w:rsid w:val="00C042C8"/>
    <w:rsid w:val="00C052CD"/>
    <w:rsid w:val="00C13B52"/>
    <w:rsid w:val="00C15C7E"/>
    <w:rsid w:val="00C378CB"/>
    <w:rsid w:val="00C43886"/>
    <w:rsid w:val="00C43ABD"/>
    <w:rsid w:val="00C458C5"/>
    <w:rsid w:val="00C53FA2"/>
    <w:rsid w:val="00C56469"/>
    <w:rsid w:val="00C90B25"/>
    <w:rsid w:val="00C9211A"/>
    <w:rsid w:val="00CA3637"/>
    <w:rsid w:val="00CA47FC"/>
    <w:rsid w:val="00CB1F9E"/>
    <w:rsid w:val="00CD224F"/>
    <w:rsid w:val="00CD4A3A"/>
    <w:rsid w:val="00CD6B7C"/>
    <w:rsid w:val="00CF3797"/>
    <w:rsid w:val="00CF7E24"/>
    <w:rsid w:val="00D52961"/>
    <w:rsid w:val="00D53648"/>
    <w:rsid w:val="00D5429E"/>
    <w:rsid w:val="00D60A49"/>
    <w:rsid w:val="00DA6969"/>
    <w:rsid w:val="00DB1EC4"/>
    <w:rsid w:val="00DC134C"/>
    <w:rsid w:val="00DC2832"/>
    <w:rsid w:val="00DC5B25"/>
    <w:rsid w:val="00DD2658"/>
    <w:rsid w:val="00DE1360"/>
    <w:rsid w:val="00DE6411"/>
    <w:rsid w:val="00DF7294"/>
    <w:rsid w:val="00E000EC"/>
    <w:rsid w:val="00E0111A"/>
    <w:rsid w:val="00E13D2D"/>
    <w:rsid w:val="00E42A4B"/>
    <w:rsid w:val="00E50623"/>
    <w:rsid w:val="00E9346A"/>
    <w:rsid w:val="00E94092"/>
    <w:rsid w:val="00E952E2"/>
    <w:rsid w:val="00E96E31"/>
    <w:rsid w:val="00EC0493"/>
    <w:rsid w:val="00EC2173"/>
    <w:rsid w:val="00EE4838"/>
    <w:rsid w:val="00EF3D4C"/>
    <w:rsid w:val="00F0141A"/>
    <w:rsid w:val="00F30071"/>
    <w:rsid w:val="00F51ADB"/>
    <w:rsid w:val="00F55986"/>
    <w:rsid w:val="00F9061C"/>
    <w:rsid w:val="00FA6D86"/>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pildymui">
    <w:name w:val="pildymui"/>
    <w:basedOn w:val="DefaultParagraphFont"/>
    <w:rsid w:val="007277AB"/>
  </w:style>
  <w:style w:type="paragraph" w:styleId="NoSpacing">
    <w:name w:val="No Spacing"/>
    <w:uiPriority w:val="1"/>
    <w:qFormat/>
    <w:rsid w:val="00907AB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52F14-FF93-4460-B5E9-5BCDCBF2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2637</Words>
  <Characters>1504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3</cp:revision>
  <cp:lastPrinted>2024-03-08T06:34:00Z</cp:lastPrinted>
  <dcterms:created xsi:type="dcterms:W3CDTF">2025-12-17T06:09:00Z</dcterms:created>
  <dcterms:modified xsi:type="dcterms:W3CDTF">2025-12-17T06:24:00Z</dcterms:modified>
</cp:coreProperties>
</file>