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1B017403" w14:textId="77777777" w:rsidR="00766B7A" w:rsidRPr="00766B7A" w:rsidRDefault="00766B7A" w:rsidP="00766B7A">
            <w:pPr>
              <w:rPr>
                <w:rFonts w:eastAsia="LiberationSerif-Bold"/>
                <w:b/>
                <w:bCs/>
                <w:sz w:val="22"/>
                <w:szCs w:val="22"/>
              </w:rPr>
            </w:pPr>
            <w:r w:rsidRPr="00766B7A">
              <w:rPr>
                <w:rFonts w:eastAsia="LiberationSerif-Bold"/>
                <w:b/>
                <w:bCs/>
                <w:sz w:val="22"/>
                <w:szCs w:val="22"/>
              </w:rPr>
              <w:t>PERKATETERINIAI AORTOS VOŽTUVAI</w:t>
            </w:r>
          </w:p>
          <w:p w14:paraId="60DB06AF" w14:textId="416A02FD" w:rsidR="00766B7A" w:rsidRPr="00095D77" w:rsidRDefault="00766B7A" w:rsidP="009A2488">
            <w:pPr>
              <w:autoSpaceDE w:val="0"/>
              <w:autoSpaceDN w:val="0"/>
              <w:adjustRightInd w:val="0"/>
              <w:jc w:val="both"/>
              <w:rPr>
                <w:b/>
                <w:bCs/>
                <w:sz w:val="22"/>
                <w:szCs w:val="22"/>
              </w:rPr>
            </w:pP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0AD82E0B" w14:textId="77777777" w:rsidR="009267B3" w:rsidRPr="00EB3BAC" w:rsidRDefault="009267B3" w:rsidP="009267B3">
            <w:pPr>
              <w:autoSpaceDE w:val="0"/>
              <w:autoSpaceDN w:val="0"/>
              <w:adjustRightInd w:val="0"/>
              <w:rPr>
                <w:sz w:val="22"/>
                <w:szCs w:val="22"/>
              </w:rPr>
            </w:pPr>
            <w:r w:rsidRPr="00EB3BAC">
              <w:rPr>
                <w:sz w:val="22"/>
                <w:szCs w:val="22"/>
              </w:rPr>
              <w:t xml:space="preserve">Kardiologijos klinikos vadybininkė Vaida Viliūtė darbo tel.+37046242196 el.p. </w:t>
            </w:r>
            <w:hyperlink r:id="rId11" w:history="1">
              <w:r w:rsidRPr="00EB3BAC">
                <w:rPr>
                  <w:color w:val="0563C1"/>
                  <w:sz w:val="22"/>
                  <w:szCs w:val="22"/>
                  <w:u w:val="single"/>
                </w:rPr>
                <w:t>vaida.viliute@kulig.lt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2C366EE1" w:rsidR="00993741" w:rsidRDefault="009267B3" w:rsidP="009267B3">
            <w:pPr>
              <w:spacing w:after="120" w:line="20" w:lineRule="atLeast"/>
              <w:contextualSpacing/>
              <w:rPr>
                <w:rFonts w:eastAsia="LiberationSerif-Bold"/>
                <w:sz w:val="22"/>
                <w:szCs w:val="22"/>
                <w:lang w:eastAsia="lt-LT"/>
              </w:rPr>
            </w:pPr>
            <w:r>
              <w:rPr>
                <w:rFonts w:eastAsia="LiberationSerif-Bold"/>
                <w:sz w:val="22"/>
                <w:szCs w:val="22"/>
              </w:rPr>
              <w:t>P</w:t>
            </w:r>
            <w:r w:rsidRPr="009267B3">
              <w:rPr>
                <w:rFonts w:eastAsia="LiberationSerif-Bold"/>
                <w:sz w:val="22"/>
                <w:szCs w:val="22"/>
              </w:rPr>
              <w:t>erkateteriniai aortos vožtuvai</w:t>
            </w:r>
            <w:r>
              <w:rPr>
                <w:rFonts w:eastAsia="LiberationSerif-Bold"/>
                <w:sz w:val="22"/>
                <w:szCs w:val="22"/>
              </w:rPr>
              <w:t xml:space="preserve"> </w:t>
            </w:r>
            <w:r w:rsidR="00993741" w:rsidRPr="002B4922">
              <w:rPr>
                <w:kern w:val="2"/>
                <w:sz w:val="22"/>
                <w:szCs w:val="22"/>
              </w:rPr>
              <w:t>(toliau – Prekės)</w:t>
            </w:r>
            <w:r w:rsidR="00993741">
              <w:rPr>
                <w:kern w:val="2"/>
                <w:sz w:val="22"/>
                <w:szCs w:val="22"/>
              </w:rPr>
              <w:t>.</w:t>
            </w:r>
            <w:r w:rsidR="00993741" w:rsidRPr="002B4922">
              <w:rPr>
                <w:kern w:val="2"/>
                <w:sz w:val="22"/>
                <w:szCs w:val="22"/>
              </w:rPr>
              <w:t xml:space="preserve"> </w:t>
            </w:r>
            <w:r w:rsidR="00993741">
              <w:rPr>
                <w:rFonts w:eastAsia="LiberationSerif-Bold"/>
                <w:sz w:val="22"/>
                <w:szCs w:val="22"/>
                <w:lang w:eastAsia="lt-LT"/>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5FB097FE" w:rsidR="00A12F1C" w:rsidRPr="009267B3" w:rsidRDefault="009267B3" w:rsidP="002B4922">
            <w:pPr>
              <w:rPr>
                <w:color w:val="EE0000"/>
                <w:kern w:val="2"/>
                <w:sz w:val="22"/>
                <w:szCs w:val="22"/>
              </w:rPr>
            </w:pPr>
            <w:r w:rsidRPr="001B1718">
              <w:rPr>
                <w:rFonts w:eastAsia="LiberationSerif-Bold"/>
                <w:sz w:val="22"/>
                <w:szCs w:val="22"/>
              </w:rPr>
              <w:t>Perkateteriniai aortos vožtuvai</w:t>
            </w:r>
            <w:r w:rsidR="00D062A8" w:rsidRPr="001B1718">
              <w:rPr>
                <w:kern w:val="2"/>
                <w:sz w:val="22"/>
                <w:szCs w:val="22"/>
              </w:rPr>
              <w:t xml:space="preserve">, </w:t>
            </w:r>
            <w:r w:rsidR="00D062A8" w:rsidRPr="001B1718">
              <w:rPr>
                <w:sz w:val="22"/>
                <w:szCs w:val="22"/>
              </w:rPr>
              <w:t>pirkimo Nr</w:t>
            </w:r>
            <w:r w:rsidR="00993741" w:rsidRPr="001B1718">
              <w:rPr>
                <w:sz w:val="22"/>
                <w:szCs w:val="22"/>
              </w:rPr>
              <w:t>.</w:t>
            </w:r>
            <w:r w:rsidR="00D062A8" w:rsidRPr="001B1718">
              <w:rPr>
                <w:kern w:val="2"/>
                <w:sz w:val="22"/>
                <w:szCs w:val="22"/>
              </w:rPr>
              <w:t xml:space="preserve">  </w:t>
            </w:r>
            <w:r w:rsidR="00DF7D69" w:rsidRPr="001B1718">
              <w:rPr>
                <w:kern w:val="2"/>
                <w:sz w:val="22"/>
                <w:szCs w:val="22"/>
              </w:rPr>
              <w:t>5862815</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610F272E"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993741">
              <w:rPr>
                <w:b/>
                <w:bCs/>
                <w:kern w:val="2"/>
                <w:sz w:val="22"/>
                <w:szCs w:val="22"/>
              </w:rPr>
              <w:t>5</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adresas</w:t>
            </w:r>
            <w:r w:rsidR="008B30B8" w:rsidRPr="00B132AC">
              <w:rPr>
                <w:kern w:val="2"/>
                <w:sz w:val="22"/>
                <w:szCs w:val="22"/>
              </w:rPr>
              <w:t xml:space="preserve">: </w:t>
            </w:r>
          </w:p>
          <w:p w14:paraId="5F87590A" w14:textId="461CE659"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9267B3">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5649F10F" w14:textId="77777777" w:rsidR="00700B12" w:rsidRPr="00700B12" w:rsidRDefault="00700B12" w:rsidP="00700B12">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700B12" w:rsidRPr="00700B12" w:rsidRDefault="00700B12" w:rsidP="00700B12">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700B12" w:rsidRPr="00700B12" w:rsidRDefault="00700B12" w:rsidP="00700B12">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700B12" w:rsidRPr="00700B12" w:rsidRDefault="00700B12" w:rsidP="00700B12">
            <w:pPr>
              <w:jc w:val="both"/>
              <w:rPr>
                <w:kern w:val="2"/>
                <w:sz w:val="22"/>
                <w:szCs w:val="22"/>
              </w:rPr>
            </w:pPr>
            <w:r w:rsidRPr="00700B12">
              <w:rPr>
                <w:kern w:val="2"/>
                <w:sz w:val="22"/>
                <w:szCs w:val="22"/>
              </w:rPr>
              <w:t xml:space="preserve">Šioje Sutartyje Pradinės Sutarties vertė yra lygi Tiekėjo pasiūlymo kainai be PVM, apskaičiuotai sudauginus maksimalų Prekių kiekį iš Tiekėjo pasiūlyto įkainio be PVM. </w:t>
            </w:r>
          </w:p>
          <w:p w14:paraId="7D80BD12" w14:textId="77777777" w:rsidR="00700B12" w:rsidRPr="00700B12" w:rsidRDefault="00700B12" w:rsidP="00700B12">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0B59DE" w:rsidRPr="00BB35FE" w:rsidRDefault="00700B12" w:rsidP="00700B12">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F619CD"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lastRenderedPageBreak/>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02292485" w:rsidR="00256423" w:rsidRPr="001B1718" w:rsidRDefault="00256423" w:rsidP="00256423">
            <w:pPr>
              <w:jc w:val="both"/>
              <w:rPr>
                <w:kern w:val="2"/>
                <w:sz w:val="22"/>
                <w:szCs w:val="22"/>
              </w:rPr>
            </w:pPr>
            <w:r w:rsidRPr="00B96C6D">
              <w:rPr>
                <w:kern w:val="2"/>
                <w:sz w:val="22"/>
                <w:szCs w:val="22"/>
              </w:rPr>
              <w:t xml:space="preserve">9.3.1. Nutraukus Sutartį dėl esminio Sutarties pažeidimo, nustatyto Sutarties </w:t>
            </w:r>
            <w:r w:rsidRPr="001B1718">
              <w:rPr>
                <w:kern w:val="2"/>
                <w:sz w:val="22"/>
                <w:szCs w:val="22"/>
              </w:rPr>
              <w:t xml:space="preserve">Specialiosiose sąlygose, mokama </w:t>
            </w:r>
            <w:r w:rsidR="001B1718" w:rsidRPr="001B1718">
              <w:rPr>
                <w:kern w:val="2"/>
                <w:sz w:val="22"/>
                <w:szCs w:val="22"/>
              </w:rPr>
              <w:t>5</w:t>
            </w:r>
            <w:r w:rsidRPr="001B1718">
              <w:rPr>
                <w:kern w:val="2"/>
                <w:sz w:val="22"/>
                <w:szCs w:val="22"/>
              </w:rPr>
              <w:t xml:space="preserve"> procentų dydžio bauda nuo Pradinės Sutarties vertės be PVM, nurodytos Specialiųjų sąlygų 5.2 punkte. </w:t>
            </w:r>
          </w:p>
          <w:p w14:paraId="7C28C5E8" w14:textId="3E39E27D" w:rsidR="00256423" w:rsidRPr="001B1718" w:rsidRDefault="00256423" w:rsidP="00256423">
            <w:pPr>
              <w:jc w:val="both"/>
              <w:rPr>
                <w:sz w:val="22"/>
                <w:szCs w:val="22"/>
              </w:rPr>
            </w:pPr>
            <w:r w:rsidRPr="001B1718">
              <w:rPr>
                <w:kern w:val="2"/>
                <w:sz w:val="22"/>
                <w:szCs w:val="22"/>
              </w:rPr>
              <w:t>9.3.2. </w:t>
            </w:r>
            <w:r w:rsidRPr="001B1718">
              <w:rPr>
                <w:sz w:val="22"/>
                <w:szCs w:val="22"/>
              </w:rPr>
              <w:t xml:space="preserve">Nepagrįstai nutraukus Sutarties vykdymą ne Sutartyje nustatyta tvarka, mokama </w:t>
            </w:r>
            <w:r w:rsidR="001B1718" w:rsidRPr="001B1718">
              <w:rPr>
                <w:kern w:val="2"/>
                <w:sz w:val="22"/>
                <w:szCs w:val="22"/>
              </w:rPr>
              <w:t>5</w:t>
            </w:r>
            <w:r w:rsidRPr="001B1718">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lastRenderedPageBreak/>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45533563"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9267B3">
              <w:rPr>
                <w:b/>
                <w:bCs/>
                <w:color w:val="000000"/>
                <w:kern w:val="2"/>
                <w:sz w:val="22"/>
                <w:szCs w:val="22"/>
              </w:rPr>
              <w:t>25</w:t>
            </w:r>
            <w:r>
              <w:rPr>
                <w:b/>
                <w:bCs/>
                <w:kern w:val="2"/>
                <w:sz w:val="22"/>
                <w:szCs w:val="22"/>
              </w:rPr>
              <w:t xml:space="preserve"> mėnesi</w:t>
            </w:r>
            <w:r w:rsidR="00993741">
              <w:rPr>
                <w:b/>
                <w:bCs/>
                <w:kern w:val="2"/>
                <w:sz w:val="22"/>
                <w:szCs w:val="22"/>
              </w:rPr>
              <w:t>ų (</w:t>
            </w:r>
            <w:r w:rsidR="009267B3">
              <w:rPr>
                <w:kern w:val="2"/>
                <w:sz w:val="22"/>
                <w:szCs w:val="22"/>
              </w:rPr>
              <w:t>24</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6E2C8983" w:rsidR="00256423" w:rsidRPr="00173211" w:rsidRDefault="00165700" w:rsidP="00C431AA">
            <w:pPr>
              <w:jc w:val="both"/>
              <w:rPr>
                <w:rFonts w:eastAsia="Arial"/>
                <w:sz w:val="22"/>
                <w:szCs w:val="22"/>
              </w:rPr>
            </w:pPr>
            <w:r w:rsidRPr="00F619CD">
              <w:rPr>
                <w:kern w:val="2"/>
                <w:sz w:val="22"/>
                <w:szCs w:val="22"/>
              </w:rPr>
              <w:t xml:space="preserve">Jei per </w:t>
            </w:r>
            <w:r w:rsidR="009267B3" w:rsidRPr="00F619CD">
              <w:rPr>
                <w:kern w:val="2"/>
                <w:sz w:val="22"/>
                <w:szCs w:val="22"/>
              </w:rPr>
              <w:t>24</w:t>
            </w:r>
            <w:r w:rsidRPr="00F619CD">
              <w:rPr>
                <w:kern w:val="2"/>
                <w:sz w:val="22"/>
                <w:szCs w:val="22"/>
              </w:rPr>
              <w:t xml:space="preserve"> mėnesius nebus išnaudota Pradinės Sutarties vertė, </w:t>
            </w:r>
            <w:r w:rsidRPr="00F619CD">
              <w:rPr>
                <w:rFonts w:eastAsia="Calibri"/>
                <w:bCs/>
                <w:sz w:val="22"/>
                <w:szCs w:val="22"/>
              </w:rPr>
              <w:t>Sutartis, Šalių</w:t>
            </w:r>
            <w:r w:rsidR="00943155" w:rsidRPr="00F619CD">
              <w:rPr>
                <w:rFonts w:eastAsia="Calibri"/>
                <w:bCs/>
                <w:sz w:val="22"/>
                <w:szCs w:val="22"/>
              </w:rPr>
              <w:t xml:space="preserve"> rašytiniu</w:t>
            </w:r>
            <w:r w:rsidRPr="00F619CD">
              <w:rPr>
                <w:rFonts w:eastAsia="Calibri"/>
                <w:bCs/>
                <w:sz w:val="22"/>
                <w:szCs w:val="22"/>
              </w:rPr>
              <w:t xml:space="preserve"> susitarimu</w:t>
            </w:r>
            <w:r w:rsidRPr="00F619CD">
              <w:rPr>
                <w:rFonts w:eastAsia="Calibri"/>
                <w:sz w:val="22"/>
                <w:szCs w:val="22"/>
              </w:rPr>
              <w:t xml:space="preserve"> gali būti pratęsta, bet neilgiau kaip </w:t>
            </w:r>
            <w:r w:rsidR="0035370C" w:rsidRPr="00F619CD">
              <w:rPr>
                <w:rFonts w:eastAsia="Calibri"/>
                <w:sz w:val="22"/>
                <w:szCs w:val="22"/>
              </w:rPr>
              <w:t>6</w:t>
            </w:r>
            <w:r w:rsidRPr="00F619CD">
              <w:rPr>
                <w:rFonts w:eastAsia="Calibri"/>
                <w:sz w:val="22"/>
                <w:szCs w:val="22"/>
              </w:rPr>
              <w:t xml:space="preserve"> (</w:t>
            </w:r>
            <w:r w:rsidR="0035370C" w:rsidRPr="00F619CD">
              <w:rPr>
                <w:rFonts w:eastAsia="Calibri"/>
                <w:sz w:val="22"/>
                <w:szCs w:val="22"/>
              </w:rPr>
              <w:t>šešis</w:t>
            </w:r>
            <w:r w:rsidRPr="00F619CD">
              <w:rPr>
                <w:rFonts w:eastAsia="Calibri"/>
                <w:sz w:val="22"/>
                <w:szCs w:val="22"/>
              </w:rPr>
              <w:t>) mėnesius, nekeičiant kitų Sutarties sąlygų.</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lastRenderedPageBreak/>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256423" w:rsidRPr="00B96C6D" w14:paraId="2A940830" w14:textId="77777777" w:rsidTr="00A44FA6">
        <w:trPr>
          <w:trHeight w:val="555"/>
        </w:trPr>
        <w:tc>
          <w:tcPr>
            <w:tcW w:w="2689" w:type="dxa"/>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273"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 xml:space="preserve">Nustačius, kad Tiekėjas šiame punkte nustatytų reikalavimų nesilaiko, už Prekių priėmimą atsakingas Pirkėjo atstovas turi teisę </w:t>
            </w:r>
            <w:r w:rsidR="005618BF" w:rsidRPr="00A44FA6">
              <w:rPr>
                <w:kern w:val="2"/>
                <w:sz w:val="22"/>
                <w:szCs w:val="22"/>
                <w:shd w:val="clear" w:color="auto" w:fill="FFFFFF"/>
              </w:rPr>
              <w:t>Prekių nepriimti ir laikyti, kad Prekės turi trūkumų</w:t>
            </w:r>
            <w:r w:rsidR="005618BF" w:rsidRPr="00A44FA6">
              <w:rPr>
                <w:kern w:val="2"/>
                <w:sz w:val="22"/>
                <w:szCs w:val="22"/>
              </w:rPr>
              <w:t>, kuriuos Tiekėjas privalo i</w:t>
            </w:r>
            <w:r w:rsidR="005618BF" w:rsidRPr="00CC30E6">
              <w:rPr>
                <w:kern w:val="2"/>
                <w:sz w:val="22"/>
                <w:szCs w:val="22"/>
              </w:rPr>
              <w:t xml:space="preserve">štaisyti ir </w:t>
            </w:r>
            <w:r w:rsidR="005618BF"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lastRenderedPageBreak/>
              <w:t>14.2. Priedas Nr. 2</w:t>
            </w:r>
          </w:p>
        </w:tc>
        <w:tc>
          <w:tcPr>
            <w:tcW w:w="7273" w:type="dxa"/>
            <w:gridSpan w:val="2"/>
          </w:tcPr>
          <w:p w14:paraId="2B96BC58" w14:textId="24C9A758" w:rsidR="00256423" w:rsidRPr="00B96C6D" w:rsidRDefault="00256423" w:rsidP="00256423">
            <w:pPr>
              <w:rPr>
                <w:b/>
                <w:bCs/>
                <w:kern w:val="2"/>
                <w:sz w:val="22"/>
                <w:szCs w:val="22"/>
              </w:rPr>
            </w:pPr>
            <w:r w:rsidRPr="000D629B">
              <w:rPr>
                <w:b/>
                <w:bCs/>
                <w:kern w:val="2"/>
                <w:sz w:val="22"/>
                <w:szCs w:val="22"/>
              </w:rPr>
              <w:t>Pasiūlymas</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65683756"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FD5FB0" w:rsidRPr="00F619C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663"/>
    <w:rsid w:val="00491CA5"/>
    <w:rsid w:val="00491DCA"/>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29</Pages>
  <Words>66063</Words>
  <Characters>37656</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22</cp:revision>
  <dcterms:created xsi:type="dcterms:W3CDTF">2025-08-07T12:05:00Z</dcterms:created>
  <dcterms:modified xsi:type="dcterms:W3CDTF">2025-12-17T05:31:00Z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