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B5CA" w14:textId="2A2721E8" w:rsidR="00761FD9" w:rsidRPr="00955FEB" w:rsidRDefault="00761FD9" w:rsidP="00955FEB">
      <w:pPr>
        <w:pBdr>
          <w:top w:val="nil"/>
          <w:left w:val="nil"/>
          <w:bottom w:val="nil"/>
          <w:right w:val="nil"/>
          <w:between w:val="nil"/>
          <w:bar w:val="nil"/>
        </w:pBdr>
        <w:tabs>
          <w:tab w:val="left" w:pos="4332"/>
        </w:tabs>
        <w:spacing w:after="600"/>
        <w:ind w:firstLine="706"/>
        <w:jc w:val="center"/>
        <w:outlineLvl w:val="0"/>
        <w:rPr>
          <w:rFonts w:eastAsia="Arial Unicode MS" w:cs="Times New Roman"/>
          <w:b/>
          <w:bCs/>
          <w:caps/>
          <w:spacing w:val="4"/>
          <w:sz w:val="28"/>
          <w:szCs w:val="28"/>
          <w:bdr w:val="nil"/>
          <w:lang w:val="lt-LT" w:bidi="ta-IN"/>
        </w:rPr>
      </w:pPr>
      <w:bookmarkStart w:id="0" w:name="_Hlk96256258"/>
      <w:r w:rsidRPr="00955FEB">
        <w:rPr>
          <w:rFonts w:eastAsia="Arial Unicode MS" w:cs="Times New Roman"/>
          <w:b/>
          <w:bCs/>
          <w:caps/>
          <w:spacing w:val="4"/>
          <w:sz w:val="28"/>
          <w:szCs w:val="28"/>
          <w:bdr w:val="nil"/>
          <w:lang w:val="lt-LT" w:bidi="ta-IN"/>
        </w:rPr>
        <w:t>KOKYBĖS KRITERIJAI IR JŲ VERTINIMAS</w:t>
      </w:r>
    </w:p>
    <w:p w14:paraId="5D3CC6C0" w14:textId="2A39252D" w:rsidR="00CC656C" w:rsidRPr="00761FD9" w:rsidRDefault="00CC656C" w:rsidP="00CC656C">
      <w:pPr>
        <w:pBdr>
          <w:top w:val="nil"/>
          <w:left w:val="nil"/>
          <w:bottom w:val="nil"/>
          <w:right w:val="nil"/>
          <w:between w:val="nil"/>
          <w:bar w:val="nil"/>
        </w:pBdr>
        <w:tabs>
          <w:tab w:val="left" w:pos="4332"/>
        </w:tabs>
        <w:spacing w:after="240"/>
        <w:ind w:firstLine="709"/>
        <w:jc w:val="left"/>
        <w:outlineLvl w:val="0"/>
        <w:rPr>
          <w:rFonts w:eastAsia="Arial Unicode MS" w:cs="Times New Roman"/>
          <w:b/>
          <w:bCs/>
          <w:caps/>
          <w:spacing w:val="4"/>
          <w:szCs w:val="24"/>
          <w:bdr w:val="nil"/>
          <w:lang w:val="lt-LT" w:bidi="ta-IN"/>
        </w:rPr>
      </w:pPr>
      <w:r w:rsidRPr="00761FD9">
        <w:rPr>
          <w:rFonts w:eastAsia="Arial Unicode MS" w:cs="Times New Roman"/>
          <w:b/>
          <w:bCs/>
          <w:caps/>
          <w:spacing w:val="4"/>
          <w:szCs w:val="24"/>
          <w:bdr w:val="nil"/>
          <w:lang w:val="lt-LT" w:bidi="ta-IN"/>
        </w:rPr>
        <w:t>1.</w:t>
      </w:r>
      <w:r w:rsidR="00322BF2">
        <w:rPr>
          <w:rFonts w:eastAsia="Arial Unicode MS" w:cs="Times New Roman"/>
          <w:b/>
          <w:bCs/>
          <w:caps/>
          <w:spacing w:val="4"/>
          <w:szCs w:val="24"/>
          <w:bdr w:val="nil"/>
          <w:lang w:val="lt-LT" w:bidi="ta-IN"/>
        </w:rPr>
        <w:t xml:space="preserve"> </w:t>
      </w:r>
      <w:r w:rsidRPr="00761FD9">
        <w:rPr>
          <w:rFonts w:eastAsia="Arial Unicode MS" w:cs="Times New Roman"/>
          <w:b/>
          <w:bCs/>
          <w:caps/>
          <w:spacing w:val="4"/>
          <w:szCs w:val="24"/>
          <w:bdr w:val="nil"/>
          <w:lang w:val="lt-LT" w:bidi="ta-IN"/>
        </w:rPr>
        <w:t>BENDROSIOS NUOSTATOS</w:t>
      </w:r>
    </w:p>
    <w:p w14:paraId="0F937984" w14:textId="4EB57E37" w:rsidR="00D93AD6" w:rsidRPr="00D93AD6" w:rsidRDefault="00D93AD6" w:rsidP="00D93AD6">
      <w:pPr>
        <w:pBdr>
          <w:top w:val="nil"/>
          <w:left w:val="nil"/>
          <w:bottom w:val="nil"/>
          <w:right w:val="nil"/>
          <w:between w:val="nil"/>
          <w:bar w:val="nil"/>
        </w:pBdr>
        <w:suppressAutoHyphens/>
        <w:spacing w:after="40"/>
        <w:ind w:firstLine="706"/>
        <w:rPr>
          <w:rFonts w:eastAsia="Arial Unicode MS" w:cs="Times New Roman"/>
          <w:bCs/>
          <w:szCs w:val="24"/>
          <w:bdr w:val="nil"/>
          <w:lang w:val="lt-LT" w:bidi="ta-IN"/>
        </w:rPr>
      </w:pPr>
      <w:r w:rsidRPr="00D93AD6">
        <w:rPr>
          <w:rFonts w:eastAsia="Arial Unicode MS" w:cs="Times New Roman"/>
          <w:b/>
          <w:bCs/>
          <w:szCs w:val="24"/>
          <w:bdr w:val="nil"/>
          <w:lang w:val="lt-LT" w:bidi="ta-IN"/>
        </w:rPr>
        <w:t>Neatmesti pasiūlymai bus vertinami pagal ekonominio naudingumo kriterijus</w:t>
      </w:r>
      <w:r w:rsidRPr="00D93AD6">
        <w:rPr>
          <w:rFonts w:eastAsia="Arial Unicode MS" w:cs="Times New Roman"/>
          <w:bCs/>
          <w:szCs w:val="24"/>
          <w:bdr w:val="nil"/>
          <w:lang w:val="lt-LT" w:bidi="ta-IN"/>
        </w:rPr>
        <w:t xml:space="preserve">. Ekonomiškai naudingiausias pasiūlymas išrenkamas pagal kainos ir kokybės santykį. Pirkimo sutartis bus sudaroma su dalyviu, pateikusiu Perkančiajai organizacijai ekonomiškai naudingiausią pasiūlymą, išrinktą pagal jos nustatytus kriterijus. Ekonominis naudingumas apskaičiuojamas vadovaujantis pirkimo dokumentuose pateikta Viešųjų pirkimų tarnybos parengta ir perkančiosios organizacijos pagal pirkimo dokumentus dalinai užpildyta skaičiuokle (formulė – </w:t>
      </w:r>
      <w:proofErr w:type="spellStart"/>
      <w:r w:rsidRPr="00D93AD6">
        <w:rPr>
          <w:rFonts w:eastAsia="Arial Unicode MS" w:cs="Times New Roman"/>
          <w:bCs/>
          <w:szCs w:val="24"/>
          <w:bdr w:val="nil"/>
          <w:lang w:val="lt-LT" w:bidi="ta-IN"/>
        </w:rPr>
        <w:t>Telgen</w:t>
      </w:r>
      <w:proofErr w:type="spellEnd"/>
      <w:r w:rsidRPr="00D93AD6">
        <w:rPr>
          <w:rFonts w:eastAsia="Arial Unicode MS" w:cs="Times New Roman"/>
          <w:bCs/>
          <w:szCs w:val="24"/>
          <w:bdr w:val="nil"/>
          <w:lang w:val="lt-LT" w:bidi="ta-IN"/>
        </w:rPr>
        <w:t xml:space="preserve"> (absoliutinė)</w:t>
      </w:r>
      <w:r w:rsidR="00F929A2">
        <w:rPr>
          <w:rFonts w:eastAsia="Arial Unicode MS" w:cs="Times New Roman"/>
          <w:bCs/>
          <w:szCs w:val="24"/>
          <w:bdr w:val="nil"/>
          <w:lang w:val="lt-LT" w:bidi="ta-IN"/>
        </w:rPr>
        <w:t>.</w:t>
      </w:r>
    </w:p>
    <w:p w14:paraId="61C71DEF" w14:textId="79F9A719" w:rsidR="00D93AD6" w:rsidRPr="00D93AD6" w:rsidRDefault="00D93AD6" w:rsidP="00D93AD6">
      <w:pPr>
        <w:pBdr>
          <w:top w:val="nil"/>
          <w:left w:val="nil"/>
          <w:bottom w:val="nil"/>
          <w:right w:val="nil"/>
          <w:between w:val="nil"/>
          <w:bar w:val="nil"/>
        </w:pBdr>
        <w:spacing w:after="240"/>
        <w:ind w:firstLine="709"/>
        <w:jc w:val="left"/>
        <w:outlineLvl w:val="0"/>
        <w:rPr>
          <w:rFonts w:eastAsia="Arial Unicode MS" w:cs="Times New Roman"/>
          <w:bCs/>
          <w:szCs w:val="24"/>
          <w:bdr w:val="nil"/>
          <w:lang w:val="lt-LT" w:bidi="ta-IN"/>
        </w:rPr>
      </w:pPr>
      <w:bookmarkStart w:id="1" w:name="_Hlk96256239"/>
      <w:bookmarkEnd w:id="0"/>
      <w:r w:rsidRPr="00D93AD6">
        <w:rPr>
          <w:rFonts w:eastAsia="Arial Unicode MS" w:cs="Times New Roman"/>
          <w:bCs/>
          <w:szCs w:val="24"/>
          <w:bdr w:val="nil"/>
          <w:lang w:val="lt-LT" w:bidi="ta-IN"/>
        </w:rPr>
        <w:t xml:space="preserve">Pagal šią formulę laimėtoju pripažįstamas pasiūlymas, surinkęs didžiausią balų skaičių. Jeigu pasiūlyta kaina lygi </w:t>
      </w:r>
      <w:proofErr w:type="spellStart"/>
      <w:r w:rsidRPr="00D93AD6">
        <w:rPr>
          <w:rFonts w:eastAsia="Arial Unicode MS" w:cs="Times New Roman"/>
          <w:bCs/>
          <w:szCs w:val="24"/>
          <w:bdr w:val="nil"/>
          <w:lang w:val="lt-LT" w:bidi="ta-IN"/>
        </w:rPr>
        <w:t>PSetMax</w:t>
      </w:r>
      <w:proofErr w:type="spellEnd"/>
      <w:r w:rsidRPr="00D93AD6">
        <w:rPr>
          <w:rFonts w:eastAsia="Arial Unicode MS" w:cs="Times New Roman"/>
          <w:bCs/>
          <w:szCs w:val="24"/>
          <w:bdr w:val="nil"/>
          <w:lang w:val="lt-LT" w:bidi="ta-IN"/>
        </w:rPr>
        <w:t xml:space="preserve">, tuomet pasiūlymui už kainą suteikiama 0 balų, o pasiūlymams, kurių kaina artėja link </w:t>
      </w:r>
      <w:proofErr w:type="spellStart"/>
      <w:r w:rsidRPr="00D93AD6">
        <w:rPr>
          <w:rFonts w:eastAsia="Arial Unicode MS" w:cs="Times New Roman"/>
          <w:bCs/>
          <w:szCs w:val="24"/>
          <w:bdr w:val="nil"/>
          <w:lang w:val="lt-LT" w:bidi="ta-IN"/>
        </w:rPr>
        <w:t>PSetMin</w:t>
      </w:r>
      <w:proofErr w:type="spellEnd"/>
      <w:r w:rsidRPr="00D93AD6">
        <w:rPr>
          <w:rFonts w:eastAsia="Arial Unicode MS" w:cs="Times New Roman"/>
          <w:bCs/>
          <w:szCs w:val="24"/>
          <w:bdr w:val="nil"/>
          <w:lang w:val="lt-LT" w:bidi="ta-IN"/>
        </w:rPr>
        <w:t xml:space="preserve">, atitinkamai suteikiamas vis didesnis teigiamas balų skaičius. Pasiūlymams, kurie viršys </w:t>
      </w:r>
      <w:proofErr w:type="spellStart"/>
      <w:r w:rsidRPr="00D93AD6">
        <w:rPr>
          <w:rFonts w:eastAsia="Arial Unicode MS" w:cs="Times New Roman"/>
          <w:bCs/>
          <w:szCs w:val="24"/>
          <w:bdr w:val="nil"/>
          <w:lang w:val="lt-LT" w:bidi="ta-IN"/>
        </w:rPr>
        <w:t>PSetMax</w:t>
      </w:r>
      <w:proofErr w:type="spellEnd"/>
      <w:r w:rsidRPr="00D93AD6">
        <w:rPr>
          <w:rFonts w:eastAsia="Arial Unicode MS" w:cs="Times New Roman"/>
          <w:bCs/>
          <w:szCs w:val="24"/>
          <w:bdr w:val="nil"/>
          <w:lang w:val="lt-LT" w:bidi="ta-IN"/>
        </w:rPr>
        <w:t xml:space="preserve">, bus suteikiami neigiami balai. Pasiūlymui, kurio kaina yra lygi </w:t>
      </w:r>
      <w:proofErr w:type="spellStart"/>
      <w:r w:rsidRPr="00D93AD6">
        <w:rPr>
          <w:rFonts w:eastAsia="Arial Unicode MS" w:cs="Times New Roman"/>
          <w:bCs/>
          <w:szCs w:val="24"/>
          <w:bdr w:val="nil"/>
          <w:lang w:val="lt-LT" w:bidi="ta-IN"/>
        </w:rPr>
        <w:t>PSetMin</w:t>
      </w:r>
      <w:proofErr w:type="spellEnd"/>
      <w:r w:rsidRPr="00D93AD6">
        <w:rPr>
          <w:rFonts w:eastAsia="Arial Unicode MS" w:cs="Times New Roman"/>
          <w:bCs/>
          <w:szCs w:val="24"/>
          <w:bdr w:val="nil"/>
          <w:lang w:val="lt-LT" w:bidi="ta-IN"/>
        </w:rPr>
        <w:t xml:space="preserve">, suteikiamas balų skaičius yra lygus kainai suteiktam lyginamajam svoriui. Perkančioji organizacija nustato, kad </w:t>
      </w:r>
      <w:proofErr w:type="spellStart"/>
      <w:r w:rsidRPr="00D93AD6">
        <w:rPr>
          <w:rFonts w:eastAsia="Arial Unicode MS" w:cs="Times New Roman"/>
          <w:bCs/>
          <w:szCs w:val="24"/>
          <w:bdr w:val="nil"/>
          <w:lang w:val="lt-LT" w:bidi="ta-IN"/>
        </w:rPr>
        <w:t>PsetMin</w:t>
      </w:r>
      <w:proofErr w:type="spellEnd"/>
      <w:r w:rsidRPr="00D93AD6">
        <w:rPr>
          <w:rFonts w:eastAsia="Arial Unicode MS" w:cs="Times New Roman"/>
          <w:bCs/>
          <w:szCs w:val="24"/>
          <w:bdr w:val="nil"/>
          <w:lang w:val="lt-LT" w:bidi="ta-IN"/>
        </w:rPr>
        <w:t xml:space="preserve"> lygi </w:t>
      </w:r>
      <w:r>
        <w:rPr>
          <w:rFonts w:eastAsia="Arial Unicode MS" w:cs="Times New Roman"/>
          <w:bCs/>
          <w:szCs w:val="24"/>
          <w:bdr w:val="nil"/>
          <w:lang w:val="lt-LT" w:bidi="ta-IN"/>
        </w:rPr>
        <w:t xml:space="preserve">190 </w:t>
      </w:r>
      <w:r w:rsidRPr="00D93AD6">
        <w:rPr>
          <w:rFonts w:eastAsia="Arial Unicode MS" w:cs="Times New Roman"/>
          <w:bCs/>
          <w:szCs w:val="24"/>
          <w:bdr w:val="nil"/>
          <w:lang w:val="lt-LT" w:bidi="ta-IN"/>
        </w:rPr>
        <w:t xml:space="preserve">000,00 Eur su PVM, </w:t>
      </w:r>
      <w:proofErr w:type="spellStart"/>
      <w:r w:rsidRPr="00D93AD6">
        <w:rPr>
          <w:rFonts w:eastAsia="Arial Unicode MS" w:cs="Times New Roman"/>
          <w:bCs/>
          <w:szCs w:val="24"/>
          <w:bdr w:val="nil"/>
          <w:lang w:val="lt-LT" w:bidi="ta-IN"/>
        </w:rPr>
        <w:t>PsetMax</w:t>
      </w:r>
      <w:proofErr w:type="spellEnd"/>
      <w:r w:rsidRPr="00D93AD6">
        <w:rPr>
          <w:rFonts w:eastAsia="Arial Unicode MS" w:cs="Times New Roman"/>
          <w:bCs/>
          <w:szCs w:val="24"/>
          <w:bdr w:val="nil"/>
          <w:lang w:val="lt-LT" w:bidi="ta-IN"/>
        </w:rPr>
        <w:t xml:space="preserve"> lygi </w:t>
      </w:r>
      <w:r>
        <w:rPr>
          <w:rFonts w:eastAsia="Arial Unicode MS" w:cs="Times New Roman"/>
          <w:bCs/>
          <w:szCs w:val="24"/>
          <w:bdr w:val="nil"/>
          <w:lang w:val="lt-LT" w:bidi="ta-IN"/>
        </w:rPr>
        <w:t>242 000,00</w:t>
      </w:r>
      <w:r w:rsidRPr="00D93AD6">
        <w:rPr>
          <w:rFonts w:eastAsia="Arial Unicode MS" w:cs="Times New Roman"/>
          <w:bCs/>
          <w:szCs w:val="24"/>
          <w:bdr w:val="nil"/>
          <w:lang w:val="lt-LT" w:bidi="ta-IN"/>
        </w:rPr>
        <w:t xml:space="preserve"> Eur su PVM.</w:t>
      </w:r>
    </w:p>
    <w:tbl>
      <w:tblPr>
        <w:tblW w:w="544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576"/>
        <w:gridCol w:w="1713"/>
        <w:gridCol w:w="2034"/>
        <w:gridCol w:w="2218"/>
      </w:tblGrid>
      <w:tr w:rsidR="005E428C" w:rsidRPr="005E428C" w14:paraId="360F4391" w14:textId="77777777" w:rsidTr="005E428C">
        <w:trPr>
          <w:trHeight w:val="846"/>
        </w:trPr>
        <w:tc>
          <w:tcPr>
            <w:tcW w:w="349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6B6E968" w14:textId="77777777"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bCs/>
                <w:szCs w:val="24"/>
                <w:bdr w:val="nil"/>
                <w:lang w:val="lt-LT" w:bidi="ta-IN"/>
              </w:rPr>
            </w:pPr>
            <w:r w:rsidRPr="005E428C">
              <w:rPr>
                <w:rFonts w:eastAsia="Arial Unicode MS" w:cs="Times New Roman"/>
                <w:b/>
                <w:szCs w:val="24"/>
                <w:bdr w:val="nil"/>
                <w:lang w:val="lt-LT" w:bidi="ta-IN"/>
              </w:rPr>
              <w:t>Vertinimo kriterijai</w:t>
            </w:r>
          </w:p>
        </w:tc>
        <w:tc>
          <w:tcPr>
            <w:tcW w:w="72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2525DB" w14:textId="77777777" w:rsidR="005E428C" w:rsidRPr="005E428C" w:rsidRDefault="005E428C" w:rsidP="00BC5D2C">
            <w:pPr>
              <w:pBdr>
                <w:top w:val="nil"/>
                <w:left w:val="nil"/>
                <w:bottom w:val="nil"/>
                <w:right w:val="nil"/>
                <w:between w:val="nil"/>
                <w:bar w:val="nil"/>
              </w:pBdr>
              <w:suppressAutoHyphens/>
              <w:spacing w:after="240"/>
              <w:rPr>
                <w:rFonts w:eastAsia="Arial Unicode MS" w:cs="Times New Roman"/>
                <w:b/>
                <w:szCs w:val="24"/>
                <w:bdr w:val="nil"/>
                <w:lang w:val="lt-LT" w:bidi="ta-IN"/>
              </w:rPr>
            </w:pPr>
            <w:r w:rsidRPr="005E428C">
              <w:rPr>
                <w:rFonts w:eastAsia="Arial Unicode MS" w:cs="Times New Roman"/>
                <w:b/>
                <w:szCs w:val="24"/>
                <w:bdr w:val="nil"/>
                <w:lang w:val="lt-LT" w:bidi="ta-IN"/>
              </w:rPr>
              <w:t>Parametro lyginamasis svoris</w:t>
            </w:r>
          </w:p>
        </w:tc>
        <w:tc>
          <w:tcPr>
            <w:tcW w:w="7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2A0BB1" w14:textId="77777777" w:rsidR="005E428C" w:rsidRPr="005E428C" w:rsidRDefault="005E428C" w:rsidP="00BC5D2C">
            <w:pPr>
              <w:pBdr>
                <w:top w:val="nil"/>
                <w:left w:val="nil"/>
                <w:bottom w:val="nil"/>
                <w:right w:val="nil"/>
                <w:between w:val="nil"/>
                <w:bar w:val="nil"/>
              </w:pBdr>
              <w:suppressAutoHyphens/>
              <w:spacing w:after="240"/>
              <w:rPr>
                <w:rFonts w:eastAsia="Arial Unicode MS" w:cs="Times New Roman"/>
                <w:b/>
                <w:szCs w:val="24"/>
                <w:bdr w:val="nil"/>
                <w:lang w:val="lt-LT" w:bidi="ta-IN"/>
              </w:rPr>
            </w:pPr>
            <w:r w:rsidRPr="005E428C">
              <w:rPr>
                <w:rFonts w:eastAsia="Arial Unicode MS" w:cs="Times New Roman"/>
                <w:b/>
                <w:szCs w:val="24"/>
                <w:bdr w:val="nil"/>
                <w:lang w:val="lt-LT" w:bidi="ta-IN"/>
              </w:rPr>
              <w:t>Lyginamasis svoris ekonominio naudingumo įvertinime</w:t>
            </w:r>
          </w:p>
        </w:tc>
      </w:tr>
      <w:tr w:rsidR="005E428C" w:rsidRPr="005E428C" w14:paraId="43C6ECB0" w14:textId="77777777" w:rsidTr="005E428C">
        <w:tc>
          <w:tcPr>
            <w:tcW w:w="421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029FE959" w14:textId="77777777"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bCs/>
                <w:szCs w:val="24"/>
                <w:bdr w:val="nil"/>
                <w:lang w:val="lt-LT" w:bidi="ta-IN"/>
              </w:rPr>
            </w:pPr>
            <w:r w:rsidRPr="005E428C">
              <w:rPr>
                <w:rFonts w:eastAsia="Arial Unicode MS" w:cs="Times New Roman"/>
                <w:b/>
                <w:szCs w:val="24"/>
                <w:bdr w:val="nil"/>
                <w:lang w:val="lt-LT" w:bidi="ta-IN"/>
              </w:rPr>
              <w:t>Kaina (K)</w:t>
            </w:r>
          </w:p>
        </w:tc>
        <w:tc>
          <w:tcPr>
            <w:tcW w:w="7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C79C60" w14:textId="48CDC4CD"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bCs/>
                <w:szCs w:val="24"/>
                <w:bdr w:val="nil"/>
                <w:lang w:val="lt-LT" w:bidi="ta-IN"/>
              </w:rPr>
            </w:pPr>
            <w:r w:rsidRPr="005E428C">
              <w:rPr>
                <w:rFonts w:eastAsia="Arial Unicode MS" w:cs="Times New Roman"/>
                <w:b/>
                <w:szCs w:val="24"/>
                <w:bdr w:val="nil"/>
                <w:lang w:val="lt-LT" w:bidi="ta-IN"/>
              </w:rPr>
              <w:t>X=</w:t>
            </w:r>
            <w:r>
              <w:rPr>
                <w:rFonts w:eastAsia="Arial Unicode MS" w:cs="Times New Roman"/>
                <w:b/>
                <w:szCs w:val="24"/>
                <w:bdr w:val="nil"/>
                <w:lang w:val="lt-LT" w:bidi="ta-IN"/>
              </w:rPr>
              <w:t>70</w:t>
            </w:r>
          </w:p>
        </w:tc>
      </w:tr>
      <w:tr w:rsidR="005E428C" w:rsidRPr="005E428C" w14:paraId="6CF05A3D" w14:textId="77777777" w:rsidTr="005E428C">
        <w:tc>
          <w:tcPr>
            <w:tcW w:w="4214"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552DDCFE" w14:textId="77777777"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szCs w:val="24"/>
                <w:bdr w:val="nil"/>
                <w:lang w:val="lt-LT" w:bidi="ta-IN"/>
              </w:rPr>
            </w:pPr>
            <w:r w:rsidRPr="005E428C">
              <w:rPr>
                <w:rFonts w:eastAsia="Arial Unicode MS" w:cs="Times New Roman"/>
                <w:b/>
                <w:szCs w:val="24"/>
                <w:bdr w:val="nil"/>
                <w:lang w:val="lt-LT" w:bidi="ta-IN"/>
              </w:rPr>
              <w:t>Techniniai pranašumai (T)</w:t>
            </w:r>
          </w:p>
        </w:tc>
        <w:tc>
          <w:tcPr>
            <w:tcW w:w="78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83DE34" w14:textId="25184553"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szCs w:val="24"/>
                <w:bdr w:val="nil"/>
                <w:lang w:val="en-GB" w:bidi="ta-IN"/>
              </w:rPr>
            </w:pPr>
            <w:r>
              <w:rPr>
                <w:rFonts w:eastAsia="Arial Unicode MS" w:cs="Times New Roman"/>
                <w:b/>
                <w:szCs w:val="24"/>
                <w:bdr w:val="nil"/>
                <w:lang w:val="en-GB" w:bidi="ta-IN"/>
              </w:rPr>
              <w:t>Y</w:t>
            </w:r>
            <w:r w:rsidRPr="005E428C">
              <w:rPr>
                <w:rFonts w:eastAsia="Arial Unicode MS" w:cs="Times New Roman"/>
                <w:b/>
                <w:szCs w:val="24"/>
                <w:bdr w:val="nil"/>
                <w:lang w:val="en-GB" w:bidi="ta-IN"/>
              </w:rPr>
              <w:t>=</w:t>
            </w:r>
            <w:r>
              <w:rPr>
                <w:rFonts w:eastAsia="Arial Unicode MS" w:cs="Times New Roman"/>
                <w:b/>
                <w:szCs w:val="24"/>
                <w:bdr w:val="nil"/>
                <w:lang w:val="en-GB" w:bidi="ta-IN"/>
              </w:rPr>
              <w:t>30</w:t>
            </w:r>
          </w:p>
        </w:tc>
      </w:tr>
      <w:tr w:rsidR="00BC5D2C" w:rsidRPr="005E428C" w14:paraId="6F917BD9" w14:textId="77777777" w:rsidTr="00BC5D2C">
        <w:tc>
          <w:tcPr>
            <w:tcW w:w="201" w:type="pct"/>
            <w:tcBorders>
              <w:top w:val="single" w:sz="4" w:space="0" w:color="auto"/>
              <w:left w:val="single" w:sz="4" w:space="0" w:color="auto"/>
              <w:bottom w:val="single" w:sz="4" w:space="0" w:color="auto"/>
              <w:right w:val="single" w:sz="4" w:space="0" w:color="auto"/>
            </w:tcBorders>
            <w:hideMark/>
          </w:tcPr>
          <w:p w14:paraId="5BC2BED5" w14:textId="77777777" w:rsidR="005E428C" w:rsidRPr="005E428C" w:rsidRDefault="005E428C" w:rsidP="00BC5D2C">
            <w:pPr>
              <w:pBdr>
                <w:top w:val="nil"/>
                <w:left w:val="nil"/>
                <w:bottom w:val="nil"/>
                <w:right w:val="nil"/>
                <w:between w:val="nil"/>
                <w:bar w:val="nil"/>
              </w:pBdr>
              <w:suppressAutoHyphens/>
              <w:spacing w:after="240"/>
              <w:rPr>
                <w:rFonts w:eastAsia="Arial Unicode MS" w:cs="Times New Roman"/>
                <w:b/>
                <w:szCs w:val="24"/>
                <w:bdr w:val="nil"/>
                <w:lang w:val="lt-LT" w:bidi="ta-IN"/>
              </w:rPr>
            </w:pPr>
            <w:r w:rsidRPr="005E428C">
              <w:rPr>
                <w:rFonts w:eastAsia="Arial Unicode MS" w:cs="Times New Roman"/>
                <w:b/>
                <w:szCs w:val="24"/>
                <w:bdr w:val="nil"/>
                <w:lang w:val="lt-LT" w:bidi="ta-IN"/>
              </w:rPr>
              <w:t>Nr.</w:t>
            </w:r>
          </w:p>
        </w:tc>
        <w:tc>
          <w:tcPr>
            <w:tcW w:w="2685" w:type="pct"/>
            <w:tcBorders>
              <w:top w:val="single" w:sz="4" w:space="0" w:color="auto"/>
              <w:left w:val="single" w:sz="4" w:space="0" w:color="auto"/>
              <w:bottom w:val="single" w:sz="4" w:space="0" w:color="auto"/>
              <w:right w:val="single" w:sz="4" w:space="0" w:color="auto"/>
            </w:tcBorders>
            <w:vAlign w:val="center"/>
            <w:hideMark/>
          </w:tcPr>
          <w:p w14:paraId="591FE824" w14:textId="77777777" w:rsidR="005E428C" w:rsidRPr="005E428C" w:rsidRDefault="005E428C" w:rsidP="00BC5D2C">
            <w:pPr>
              <w:pBdr>
                <w:top w:val="nil"/>
                <w:left w:val="nil"/>
                <w:bottom w:val="nil"/>
                <w:right w:val="nil"/>
                <w:between w:val="nil"/>
                <w:bar w:val="nil"/>
              </w:pBdr>
              <w:suppressAutoHyphens/>
              <w:spacing w:after="240"/>
              <w:rPr>
                <w:rFonts w:eastAsia="Arial Unicode MS" w:cs="Times New Roman"/>
                <w:b/>
                <w:szCs w:val="24"/>
                <w:bdr w:val="nil"/>
                <w:lang w:val="lt-LT" w:bidi="ta-IN"/>
              </w:rPr>
            </w:pPr>
            <w:r w:rsidRPr="005E428C">
              <w:rPr>
                <w:rFonts w:eastAsia="Arial Unicode MS" w:cs="Times New Roman"/>
                <w:b/>
                <w:szCs w:val="24"/>
                <w:bdr w:val="nil"/>
                <w:lang w:val="lt-LT" w:bidi="ta-IN"/>
              </w:rPr>
              <w:t>Parametras</w:t>
            </w:r>
          </w:p>
        </w:tc>
        <w:tc>
          <w:tcPr>
            <w:tcW w:w="607" w:type="pct"/>
            <w:tcBorders>
              <w:top w:val="single" w:sz="4" w:space="0" w:color="auto"/>
              <w:left w:val="single" w:sz="4" w:space="0" w:color="auto"/>
              <w:bottom w:val="single" w:sz="4" w:space="0" w:color="auto"/>
              <w:right w:val="single" w:sz="4" w:space="0" w:color="auto"/>
            </w:tcBorders>
            <w:vAlign w:val="center"/>
            <w:hideMark/>
          </w:tcPr>
          <w:p w14:paraId="38198319" w14:textId="14C34BFF" w:rsidR="005E428C" w:rsidRPr="005E428C" w:rsidRDefault="005E428C" w:rsidP="00BC5D2C">
            <w:pPr>
              <w:pBdr>
                <w:top w:val="nil"/>
                <w:left w:val="nil"/>
                <w:bottom w:val="nil"/>
                <w:right w:val="nil"/>
                <w:between w:val="nil"/>
                <w:bar w:val="nil"/>
              </w:pBdr>
              <w:suppressAutoHyphens/>
              <w:spacing w:after="240"/>
              <w:rPr>
                <w:rFonts w:eastAsia="Arial Unicode MS" w:cs="Times New Roman"/>
                <w:b/>
                <w:szCs w:val="24"/>
                <w:bdr w:val="nil"/>
                <w:lang w:val="lt-LT" w:bidi="ta-IN"/>
              </w:rPr>
            </w:pPr>
            <w:r w:rsidRPr="005E428C">
              <w:rPr>
                <w:rFonts w:eastAsia="Arial Unicode MS" w:cs="Times New Roman"/>
                <w:b/>
                <w:szCs w:val="24"/>
                <w:bdr w:val="nil"/>
                <w:lang w:val="lt-LT" w:bidi="ta-IN"/>
              </w:rPr>
              <w:t>Metodas</w:t>
            </w:r>
          </w:p>
        </w:tc>
        <w:tc>
          <w:tcPr>
            <w:tcW w:w="721" w:type="pct"/>
            <w:tcBorders>
              <w:top w:val="single" w:sz="4" w:space="0" w:color="auto"/>
              <w:left w:val="single" w:sz="4" w:space="0" w:color="auto"/>
              <w:bottom w:val="single" w:sz="4" w:space="0" w:color="auto"/>
              <w:right w:val="single" w:sz="4" w:space="0" w:color="auto"/>
            </w:tcBorders>
          </w:tcPr>
          <w:p w14:paraId="45C71DA3" w14:textId="77777777"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bCs/>
                <w:szCs w:val="24"/>
                <w:bdr w:val="nil"/>
                <w:lang w:val="lt-LT" w:bidi="ta-IN"/>
              </w:rPr>
            </w:pPr>
          </w:p>
        </w:tc>
        <w:tc>
          <w:tcPr>
            <w:tcW w:w="786" w:type="pct"/>
            <w:tcBorders>
              <w:top w:val="single" w:sz="4" w:space="0" w:color="auto"/>
              <w:left w:val="single" w:sz="4" w:space="0" w:color="auto"/>
              <w:bottom w:val="single" w:sz="4" w:space="0" w:color="auto"/>
              <w:right w:val="single" w:sz="4" w:space="0" w:color="auto"/>
            </w:tcBorders>
            <w:hideMark/>
          </w:tcPr>
          <w:p w14:paraId="02C8E1F7" w14:textId="77777777" w:rsidR="005E428C" w:rsidRPr="005E428C" w:rsidRDefault="005E428C" w:rsidP="005E428C">
            <w:pPr>
              <w:pBdr>
                <w:top w:val="nil"/>
                <w:left w:val="nil"/>
                <w:bottom w:val="nil"/>
                <w:right w:val="nil"/>
                <w:between w:val="nil"/>
                <w:bar w:val="nil"/>
              </w:pBdr>
              <w:suppressAutoHyphens/>
              <w:spacing w:after="240"/>
              <w:ind w:firstLine="709"/>
              <w:rPr>
                <w:rFonts w:eastAsia="Arial Unicode MS" w:cs="Times New Roman"/>
                <w:b/>
                <w:szCs w:val="24"/>
                <w:bdr w:val="nil"/>
                <w:lang w:val="lt-LT" w:bidi="ta-IN"/>
              </w:rPr>
            </w:pPr>
            <w:r w:rsidRPr="005E428C">
              <w:rPr>
                <w:rFonts w:eastAsia="Arial Unicode MS" w:cs="Times New Roman"/>
                <w:b/>
                <w:szCs w:val="24"/>
                <w:bdr w:val="nil"/>
                <w:lang w:val="lt-LT" w:bidi="ta-IN"/>
              </w:rPr>
              <w:t>Vertė</w:t>
            </w:r>
          </w:p>
        </w:tc>
      </w:tr>
      <w:tr w:rsidR="00D622B8" w:rsidRPr="005E428C" w14:paraId="051B1681" w14:textId="77777777" w:rsidTr="00BC5D2C">
        <w:trPr>
          <w:trHeight w:val="1373"/>
        </w:trPr>
        <w:tc>
          <w:tcPr>
            <w:tcW w:w="201" w:type="pct"/>
            <w:tcBorders>
              <w:top w:val="single" w:sz="4" w:space="0" w:color="auto"/>
              <w:left w:val="single" w:sz="4" w:space="0" w:color="auto"/>
              <w:bottom w:val="single" w:sz="4" w:space="0" w:color="auto"/>
              <w:right w:val="single" w:sz="4" w:space="0" w:color="auto"/>
            </w:tcBorders>
            <w:vAlign w:val="center"/>
            <w:hideMark/>
          </w:tcPr>
          <w:p w14:paraId="3B4919BD"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T</w:t>
            </w:r>
            <w:r w:rsidRPr="005E428C">
              <w:rPr>
                <w:rFonts w:eastAsia="Arial Unicode MS" w:cs="Times New Roman"/>
                <w:szCs w:val="24"/>
                <w:bdr w:val="nil"/>
                <w:vertAlign w:val="subscript"/>
                <w:lang w:val="lt-LT" w:bidi="ta-IN"/>
              </w:rPr>
              <w:t>1</w:t>
            </w:r>
          </w:p>
        </w:tc>
        <w:tc>
          <w:tcPr>
            <w:tcW w:w="2685" w:type="pct"/>
            <w:tcBorders>
              <w:top w:val="single" w:sz="4" w:space="0" w:color="auto"/>
              <w:left w:val="single" w:sz="4" w:space="0" w:color="auto"/>
              <w:bottom w:val="single" w:sz="4" w:space="0" w:color="auto"/>
              <w:right w:val="single" w:sz="4" w:space="0" w:color="auto"/>
            </w:tcBorders>
            <w:vAlign w:val="center"/>
            <w:hideMark/>
          </w:tcPr>
          <w:p w14:paraId="35CB4190" w14:textId="13737100" w:rsidR="00D622B8" w:rsidRPr="00BC5D2C" w:rsidRDefault="00D622B8" w:rsidP="00D622B8">
            <w:pPr>
              <w:spacing w:before="60" w:after="60"/>
              <w:rPr>
                <w:b/>
                <w:bCs/>
                <w:noProof/>
                <w:szCs w:val="24"/>
              </w:rPr>
            </w:pPr>
            <w:proofErr w:type="spellStart"/>
            <w:r w:rsidRPr="00BC5D2C">
              <w:rPr>
                <w:b/>
                <w:bCs/>
                <w:szCs w:val="24"/>
              </w:rPr>
              <w:t>Optinė</w:t>
            </w:r>
            <w:proofErr w:type="spellEnd"/>
            <w:r w:rsidRPr="00BC5D2C">
              <w:rPr>
                <w:b/>
                <w:bCs/>
                <w:szCs w:val="24"/>
              </w:rPr>
              <w:t xml:space="preserve"> </w:t>
            </w:r>
            <w:proofErr w:type="spellStart"/>
            <w:r w:rsidRPr="00BC5D2C">
              <w:rPr>
                <w:b/>
                <w:bCs/>
                <w:szCs w:val="24"/>
              </w:rPr>
              <w:t>kokybė</w:t>
            </w:r>
            <w:proofErr w:type="spellEnd"/>
            <w:r w:rsidRPr="00BC5D2C">
              <w:rPr>
                <w:b/>
                <w:bCs/>
                <w:szCs w:val="24"/>
              </w:rPr>
              <w:t>:</w:t>
            </w:r>
            <w:r w:rsidRPr="00BC5D2C">
              <w:rPr>
                <w:szCs w:val="24"/>
              </w:rPr>
              <w:t xml:space="preserve"> </w:t>
            </w:r>
            <w:proofErr w:type="spellStart"/>
            <w:r w:rsidRPr="00BC5D2C">
              <w:rPr>
                <w:szCs w:val="24"/>
              </w:rPr>
              <w:t>Vaizdo</w:t>
            </w:r>
            <w:proofErr w:type="spellEnd"/>
            <w:r w:rsidRPr="00BC5D2C">
              <w:rPr>
                <w:szCs w:val="24"/>
              </w:rPr>
              <w:t xml:space="preserve"> </w:t>
            </w:r>
            <w:proofErr w:type="spellStart"/>
            <w:r w:rsidRPr="00BC5D2C">
              <w:rPr>
                <w:szCs w:val="24"/>
              </w:rPr>
              <w:t>kokybės</w:t>
            </w:r>
            <w:proofErr w:type="spellEnd"/>
            <w:r w:rsidRPr="00BC5D2C">
              <w:rPr>
                <w:szCs w:val="24"/>
              </w:rPr>
              <w:t xml:space="preserve"> </w:t>
            </w:r>
            <w:proofErr w:type="spellStart"/>
            <w:r w:rsidRPr="00BC5D2C">
              <w:rPr>
                <w:szCs w:val="24"/>
              </w:rPr>
              <w:t>gerinimo</w:t>
            </w:r>
            <w:proofErr w:type="spellEnd"/>
            <w:r w:rsidRPr="00BC5D2C">
              <w:rPr>
                <w:szCs w:val="24"/>
              </w:rPr>
              <w:t xml:space="preserve"> </w:t>
            </w:r>
            <w:proofErr w:type="spellStart"/>
            <w:r w:rsidRPr="00BC5D2C">
              <w:rPr>
                <w:szCs w:val="24"/>
              </w:rPr>
              <w:t>optikos</w:t>
            </w:r>
            <w:proofErr w:type="spellEnd"/>
            <w:r w:rsidRPr="00BC5D2C">
              <w:rPr>
                <w:szCs w:val="24"/>
              </w:rPr>
              <w:t xml:space="preserve"> </w:t>
            </w:r>
            <w:proofErr w:type="spellStart"/>
            <w:r w:rsidRPr="00BC5D2C">
              <w:rPr>
                <w:szCs w:val="24"/>
              </w:rPr>
              <w:t>technologija</w:t>
            </w:r>
            <w:proofErr w:type="spellEnd"/>
            <w:r w:rsidRPr="00BC5D2C">
              <w:rPr>
                <w:szCs w:val="24"/>
              </w:rPr>
              <w:t xml:space="preserve">. </w:t>
            </w:r>
            <w:proofErr w:type="spellStart"/>
            <w:r w:rsidRPr="00BC5D2C">
              <w:rPr>
                <w:szCs w:val="24"/>
              </w:rPr>
              <w:t>Mikroskopas</w:t>
            </w:r>
            <w:proofErr w:type="spellEnd"/>
            <w:r w:rsidRPr="00BC5D2C">
              <w:rPr>
                <w:szCs w:val="24"/>
              </w:rPr>
              <w:t xml:space="preserve"> </w:t>
            </w:r>
            <w:proofErr w:type="spellStart"/>
            <w:r w:rsidRPr="00BC5D2C">
              <w:rPr>
                <w:szCs w:val="24"/>
              </w:rPr>
              <w:t>turi</w:t>
            </w:r>
            <w:proofErr w:type="spellEnd"/>
            <w:r w:rsidRPr="00BC5D2C">
              <w:rPr>
                <w:szCs w:val="24"/>
              </w:rPr>
              <w:t xml:space="preserve"> </w:t>
            </w:r>
            <w:proofErr w:type="spellStart"/>
            <w:r w:rsidRPr="00BC5D2C">
              <w:rPr>
                <w:szCs w:val="24"/>
              </w:rPr>
              <w:t>optinę</w:t>
            </w:r>
            <w:proofErr w:type="spellEnd"/>
            <w:r w:rsidRPr="00BC5D2C">
              <w:rPr>
                <w:szCs w:val="24"/>
              </w:rPr>
              <w:t xml:space="preserve"> </w:t>
            </w:r>
            <w:proofErr w:type="spellStart"/>
            <w:r w:rsidRPr="00BC5D2C">
              <w:rPr>
                <w:szCs w:val="24"/>
              </w:rPr>
              <w:t>technologiją</w:t>
            </w:r>
            <w:proofErr w:type="spellEnd"/>
            <w:r w:rsidRPr="00BC5D2C">
              <w:rPr>
                <w:szCs w:val="24"/>
              </w:rPr>
              <w:t xml:space="preserve">, </w:t>
            </w:r>
            <w:proofErr w:type="spellStart"/>
            <w:r w:rsidRPr="00BC5D2C">
              <w:rPr>
                <w:szCs w:val="24"/>
              </w:rPr>
              <w:t>kuri</w:t>
            </w:r>
            <w:proofErr w:type="spellEnd"/>
            <w:r w:rsidRPr="00BC5D2C">
              <w:rPr>
                <w:szCs w:val="24"/>
              </w:rPr>
              <w:t xml:space="preserve"> </w:t>
            </w:r>
            <w:proofErr w:type="spellStart"/>
            <w:r w:rsidRPr="00BC5D2C">
              <w:rPr>
                <w:szCs w:val="24"/>
              </w:rPr>
              <w:t>vienu</w:t>
            </w:r>
            <w:proofErr w:type="spellEnd"/>
            <w:r w:rsidRPr="00BC5D2C">
              <w:rPr>
                <w:szCs w:val="24"/>
              </w:rPr>
              <w:t xml:space="preserve"> </w:t>
            </w:r>
            <w:proofErr w:type="spellStart"/>
            <w:r w:rsidRPr="00BC5D2C">
              <w:rPr>
                <w:szCs w:val="24"/>
              </w:rPr>
              <w:t>metu</w:t>
            </w:r>
            <w:proofErr w:type="spellEnd"/>
            <w:r w:rsidRPr="00BC5D2C">
              <w:rPr>
                <w:szCs w:val="24"/>
              </w:rPr>
              <w:t xml:space="preserve"> </w:t>
            </w:r>
            <w:proofErr w:type="spellStart"/>
            <w:r w:rsidRPr="00BC5D2C">
              <w:rPr>
                <w:szCs w:val="24"/>
              </w:rPr>
              <w:t>leidžia</w:t>
            </w:r>
            <w:proofErr w:type="spellEnd"/>
            <w:r w:rsidRPr="00BC5D2C">
              <w:rPr>
                <w:szCs w:val="24"/>
              </w:rPr>
              <w:t xml:space="preserve"> </w:t>
            </w:r>
            <w:proofErr w:type="spellStart"/>
            <w:r w:rsidRPr="00BC5D2C">
              <w:rPr>
                <w:szCs w:val="24"/>
              </w:rPr>
              <w:t>padidinti</w:t>
            </w:r>
            <w:proofErr w:type="spellEnd"/>
            <w:r w:rsidRPr="00BC5D2C">
              <w:rPr>
                <w:szCs w:val="24"/>
              </w:rPr>
              <w:t xml:space="preserve"> </w:t>
            </w:r>
            <w:proofErr w:type="spellStart"/>
            <w:r w:rsidRPr="00BC5D2C">
              <w:rPr>
                <w:szCs w:val="24"/>
              </w:rPr>
              <w:t>lauko</w:t>
            </w:r>
            <w:proofErr w:type="spellEnd"/>
            <w:r w:rsidRPr="00BC5D2C">
              <w:rPr>
                <w:szCs w:val="24"/>
              </w:rPr>
              <w:t xml:space="preserve"> </w:t>
            </w:r>
            <w:proofErr w:type="spellStart"/>
            <w:r w:rsidRPr="00BC5D2C">
              <w:rPr>
                <w:szCs w:val="24"/>
              </w:rPr>
              <w:t>gylį</w:t>
            </w:r>
            <w:proofErr w:type="spellEnd"/>
            <w:r w:rsidRPr="00BC5D2C">
              <w:rPr>
                <w:szCs w:val="24"/>
              </w:rPr>
              <w:t xml:space="preserve"> </w:t>
            </w:r>
            <w:proofErr w:type="spellStart"/>
            <w:r w:rsidRPr="00BC5D2C">
              <w:rPr>
                <w:szCs w:val="24"/>
              </w:rPr>
              <w:t>ir</w:t>
            </w:r>
            <w:proofErr w:type="spellEnd"/>
            <w:r w:rsidRPr="00BC5D2C">
              <w:rPr>
                <w:szCs w:val="24"/>
              </w:rPr>
              <w:t xml:space="preserve"> </w:t>
            </w:r>
            <w:proofErr w:type="spellStart"/>
            <w:r w:rsidRPr="00BC5D2C">
              <w:rPr>
                <w:szCs w:val="24"/>
              </w:rPr>
              <w:t>išlaikyti</w:t>
            </w:r>
            <w:proofErr w:type="spellEnd"/>
            <w:r w:rsidRPr="00BC5D2C">
              <w:rPr>
                <w:szCs w:val="24"/>
              </w:rPr>
              <w:t xml:space="preserve"> </w:t>
            </w:r>
            <w:proofErr w:type="spellStart"/>
            <w:r w:rsidRPr="00BC5D2C">
              <w:rPr>
                <w:szCs w:val="24"/>
              </w:rPr>
              <w:t>didžiausią</w:t>
            </w:r>
            <w:proofErr w:type="spellEnd"/>
            <w:r w:rsidRPr="00BC5D2C">
              <w:rPr>
                <w:szCs w:val="24"/>
              </w:rPr>
              <w:t xml:space="preserve"> </w:t>
            </w:r>
            <w:proofErr w:type="spellStart"/>
            <w:r w:rsidRPr="00BC5D2C">
              <w:rPr>
                <w:szCs w:val="24"/>
              </w:rPr>
              <w:t>optinę</w:t>
            </w:r>
            <w:proofErr w:type="spellEnd"/>
            <w:r w:rsidRPr="00BC5D2C">
              <w:rPr>
                <w:szCs w:val="24"/>
              </w:rPr>
              <w:t xml:space="preserve"> </w:t>
            </w:r>
            <w:proofErr w:type="spellStart"/>
            <w:r w:rsidRPr="00BC5D2C">
              <w:rPr>
                <w:szCs w:val="24"/>
              </w:rPr>
              <w:t>raišką</w:t>
            </w:r>
            <w:proofErr w:type="spellEnd"/>
            <w:r w:rsidRPr="00BC5D2C">
              <w:rPr>
                <w:szCs w:val="24"/>
              </w:rPr>
              <w:t xml:space="preserve">, </w:t>
            </w:r>
            <w:proofErr w:type="spellStart"/>
            <w:r w:rsidRPr="00BC5D2C">
              <w:rPr>
                <w:szCs w:val="24"/>
              </w:rPr>
              <w:t>naudojant</w:t>
            </w:r>
            <w:proofErr w:type="spellEnd"/>
            <w:r w:rsidRPr="00BC5D2C">
              <w:rPr>
                <w:szCs w:val="24"/>
              </w:rPr>
              <w:t xml:space="preserve"> </w:t>
            </w:r>
            <w:proofErr w:type="spellStart"/>
            <w:r w:rsidRPr="00BC5D2C">
              <w:rPr>
                <w:szCs w:val="24"/>
              </w:rPr>
              <w:t>skirtingų</w:t>
            </w:r>
            <w:proofErr w:type="spellEnd"/>
            <w:r w:rsidRPr="00BC5D2C">
              <w:rPr>
                <w:szCs w:val="24"/>
              </w:rPr>
              <w:t xml:space="preserve"> </w:t>
            </w:r>
            <w:proofErr w:type="spellStart"/>
            <w:r w:rsidRPr="00BC5D2C">
              <w:rPr>
                <w:szCs w:val="24"/>
              </w:rPr>
              <w:t>parametrų</w:t>
            </w:r>
            <w:proofErr w:type="spellEnd"/>
            <w:r w:rsidRPr="00BC5D2C">
              <w:rPr>
                <w:szCs w:val="24"/>
              </w:rPr>
              <w:t xml:space="preserve"> </w:t>
            </w:r>
            <w:proofErr w:type="spellStart"/>
            <w:r w:rsidRPr="00BC5D2C">
              <w:rPr>
                <w:szCs w:val="24"/>
              </w:rPr>
              <w:t>optinius</w:t>
            </w:r>
            <w:proofErr w:type="spellEnd"/>
            <w:r w:rsidRPr="00BC5D2C">
              <w:rPr>
                <w:szCs w:val="24"/>
              </w:rPr>
              <w:t xml:space="preserve"> </w:t>
            </w:r>
            <w:proofErr w:type="spellStart"/>
            <w:r w:rsidRPr="00BC5D2C">
              <w:rPr>
                <w:szCs w:val="24"/>
              </w:rPr>
              <w:t>spindulių</w:t>
            </w:r>
            <w:proofErr w:type="spellEnd"/>
            <w:r w:rsidRPr="00BC5D2C">
              <w:rPr>
                <w:szCs w:val="24"/>
              </w:rPr>
              <w:t xml:space="preserve"> </w:t>
            </w:r>
            <w:proofErr w:type="spellStart"/>
            <w:r w:rsidRPr="00BC5D2C">
              <w:rPr>
                <w:szCs w:val="24"/>
              </w:rPr>
              <w:t>kelius</w:t>
            </w:r>
            <w:proofErr w:type="spellEnd"/>
            <w:r w:rsidRPr="00BC5D2C">
              <w:rPr>
                <w:szCs w:val="24"/>
              </w:rPr>
              <w:t xml:space="preserve"> (</w:t>
            </w:r>
            <w:proofErr w:type="spellStart"/>
            <w:r w:rsidRPr="00BC5D2C">
              <w:rPr>
                <w:szCs w:val="24"/>
              </w:rPr>
              <w:t>pvz</w:t>
            </w:r>
            <w:proofErr w:type="spellEnd"/>
            <w:r w:rsidRPr="00BC5D2C">
              <w:rPr>
                <w:szCs w:val="24"/>
              </w:rPr>
              <w:t xml:space="preserve">., „differential focus optics“ </w:t>
            </w:r>
            <w:proofErr w:type="spellStart"/>
            <w:r w:rsidRPr="00BC5D2C">
              <w:rPr>
                <w:szCs w:val="24"/>
              </w:rPr>
              <w:t>principu</w:t>
            </w:r>
            <w:proofErr w:type="spellEnd"/>
            <w:r w:rsidRPr="00BC5D2C">
              <w:rPr>
                <w:szCs w:val="24"/>
              </w:rPr>
              <w:t>).</w:t>
            </w:r>
          </w:p>
          <w:p w14:paraId="7E6D3369" w14:textId="26200778" w:rsidR="00D622B8" w:rsidRPr="005E428C" w:rsidRDefault="00D622B8" w:rsidP="00D622B8">
            <w:pPr>
              <w:pBdr>
                <w:top w:val="nil"/>
                <w:left w:val="nil"/>
                <w:bottom w:val="nil"/>
                <w:right w:val="nil"/>
                <w:between w:val="nil"/>
                <w:bar w:val="nil"/>
              </w:pBdr>
              <w:suppressAutoHyphens/>
              <w:spacing w:after="240"/>
              <w:ind w:firstLine="709"/>
              <w:rPr>
                <w:rFonts w:eastAsia="Arial Unicode MS" w:cs="Times New Roman"/>
                <w:szCs w:val="24"/>
                <w:bdr w:val="nil"/>
                <w:lang w:val="lt-LT" w:bidi="ta-IN"/>
              </w:rPr>
            </w:pPr>
          </w:p>
        </w:tc>
        <w:tc>
          <w:tcPr>
            <w:tcW w:w="607" w:type="pct"/>
            <w:tcBorders>
              <w:top w:val="single" w:sz="4" w:space="0" w:color="auto"/>
              <w:left w:val="single" w:sz="4" w:space="0" w:color="auto"/>
              <w:bottom w:val="single" w:sz="4" w:space="0" w:color="auto"/>
              <w:right w:val="single" w:sz="4" w:space="0" w:color="auto"/>
            </w:tcBorders>
            <w:vAlign w:val="center"/>
            <w:hideMark/>
          </w:tcPr>
          <w:p w14:paraId="4784C0BC" w14:textId="77777777" w:rsidR="00D622B8" w:rsidRDefault="00D622B8" w:rsidP="001F4D57">
            <w:pPr>
              <w:pStyle w:val="NoSpacing"/>
              <w:rPr>
                <w:sz w:val="22"/>
                <w:lang w:eastAsia="zh-CN"/>
              </w:rPr>
            </w:pPr>
            <w:proofErr w:type="spellStart"/>
            <w:r>
              <w:rPr>
                <w:lang w:eastAsia="zh-CN"/>
              </w:rPr>
              <w:t>Statinis</w:t>
            </w:r>
            <w:proofErr w:type="spellEnd"/>
            <w:r>
              <w:rPr>
                <w:lang w:eastAsia="zh-CN"/>
              </w:rPr>
              <w:t>:</w:t>
            </w:r>
          </w:p>
          <w:p w14:paraId="3E5A357C" w14:textId="4AE2C7A2" w:rsidR="00D622B8" w:rsidRPr="005E428C" w:rsidRDefault="00D622B8" w:rsidP="001F4D57">
            <w:pPr>
              <w:pStyle w:val="NoSpacing"/>
              <w:rPr>
                <w:bCs/>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hideMark/>
          </w:tcPr>
          <w:p w14:paraId="25C2B715" w14:textId="32B2FA24"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D622B8">
              <w:rPr>
                <w:rFonts w:eastAsia="Arial Unicode MS" w:cs="Times New Roman"/>
                <w:szCs w:val="24"/>
                <w:bdr w:val="nil"/>
                <w:lang w:val="lt-LT" w:bidi="ta-IN"/>
              </w:rPr>
              <w:t>Y</w:t>
            </w:r>
            <w:r w:rsidRPr="005E428C">
              <w:rPr>
                <w:rFonts w:eastAsia="Arial Unicode MS" w:cs="Times New Roman"/>
                <w:szCs w:val="24"/>
                <w:bdr w:val="nil"/>
                <w:vertAlign w:val="subscript"/>
                <w:lang w:val="lt-LT" w:bidi="ta-IN"/>
              </w:rPr>
              <w:t>1</w:t>
            </w:r>
            <w:r>
              <w:rPr>
                <w:rFonts w:eastAsia="Arial Unicode MS" w:cs="Times New Roman"/>
                <w:szCs w:val="24"/>
                <w:bdr w:val="nil"/>
                <w:lang w:val="lt-LT" w:bidi="ta-IN"/>
              </w:rPr>
              <w:t>=8</w:t>
            </w:r>
          </w:p>
        </w:tc>
        <w:tc>
          <w:tcPr>
            <w:tcW w:w="786" w:type="pct"/>
            <w:tcBorders>
              <w:top w:val="single" w:sz="4" w:space="0" w:color="auto"/>
              <w:left w:val="single" w:sz="4" w:space="0" w:color="auto"/>
              <w:bottom w:val="single" w:sz="4" w:space="0" w:color="auto"/>
              <w:right w:val="single" w:sz="4" w:space="0" w:color="auto"/>
            </w:tcBorders>
            <w:vAlign w:val="center"/>
            <w:hideMark/>
          </w:tcPr>
          <w:p w14:paraId="39F65CB9" w14:textId="33AE564F"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 xml:space="preserve">Taip – </w:t>
            </w:r>
            <w:r>
              <w:rPr>
                <w:rFonts w:eastAsia="Arial Unicode MS" w:cs="Times New Roman"/>
                <w:szCs w:val="24"/>
                <w:bdr w:val="nil"/>
                <w:lang w:val="lt-LT" w:bidi="ta-IN"/>
              </w:rPr>
              <w:t>8</w:t>
            </w:r>
            <w:r w:rsidRPr="005E428C">
              <w:rPr>
                <w:rFonts w:eastAsia="Arial Unicode MS" w:cs="Times New Roman"/>
                <w:szCs w:val="24"/>
                <w:bdr w:val="nil"/>
                <w:lang w:val="lt-LT" w:bidi="ta-IN"/>
              </w:rPr>
              <w:t xml:space="preserve"> bala</w:t>
            </w:r>
            <w:r>
              <w:rPr>
                <w:rFonts w:eastAsia="Arial Unicode MS" w:cs="Times New Roman"/>
                <w:szCs w:val="24"/>
                <w:bdr w:val="nil"/>
                <w:lang w:val="lt-LT" w:bidi="ta-IN"/>
              </w:rPr>
              <w:t>i</w:t>
            </w:r>
            <w:r w:rsidRPr="005E428C">
              <w:rPr>
                <w:rFonts w:eastAsia="Arial Unicode MS" w:cs="Times New Roman"/>
                <w:szCs w:val="24"/>
                <w:bdr w:val="nil"/>
                <w:lang w:val="lt-LT" w:bidi="ta-IN"/>
              </w:rPr>
              <w:t>,</w:t>
            </w:r>
          </w:p>
          <w:p w14:paraId="3B4FF29C"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Ne – 0 balų</w:t>
            </w:r>
          </w:p>
        </w:tc>
      </w:tr>
      <w:tr w:rsidR="00D622B8" w:rsidRPr="005E428C" w14:paraId="774CAAEB" w14:textId="77777777" w:rsidTr="00BC5D2C">
        <w:trPr>
          <w:trHeight w:val="571"/>
        </w:trPr>
        <w:tc>
          <w:tcPr>
            <w:tcW w:w="201" w:type="pct"/>
            <w:tcBorders>
              <w:top w:val="single" w:sz="4" w:space="0" w:color="auto"/>
              <w:left w:val="single" w:sz="4" w:space="0" w:color="auto"/>
              <w:bottom w:val="single" w:sz="4" w:space="0" w:color="auto"/>
              <w:right w:val="single" w:sz="4" w:space="0" w:color="auto"/>
            </w:tcBorders>
            <w:vAlign w:val="center"/>
            <w:hideMark/>
          </w:tcPr>
          <w:p w14:paraId="7B3AFF71"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T</w:t>
            </w:r>
            <w:r w:rsidRPr="005E428C">
              <w:rPr>
                <w:rFonts w:eastAsia="Arial Unicode MS" w:cs="Times New Roman"/>
                <w:szCs w:val="24"/>
                <w:bdr w:val="nil"/>
                <w:vertAlign w:val="subscript"/>
                <w:lang w:val="lt-LT" w:bidi="ta-IN"/>
              </w:rPr>
              <w:t>2</w:t>
            </w:r>
          </w:p>
        </w:tc>
        <w:tc>
          <w:tcPr>
            <w:tcW w:w="2685" w:type="pct"/>
            <w:tcBorders>
              <w:top w:val="single" w:sz="4" w:space="0" w:color="auto"/>
              <w:left w:val="single" w:sz="4" w:space="0" w:color="auto"/>
              <w:bottom w:val="single" w:sz="4" w:space="0" w:color="auto"/>
              <w:right w:val="single" w:sz="4" w:space="0" w:color="auto"/>
            </w:tcBorders>
            <w:vAlign w:val="center"/>
            <w:hideMark/>
          </w:tcPr>
          <w:p w14:paraId="2166952D" w14:textId="2728C23B"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BC5D2C">
              <w:rPr>
                <w:rStyle w:val="Bodytext91"/>
                <w:b/>
                <w:bCs/>
                <w:noProof/>
                <w:sz w:val="24"/>
                <w:szCs w:val="24"/>
              </w:rPr>
              <w:t xml:space="preserve">Šviesos šaltinių galia ir redundantiškumas. </w:t>
            </w:r>
            <w:r w:rsidRPr="00BC5D2C">
              <w:rPr>
                <w:bCs/>
                <w:szCs w:val="24"/>
              </w:rPr>
              <w:t xml:space="preserve">Į </w:t>
            </w:r>
            <w:proofErr w:type="spellStart"/>
            <w:r w:rsidRPr="00BC5D2C">
              <w:rPr>
                <w:bCs/>
                <w:szCs w:val="24"/>
              </w:rPr>
              <w:t>mikroskopo</w:t>
            </w:r>
            <w:proofErr w:type="spellEnd"/>
            <w:r w:rsidRPr="00BC5D2C">
              <w:rPr>
                <w:bCs/>
                <w:szCs w:val="24"/>
              </w:rPr>
              <w:t xml:space="preserve"> </w:t>
            </w:r>
            <w:proofErr w:type="spellStart"/>
            <w:r w:rsidRPr="00BC5D2C">
              <w:rPr>
                <w:bCs/>
                <w:szCs w:val="24"/>
              </w:rPr>
              <w:t>stovą</w:t>
            </w:r>
            <w:proofErr w:type="spellEnd"/>
            <w:r w:rsidRPr="00BC5D2C">
              <w:rPr>
                <w:bCs/>
                <w:szCs w:val="24"/>
              </w:rPr>
              <w:t xml:space="preserve"> </w:t>
            </w:r>
            <w:proofErr w:type="spellStart"/>
            <w:r w:rsidRPr="00BC5D2C">
              <w:rPr>
                <w:bCs/>
                <w:szCs w:val="24"/>
              </w:rPr>
              <w:t>yra</w:t>
            </w:r>
            <w:proofErr w:type="spellEnd"/>
            <w:r w:rsidRPr="00BC5D2C">
              <w:rPr>
                <w:bCs/>
                <w:szCs w:val="24"/>
              </w:rPr>
              <w:t xml:space="preserve"> </w:t>
            </w:r>
            <w:proofErr w:type="spellStart"/>
            <w:r w:rsidRPr="00BC5D2C">
              <w:rPr>
                <w:bCs/>
                <w:szCs w:val="24"/>
              </w:rPr>
              <w:t>integruotas</w:t>
            </w:r>
            <w:proofErr w:type="spellEnd"/>
            <w:r w:rsidRPr="00BC5D2C">
              <w:rPr>
                <w:bCs/>
                <w:szCs w:val="24"/>
              </w:rPr>
              <w:t xml:space="preserve"> </w:t>
            </w:r>
            <w:proofErr w:type="spellStart"/>
            <w:r w:rsidRPr="00BC5D2C">
              <w:rPr>
                <w:bCs/>
                <w:szCs w:val="24"/>
              </w:rPr>
              <w:t>šviesos</w:t>
            </w:r>
            <w:proofErr w:type="spellEnd"/>
            <w:r w:rsidRPr="00BC5D2C">
              <w:rPr>
                <w:bCs/>
                <w:szCs w:val="24"/>
              </w:rPr>
              <w:t xml:space="preserve"> </w:t>
            </w:r>
            <w:proofErr w:type="spellStart"/>
            <w:r w:rsidRPr="00BC5D2C">
              <w:rPr>
                <w:bCs/>
                <w:szCs w:val="24"/>
              </w:rPr>
              <w:t>šaltinio</w:t>
            </w:r>
            <w:proofErr w:type="spellEnd"/>
            <w:r w:rsidRPr="00BC5D2C">
              <w:rPr>
                <w:bCs/>
                <w:szCs w:val="24"/>
              </w:rPr>
              <w:t xml:space="preserve"> </w:t>
            </w:r>
            <w:proofErr w:type="spellStart"/>
            <w:r w:rsidRPr="00BC5D2C">
              <w:rPr>
                <w:bCs/>
                <w:szCs w:val="24"/>
              </w:rPr>
              <w:t>modulis</w:t>
            </w:r>
            <w:proofErr w:type="spellEnd"/>
            <w:r w:rsidRPr="00BC5D2C">
              <w:rPr>
                <w:bCs/>
                <w:szCs w:val="24"/>
              </w:rPr>
              <w:t xml:space="preserve">, </w:t>
            </w:r>
            <w:proofErr w:type="spellStart"/>
            <w:r w:rsidRPr="00BC5D2C">
              <w:rPr>
                <w:bCs/>
                <w:szCs w:val="24"/>
              </w:rPr>
              <w:t>su</w:t>
            </w:r>
            <w:proofErr w:type="spellEnd"/>
            <w:r w:rsidRPr="00BC5D2C">
              <w:rPr>
                <w:bCs/>
                <w:szCs w:val="24"/>
              </w:rPr>
              <w:t xml:space="preserve"> </w:t>
            </w:r>
            <w:proofErr w:type="spellStart"/>
            <w:r w:rsidRPr="00BC5D2C">
              <w:rPr>
                <w:bCs/>
                <w:szCs w:val="24"/>
              </w:rPr>
              <w:t>dviem</w:t>
            </w:r>
            <w:proofErr w:type="spellEnd"/>
            <w:r w:rsidRPr="00BC5D2C">
              <w:rPr>
                <w:bCs/>
                <w:szCs w:val="24"/>
              </w:rPr>
              <w:t xml:space="preserve"> ≥ 400 W </w:t>
            </w:r>
            <w:proofErr w:type="spellStart"/>
            <w:r w:rsidRPr="00BC5D2C">
              <w:rPr>
                <w:bCs/>
                <w:szCs w:val="24"/>
              </w:rPr>
              <w:t>galingumo</w:t>
            </w:r>
            <w:proofErr w:type="spellEnd"/>
            <w:r w:rsidRPr="00BC5D2C">
              <w:rPr>
                <w:bCs/>
                <w:szCs w:val="24"/>
              </w:rPr>
              <w:t xml:space="preserve"> </w:t>
            </w:r>
            <w:proofErr w:type="spellStart"/>
            <w:r w:rsidRPr="00BC5D2C">
              <w:rPr>
                <w:bCs/>
                <w:szCs w:val="24"/>
              </w:rPr>
              <w:t>ksenoninėmis</w:t>
            </w:r>
            <w:proofErr w:type="spellEnd"/>
            <w:r w:rsidRPr="00BC5D2C">
              <w:rPr>
                <w:bCs/>
                <w:szCs w:val="24"/>
              </w:rPr>
              <w:t xml:space="preserve"> </w:t>
            </w:r>
            <w:proofErr w:type="spellStart"/>
            <w:r w:rsidRPr="00BC5D2C">
              <w:rPr>
                <w:bCs/>
                <w:szCs w:val="24"/>
              </w:rPr>
              <w:t>lempomis</w:t>
            </w:r>
            <w:proofErr w:type="spellEnd"/>
          </w:p>
        </w:tc>
        <w:tc>
          <w:tcPr>
            <w:tcW w:w="607" w:type="pct"/>
            <w:tcBorders>
              <w:top w:val="single" w:sz="4" w:space="0" w:color="auto"/>
              <w:left w:val="single" w:sz="4" w:space="0" w:color="auto"/>
              <w:bottom w:val="single" w:sz="4" w:space="0" w:color="auto"/>
              <w:right w:val="single" w:sz="4" w:space="0" w:color="auto"/>
            </w:tcBorders>
            <w:vAlign w:val="center"/>
            <w:hideMark/>
          </w:tcPr>
          <w:p w14:paraId="2EC73B2B" w14:textId="77777777" w:rsidR="00D622B8" w:rsidRDefault="00D622B8" w:rsidP="001F4D57">
            <w:pPr>
              <w:pStyle w:val="NoSpacing"/>
              <w:rPr>
                <w:lang w:eastAsia="zh-CN"/>
              </w:rPr>
            </w:pPr>
            <w:proofErr w:type="spellStart"/>
            <w:r>
              <w:rPr>
                <w:lang w:eastAsia="zh-CN"/>
              </w:rPr>
              <w:t>Statinis</w:t>
            </w:r>
            <w:proofErr w:type="spellEnd"/>
            <w:r>
              <w:rPr>
                <w:lang w:eastAsia="zh-CN"/>
              </w:rPr>
              <w:t>:</w:t>
            </w:r>
          </w:p>
          <w:p w14:paraId="7775B463" w14:textId="2C35B66A" w:rsidR="00D622B8" w:rsidRPr="005E428C" w:rsidRDefault="00D622B8" w:rsidP="001F4D57">
            <w:pPr>
              <w:pStyle w:val="NoSpacing"/>
              <w:rPr>
                <w:bCs/>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hideMark/>
          </w:tcPr>
          <w:p w14:paraId="79964062" w14:textId="17330442"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D622B8">
              <w:rPr>
                <w:rFonts w:eastAsia="Arial Unicode MS" w:cs="Times New Roman"/>
                <w:szCs w:val="24"/>
                <w:bdr w:val="nil"/>
                <w:lang w:val="lt-LT" w:bidi="ta-IN"/>
              </w:rPr>
              <w:t>Y</w:t>
            </w:r>
            <w:r w:rsidRPr="005E428C">
              <w:rPr>
                <w:rFonts w:eastAsia="Arial Unicode MS" w:cs="Times New Roman"/>
                <w:szCs w:val="24"/>
                <w:bdr w:val="nil"/>
                <w:vertAlign w:val="subscript"/>
                <w:lang w:val="lt-LT" w:bidi="ta-IN"/>
              </w:rPr>
              <w:t>2</w:t>
            </w:r>
            <w:r>
              <w:rPr>
                <w:rFonts w:eastAsia="Arial Unicode MS" w:cs="Times New Roman"/>
                <w:szCs w:val="24"/>
                <w:bdr w:val="nil"/>
                <w:lang w:val="lt-LT" w:bidi="ta-IN"/>
              </w:rPr>
              <w:t>=5</w:t>
            </w:r>
          </w:p>
        </w:tc>
        <w:tc>
          <w:tcPr>
            <w:tcW w:w="786" w:type="pct"/>
            <w:tcBorders>
              <w:top w:val="single" w:sz="4" w:space="0" w:color="auto"/>
              <w:left w:val="single" w:sz="4" w:space="0" w:color="auto"/>
              <w:bottom w:val="single" w:sz="4" w:space="0" w:color="auto"/>
              <w:right w:val="single" w:sz="4" w:space="0" w:color="auto"/>
            </w:tcBorders>
            <w:vAlign w:val="center"/>
            <w:hideMark/>
          </w:tcPr>
          <w:p w14:paraId="1430EAB6" w14:textId="4DB6ADCE"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 xml:space="preserve">Taip – </w:t>
            </w:r>
            <w:r>
              <w:rPr>
                <w:rFonts w:eastAsia="Arial Unicode MS" w:cs="Times New Roman"/>
                <w:szCs w:val="24"/>
                <w:bdr w:val="nil"/>
                <w:lang w:val="lt-LT" w:bidi="ta-IN"/>
              </w:rPr>
              <w:t>5</w:t>
            </w:r>
            <w:r w:rsidRPr="005E428C">
              <w:rPr>
                <w:rFonts w:eastAsia="Arial Unicode MS" w:cs="Times New Roman"/>
                <w:szCs w:val="24"/>
                <w:bdr w:val="nil"/>
                <w:lang w:val="lt-LT" w:bidi="ta-IN"/>
              </w:rPr>
              <w:t xml:space="preserve"> bala</w:t>
            </w:r>
            <w:r>
              <w:rPr>
                <w:rFonts w:eastAsia="Arial Unicode MS" w:cs="Times New Roman"/>
                <w:szCs w:val="24"/>
                <w:bdr w:val="nil"/>
                <w:lang w:val="lt-LT" w:bidi="ta-IN"/>
              </w:rPr>
              <w:t>i</w:t>
            </w:r>
            <w:r w:rsidRPr="005E428C">
              <w:rPr>
                <w:rFonts w:eastAsia="Arial Unicode MS" w:cs="Times New Roman"/>
                <w:szCs w:val="24"/>
                <w:bdr w:val="nil"/>
                <w:lang w:val="lt-LT" w:bidi="ta-IN"/>
              </w:rPr>
              <w:t>,</w:t>
            </w:r>
          </w:p>
          <w:p w14:paraId="33A90C61"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en-GB" w:bidi="ta-IN"/>
              </w:rPr>
            </w:pPr>
            <w:r w:rsidRPr="005E428C">
              <w:rPr>
                <w:rFonts w:eastAsia="Arial Unicode MS" w:cs="Times New Roman"/>
                <w:szCs w:val="24"/>
                <w:bdr w:val="nil"/>
                <w:lang w:val="lt-LT" w:bidi="ta-IN"/>
              </w:rPr>
              <w:t>Ne – 0 balų</w:t>
            </w:r>
          </w:p>
        </w:tc>
      </w:tr>
      <w:tr w:rsidR="00D622B8" w:rsidRPr="005E428C" w14:paraId="792094A3" w14:textId="77777777" w:rsidTr="00BC5D2C">
        <w:trPr>
          <w:trHeight w:val="571"/>
        </w:trPr>
        <w:tc>
          <w:tcPr>
            <w:tcW w:w="201" w:type="pct"/>
            <w:tcBorders>
              <w:top w:val="single" w:sz="4" w:space="0" w:color="auto"/>
              <w:left w:val="single" w:sz="4" w:space="0" w:color="auto"/>
              <w:bottom w:val="single" w:sz="4" w:space="0" w:color="auto"/>
              <w:right w:val="single" w:sz="4" w:space="0" w:color="auto"/>
            </w:tcBorders>
            <w:vAlign w:val="center"/>
            <w:hideMark/>
          </w:tcPr>
          <w:p w14:paraId="5345F6BA"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T</w:t>
            </w:r>
            <w:r w:rsidRPr="005E428C">
              <w:rPr>
                <w:rFonts w:eastAsia="Arial Unicode MS" w:cs="Times New Roman"/>
                <w:szCs w:val="24"/>
                <w:bdr w:val="nil"/>
                <w:vertAlign w:val="subscript"/>
                <w:lang w:val="lt-LT" w:bidi="ta-IN"/>
              </w:rPr>
              <w:t>3</w:t>
            </w:r>
          </w:p>
        </w:tc>
        <w:tc>
          <w:tcPr>
            <w:tcW w:w="2685" w:type="pct"/>
            <w:tcBorders>
              <w:top w:val="single" w:sz="4" w:space="0" w:color="auto"/>
              <w:left w:val="single" w:sz="4" w:space="0" w:color="auto"/>
              <w:bottom w:val="single" w:sz="4" w:space="0" w:color="auto"/>
              <w:right w:val="single" w:sz="4" w:space="0" w:color="auto"/>
            </w:tcBorders>
            <w:vAlign w:val="center"/>
            <w:hideMark/>
          </w:tcPr>
          <w:p w14:paraId="3E171310" w14:textId="37A70B32"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proofErr w:type="spellStart"/>
            <w:r w:rsidRPr="00BC5D2C">
              <w:rPr>
                <w:b/>
                <w:szCs w:val="24"/>
              </w:rPr>
              <w:t>Mikroskopo</w:t>
            </w:r>
            <w:proofErr w:type="spellEnd"/>
            <w:r w:rsidRPr="00BC5D2C">
              <w:rPr>
                <w:b/>
                <w:szCs w:val="24"/>
              </w:rPr>
              <w:t xml:space="preserve"> „galvos“ </w:t>
            </w:r>
            <w:proofErr w:type="spellStart"/>
            <w:r w:rsidRPr="00BC5D2C">
              <w:rPr>
                <w:b/>
                <w:szCs w:val="24"/>
              </w:rPr>
              <w:t>atstumas</w:t>
            </w:r>
            <w:proofErr w:type="spellEnd"/>
            <w:r w:rsidRPr="00BC5D2C">
              <w:rPr>
                <w:b/>
                <w:szCs w:val="24"/>
              </w:rPr>
              <w:t xml:space="preserve"> </w:t>
            </w:r>
            <w:proofErr w:type="spellStart"/>
            <w:r w:rsidRPr="00BC5D2C">
              <w:rPr>
                <w:b/>
                <w:szCs w:val="24"/>
              </w:rPr>
              <w:t>nuo</w:t>
            </w:r>
            <w:proofErr w:type="spellEnd"/>
            <w:r w:rsidRPr="00BC5D2C">
              <w:rPr>
                <w:b/>
                <w:szCs w:val="24"/>
              </w:rPr>
              <w:t xml:space="preserve"> </w:t>
            </w:r>
            <w:proofErr w:type="spellStart"/>
            <w:r w:rsidRPr="00BC5D2C">
              <w:rPr>
                <w:b/>
                <w:szCs w:val="24"/>
              </w:rPr>
              <w:t>vertikalios</w:t>
            </w:r>
            <w:proofErr w:type="spellEnd"/>
            <w:r w:rsidRPr="00BC5D2C">
              <w:rPr>
                <w:b/>
                <w:szCs w:val="24"/>
              </w:rPr>
              <w:t xml:space="preserve"> </w:t>
            </w:r>
            <w:proofErr w:type="spellStart"/>
            <w:r w:rsidRPr="00BC5D2C">
              <w:rPr>
                <w:b/>
                <w:szCs w:val="24"/>
              </w:rPr>
              <w:t>centrinės</w:t>
            </w:r>
            <w:proofErr w:type="spellEnd"/>
            <w:r w:rsidRPr="00BC5D2C">
              <w:rPr>
                <w:b/>
                <w:szCs w:val="24"/>
              </w:rPr>
              <w:t xml:space="preserve"> </w:t>
            </w:r>
            <w:proofErr w:type="spellStart"/>
            <w:r w:rsidRPr="00BC5D2C">
              <w:rPr>
                <w:b/>
                <w:szCs w:val="24"/>
              </w:rPr>
              <w:t>stovo</w:t>
            </w:r>
            <w:proofErr w:type="spellEnd"/>
            <w:r w:rsidRPr="00BC5D2C">
              <w:rPr>
                <w:b/>
                <w:szCs w:val="24"/>
              </w:rPr>
              <w:t xml:space="preserve"> </w:t>
            </w:r>
            <w:proofErr w:type="spellStart"/>
            <w:r w:rsidRPr="00BC5D2C">
              <w:rPr>
                <w:b/>
                <w:szCs w:val="24"/>
              </w:rPr>
              <w:t>ašies</w:t>
            </w:r>
            <w:proofErr w:type="spellEnd"/>
            <w:r w:rsidRPr="00BC5D2C">
              <w:rPr>
                <w:rFonts w:eastAsia="Times New Roman"/>
                <w:b/>
                <w:bCs/>
                <w:color w:val="000000"/>
                <w:szCs w:val="24"/>
              </w:rPr>
              <w:t xml:space="preserve"> </w:t>
            </w:r>
            <w:r w:rsidRPr="00BC5D2C">
              <w:rPr>
                <w:szCs w:val="24"/>
              </w:rPr>
              <w:t xml:space="preserve"> </w:t>
            </w:r>
            <w:proofErr w:type="spellStart"/>
            <w:r w:rsidRPr="00BC5D2C">
              <w:rPr>
                <w:szCs w:val="24"/>
              </w:rPr>
              <w:t>Atstumas</w:t>
            </w:r>
            <w:proofErr w:type="spellEnd"/>
            <w:r w:rsidRPr="00BC5D2C">
              <w:rPr>
                <w:szCs w:val="24"/>
              </w:rPr>
              <w:t>, „</w:t>
            </w:r>
            <w:proofErr w:type="spellStart"/>
            <w:r w:rsidRPr="00BC5D2C">
              <w:rPr>
                <w:szCs w:val="24"/>
              </w:rPr>
              <w:t>galvai</w:t>
            </w:r>
            <w:proofErr w:type="spellEnd"/>
            <w:r w:rsidRPr="00BC5D2C">
              <w:rPr>
                <w:szCs w:val="24"/>
              </w:rPr>
              <w:t xml:space="preserve">“ </w:t>
            </w:r>
            <w:proofErr w:type="spellStart"/>
            <w:r w:rsidRPr="00BC5D2C">
              <w:rPr>
                <w:szCs w:val="24"/>
              </w:rPr>
              <w:t>esant</w:t>
            </w:r>
            <w:proofErr w:type="spellEnd"/>
            <w:r w:rsidRPr="00BC5D2C">
              <w:rPr>
                <w:szCs w:val="24"/>
              </w:rPr>
              <w:t xml:space="preserve"> </w:t>
            </w:r>
            <w:proofErr w:type="spellStart"/>
            <w:r w:rsidRPr="00BC5D2C">
              <w:rPr>
                <w:szCs w:val="24"/>
              </w:rPr>
              <w:t>tolimiausioje</w:t>
            </w:r>
            <w:proofErr w:type="spellEnd"/>
            <w:r w:rsidRPr="00BC5D2C">
              <w:rPr>
                <w:szCs w:val="24"/>
              </w:rPr>
              <w:t xml:space="preserve"> </w:t>
            </w:r>
            <w:proofErr w:type="spellStart"/>
            <w:r w:rsidRPr="00BC5D2C">
              <w:rPr>
                <w:szCs w:val="24"/>
              </w:rPr>
              <w:t>padėtyje</w:t>
            </w:r>
            <w:proofErr w:type="spellEnd"/>
            <w:r w:rsidRPr="00BC5D2C">
              <w:rPr>
                <w:szCs w:val="24"/>
              </w:rPr>
              <w:t>, ≥ 1800 mm (</w:t>
            </w:r>
            <w:proofErr w:type="spellStart"/>
            <w:r w:rsidRPr="00BC5D2C">
              <w:rPr>
                <w:szCs w:val="24"/>
              </w:rPr>
              <w:t>skaičiuojant</w:t>
            </w:r>
            <w:proofErr w:type="spellEnd"/>
            <w:r w:rsidRPr="00BC5D2C">
              <w:rPr>
                <w:szCs w:val="24"/>
              </w:rPr>
              <w:t xml:space="preserve"> </w:t>
            </w:r>
            <w:proofErr w:type="spellStart"/>
            <w:r w:rsidRPr="00BC5D2C">
              <w:rPr>
                <w:szCs w:val="24"/>
              </w:rPr>
              <w:t>nuo</w:t>
            </w:r>
            <w:proofErr w:type="spellEnd"/>
            <w:r w:rsidRPr="00BC5D2C">
              <w:rPr>
                <w:szCs w:val="24"/>
              </w:rPr>
              <w:t xml:space="preserve"> </w:t>
            </w:r>
            <w:proofErr w:type="spellStart"/>
            <w:r w:rsidRPr="00BC5D2C">
              <w:rPr>
                <w:szCs w:val="24"/>
              </w:rPr>
              <w:t>mikroskopo</w:t>
            </w:r>
            <w:proofErr w:type="spellEnd"/>
            <w:r w:rsidRPr="00BC5D2C">
              <w:rPr>
                <w:szCs w:val="24"/>
              </w:rPr>
              <w:t xml:space="preserve"> </w:t>
            </w:r>
            <w:proofErr w:type="spellStart"/>
            <w:r w:rsidRPr="00BC5D2C">
              <w:rPr>
                <w:szCs w:val="24"/>
              </w:rPr>
              <w:t>stovo</w:t>
            </w:r>
            <w:proofErr w:type="spellEnd"/>
            <w:r w:rsidRPr="00BC5D2C">
              <w:rPr>
                <w:szCs w:val="24"/>
              </w:rPr>
              <w:t xml:space="preserve"> </w:t>
            </w:r>
            <w:proofErr w:type="spellStart"/>
            <w:r w:rsidRPr="00BC5D2C">
              <w:rPr>
                <w:szCs w:val="24"/>
              </w:rPr>
              <w:t>centrinės</w:t>
            </w:r>
            <w:proofErr w:type="spellEnd"/>
            <w:r w:rsidRPr="00BC5D2C">
              <w:rPr>
                <w:szCs w:val="24"/>
              </w:rPr>
              <w:t xml:space="preserve"> </w:t>
            </w:r>
            <w:proofErr w:type="spellStart"/>
            <w:r w:rsidRPr="00BC5D2C">
              <w:rPr>
                <w:szCs w:val="24"/>
              </w:rPr>
              <w:t>ašies</w:t>
            </w:r>
            <w:proofErr w:type="spellEnd"/>
            <w:r w:rsidRPr="00BC5D2C">
              <w:rPr>
                <w:szCs w:val="24"/>
              </w:rPr>
              <w:t xml:space="preserve"> </w:t>
            </w:r>
            <w:proofErr w:type="spellStart"/>
            <w:r w:rsidRPr="00BC5D2C">
              <w:rPr>
                <w:szCs w:val="24"/>
              </w:rPr>
              <w:t>iki</w:t>
            </w:r>
            <w:proofErr w:type="spellEnd"/>
            <w:r w:rsidRPr="00BC5D2C">
              <w:rPr>
                <w:szCs w:val="24"/>
              </w:rPr>
              <w:t xml:space="preserve"> </w:t>
            </w:r>
            <w:proofErr w:type="spellStart"/>
            <w:r w:rsidRPr="00BC5D2C">
              <w:rPr>
                <w:szCs w:val="24"/>
              </w:rPr>
              <w:t>optikos</w:t>
            </w:r>
            <w:proofErr w:type="spellEnd"/>
            <w:r w:rsidRPr="00BC5D2C">
              <w:rPr>
                <w:szCs w:val="24"/>
              </w:rPr>
              <w:t xml:space="preserve"> </w:t>
            </w:r>
            <w:proofErr w:type="spellStart"/>
            <w:r w:rsidRPr="00BC5D2C">
              <w:rPr>
                <w:szCs w:val="24"/>
              </w:rPr>
              <w:t>centrinės</w:t>
            </w:r>
            <w:proofErr w:type="spellEnd"/>
            <w:r w:rsidRPr="00BC5D2C">
              <w:rPr>
                <w:szCs w:val="24"/>
              </w:rPr>
              <w:t xml:space="preserve"> </w:t>
            </w:r>
            <w:proofErr w:type="spellStart"/>
            <w:r w:rsidRPr="00BC5D2C">
              <w:rPr>
                <w:szCs w:val="24"/>
              </w:rPr>
              <w:t>ašies</w:t>
            </w:r>
            <w:proofErr w:type="spellEnd"/>
            <w:r w:rsidRPr="00BC5D2C">
              <w:rPr>
                <w:szCs w:val="24"/>
              </w:rPr>
              <w:t>)</w:t>
            </w:r>
            <w:r w:rsidRPr="00BC5D2C">
              <w:rPr>
                <w:rFonts w:eastAsia="Times New Roman"/>
                <w:b/>
                <w:bCs/>
                <w:color w:val="000000"/>
                <w:szCs w:val="24"/>
              </w:rPr>
              <w:t>.</w:t>
            </w:r>
          </w:p>
        </w:tc>
        <w:tc>
          <w:tcPr>
            <w:tcW w:w="607" w:type="pct"/>
            <w:tcBorders>
              <w:top w:val="single" w:sz="4" w:space="0" w:color="auto"/>
              <w:left w:val="single" w:sz="4" w:space="0" w:color="auto"/>
              <w:bottom w:val="single" w:sz="4" w:space="0" w:color="auto"/>
              <w:right w:val="single" w:sz="4" w:space="0" w:color="auto"/>
            </w:tcBorders>
            <w:vAlign w:val="center"/>
            <w:hideMark/>
          </w:tcPr>
          <w:p w14:paraId="5FDCBB6D" w14:textId="77777777" w:rsidR="00D622B8" w:rsidRDefault="00D622B8" w:rsidP="001F4D57">
            <w:pPr>
              <w:pStyle w:val="NoSpacing"/>
              <w:rPr>
                <w:lang w:eastAsia="zh-CN"/>
              </w:rPr>
            </w:pPr>
            <w:proofErr w:type="spellStart"/>
            <w:r>
              <w:rPr>
                <w:lang w:eastAsia="zh-CN"/>
              </w:rPr>
              <w:t>Statinis</w:t>
            </w:r>
            <w:proofErr w:type="spellEnd"/>
            <w:r>
              <w:rPr>
                <w:lang w:eastAsia="zh-CN"/>
              </w:rPr>
              <w:t>:</w:t>
            </w:r>
          </w:p>
          <w:p w14:paraId="16433052" w14:textId="320F24F5" w:rsidR="00D622B8" w:rsidRPr="005E428C" w:rsidRDefault="00D622B8" w:rsidP="001F4D57">
            <w:pPr>
              <w:pStyle w:val="NoSpacing"/>
              <w:rPr>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hideMark/>
          </w:tcPr>
          <w:p w14:paraId="2AA175A9" w14:textId="1B370EE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D622B8">
              <w:rPr>
                <w:rFonts w:eastAsia="Arial Unicode MS" w:cs="Times New Roman"/>
                <w:szCs w:val="24"/>
                <w:bdr w:val="nil"/>
                <w:lang w:val="lt-LT" w:bidi="ta-IN"/>
              </w:rPr>
              <w:t>Y</w:t>
            </w:r>
            <w:r w:rsidRPr="005E428C">
              <w:rPr>
                <w:rFonts w:eastAsia="Arial Unicode MS" w:cs="Times New Roman"/>
                <w:szCs w:val="24"/>
                <w:bdr w:val="nil"/>
                <w:vertAlign w:val="subscript"/>
                <w:lang w:val="lt-LT" w:bidi="ta-IN"/>
              </w:rPr>
              <w:t>3</w:t>
            </w:r>
            <w:r>
              <w:rPr>
                <w:rFonts w:eastAsia="Arial Unicode MS" w:cs="Times New Roman"/>
                <w:szCs w:val="24"/>
                <w:bdr w:val="nil"/>
                <w:lang w:val="lt-LT" w:bidi="ta-IN"/>
              </w:rPr>
              <w:t>=3</w:t>
            </w:r>
          </w:p>
        </w:tc>
        <w:tc>
          <w:tcPr>
            <w:tcW w:w="786" w:type="pct"/>
            <w:tcBorders>
              <w:top w:val="single" w:sz="4" w:space="0" w:color="auto"/>
              <w:left w:val="single" w:sz="4" w:space="0" w:color="auto"/>
              <w:bottom w:val="single" w:sz="4" w:space="0" w:color="auto"/>
              <w:right w:val="single" w:sz="4" w:space="0" w:color="auto"/>
            </w:tcBorders>
            <w:vAlign w:val="center"/>
            <w:hideMark/>
          </w:tcPr>
          <w:p w14:paraId="0F2B8CE5" w14:textId="00F53925"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 xml:space="preserve">Taip – </w:t>
            </w:r>
            <w:r>
              <w:rPr>
                <w:rFonts w:eastAsia="Arial Unicode MS" w:cs="Times New Roman"/>
                <w:szCs w:val="24"/>
                <w:bdr w:val="nil"/>
                <w:lang w:val="lt-LT" w:bidi="ta-IN"/>
              </w:rPr>
              <w:t>3</w:t>
            </w:r>
            <w:r w:rsidRPr="005E428C">
              <w:rPr>
                <w:rFonts w:eastAsia="Arial Unicode MS" w:cs="Times New Roman"/>
                <w:szCs w:val="24"/>
                <w:bdr w:val="nil"/>
                <w:lang w:val="lt-LT" w:bidi="ta-IN"/>
              </w:rPr>
              <w:t xml:space="preserve"> bala</w:t>
            </w:r>
            <w:r>
              <w:rPr>
                <w:rFonts w:eastAsia="Arial Unicode MS" w:cs="Times New Roman"/>
                <w:szCs w:val="24"/>
                <w:bdr w:val="nil"/>
                <w:lang w:val="lt-LT" w:bidi="ta-IN"/>
              </w:rPr>
              <w:t>i</w:t>
            </w:r>
            <w:r w:rsidRPr="005E428C">
              <w:rPr>
                <w:rFonts w:eastAsia="Arial Unicode MS" w:cs="Times New Roman"/>
                <w:szCs w:val="24"/>
                <w:bdr w:val="nil"/>
                <w:lang w:val="lt-LT" w:bidi="ta-IN"/>
              </w:rPr>
              <w:t>,</w:t>
            </w:r>
          </w:p>
          <w:p w14:paraId="14C8DF06" w14:textId="7777777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Ne – 0 balų</w:t>
            </w:r>
          </w:p>
        </w:tc>
      </w:tr>
      <w:tr w:rsidR="00D622B8" w:rsidRPr="005E428C" w14:paraId="28300E26" w14:textId="77777777" w:rsidTr="00BC5D2C">
        <w:trPr>
          <w:trHeight w:val="571"/>
        </w:trPr>
        <w:tc>
          <w:tcPr>
            <w:tcW w:w="201" w:type="pct"/>
            <w:tcBorders>
              <w:top w:val="single" w:sz="4" w:space="0" w:color="auto"/>
              <w:left w:val="single" w:sz="4" w:space="0" w:color="auto"/>
              <w:bottom w:val="single" w:sz="4" w:space="0" w:color="auto"/>
              <w:right w:val="single" w:sz="4" w:space="0" w:color="auto"/>
            </w:tcBorders>
            <w:vAlign w:val="center"/>
          </w:tcPr>
          <w:p w14:paraId="2C5B52C0" w14:textId="14892815" w:rsidR="00D622B8" w:rsidRPr="00BC5D2C" w:rsidRDefault="00D622B8" w:rsidP="00D622B8">
            <w:pPr>
              <w:pBdr>
                <w:top w:val="nil"/>
                <w:left w:val="nil"/>
                <w:bottom w:val="nil"/>
                <w:right w:val="nil"/>
                <w:between w:val="nil"/>
                <w:bar w:val="nil"/>
              </w:pBdr>
              <w:suppressAutoHyphens/>
              <w:spacing w:after="240"/>
              <w:rPr>
                <w:rFonts w:eastAsia="Arial Unicode MS" w:cs="Times New Roman"/>
                <w:szCs w:val="24"/>
                <w:bdr w:val="nil"/>
                <w:vertAlign w:val="subscript"/>
                <w:lang w:val="lt-LT" w:bidi="ta-IN"/>
              </w:rPr>
            </w:pPr>
            <w:r>
              <w:rPr>
                <w:rFonts w:eastAsia="Arial Unicode MS" w:cs="Times New Roman"/>
                <w:szCs w:val="24"/>
                <w:bdr w:val="nil"/>
                <w:lang w:val="lt-LT" w:bidi="ta-IN"/>
              </w:rPr>
              <w:lastRenderedPageBreak/>
              <w:t>T</w:t>
            </w:r>
            <w:r>
              <w:rPr>
                <w:rFonts w:eastAsia="Arial Unicode MS" w:cs="Times New Roman"/>
                <w:szCs w:val="24"/>
                <w:bdr w:val="nil"/>
                <w:vertAlign w:val="subscript"/>
                <w:lang w:val="lt-LT" w:bidi="ta-IN"/>
              </w:rPr>
              <w:t>4</w:t>
            </w:r>
          </w:p>
        </w:tc>
        <w:tc>
          <w:tcPr>
            <w:tcW w:w="2685" w:type="pct"/>
            <w:tcBorders>
              <w:top w:val="single" w:sz="4" w:space="0" w:color="auto"/>
              <w:left w:val="single" w:sz="4" w:space="0" w:color="auto"/>
              <w:bottom w:val="single" w:sz="4" w:space="0" w:color="auto"/>
              <w:right w:val="single" w:sz="4" w:space="0" w:color="auto"/>
            </w:tcBorders>
            <w:vAlign w:val="center"/>
          </w:tcPr>
          <w:p w14:paraId="46825655" w14:textId="7DDBF6D4" w:rsidR="00D622B8" w:rsidRPr="00BC5D2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proofErr w:type="spellStart"/>
            <w:r w:rsidRPr="00BC5D2C">
              <w:rPr>
                <w:b/>
                <w:bCs/>
                <w:szCs w:val="24"/>
              </w:rPr>
              <w:t>Integruota</w:t>
            </w:r>
            <w:proofErr w:type="spellEnd"/>
            <w:r w:rsidRPr="00BC5D2C">
              <w:rPr>
                <w:b/>
                <w:bCs/>
                <w:szCs w:val="24"/>
              </w:rPr>
              <w:t xml:space="preserve"> </w:t>
            </w:r>
            <w:proofErr w:type="spellStart"/>
            <w:r w:rsidRPr="00BC5D2C">
              <w:rPr>
                <w:b/>
                <w:bCs/>
                <w:szCs w:val="24"/>
              </w:rPr>
              <w:t>robotinė</w:t>
            </w:r>
            <w:proofErr w:type="spellEnd"/>
            <w:r w:rsidRPr="00BC5D2C">
              <w:rPr>
                <w:b/>
                <w:bCs/>
                <w:szCs w:val="24"/>
              </w:rPr>
              <w:t xml:space="preserve"> </w:t>
            </w:r>
            <w:proofErr w:type="spellStart"/>
            <w:r w:rsidRPr="00BC5D2C">
              <w:rPr>
                <w:b/>
                <w:bCs/>
                <w:szCs w:val="24"/>
              </w:rPr>
              <w:t>mikroskopo</w:t>
            </w:r>
            <w:proofErr w:type="spellEnd"/>
            <w:r w:rsidRPr="00BC5D2C">
              <w:rPr>
                <w:b/>
                <w:bCs/>
                <w:szCs w:val="24"/>
              </w:rPr>
              <w:t xml:space="preserve"> </w:t>
            </w:r>
            <w:proofErr w:type="spellStart"/>
            <w:r w:rsidRPr="00BC5D2C">
              <w:rPr>
                <w:b/>
                <w:bCs/>
                <w:szCs w:val="24"/>
              </w:rPr>
              <w:t>valdymo</w:t>
            </w:r>
            <w:proofErr w:type="spellEnd"/>
            <w:r w:rsidRPr="00BC5D2C">
              <w:rPr>
                <w:b/>
                <w:bCs/>
                <w:szCs w:val="24"/>
              </w:rPr>
              <w:t xml:space="preserve"> </w:t>
            </w:r>
            <w:proofErr w:type="spellStart"/>
            <w:r w:rsidRPr="00BC5D2C">
              <w:rPr>
                <w:b/>
                <w:bCs/>
                <w:szCs w:val="24"/>
              </w:rPr>
              <w:t>sistema</w:t>
            </w:r>
            <w:proofErr w:type="spellEnd"/>
            <w:r w:rsidRPr="00BC5D2C">
              <w:rPr>
                <w:b/>
                <w:bCs/>
                <w:szCs w:val="24"/>
              </w:rPr>
              <w:t>.</w:t>
            </w:r>
            <w:r w:rsidRPr="00BC5D2C">
              <w:rPr>
                <w:szCs w:val="24"/>
              </w:rPr>
              <w:t xml:space="preserve"> </w:t>
            </w:r>
            <w:proofErr w:type="spellStart"/>
            <w:r w:rsidRPr="00BC5D2C">
              <w:rPr>
                <w:szCs w:val="24"/>
              </w:rPr>
              <w:t>Mikroskopas</w:t>
            </w:r>
            <w:proofErr w:type="spellEnd"/>
            <w:r w:rsidRPr="00BC5D2C">
              <w:rPr>
                <w:szCs w:val="24"/>
              </w:rPr>
              <w:t xml:space="preserve"> </w:t>
            </w:r>
            <w:proofErr w:type="spellStart"/>
            <w:r w:rsidRPr="00BC5D2C">
              <w:rPr>
                <w:szCs w:val="24"/>
              </w:rPr>
              <w:t>turi</w:t>
            </w:r>
            <w:proofErr w:type="spellEnd"/>
            <w:r w:rsidRPr="00BC5D2C">
              <w:rPr>
                <w:szCs w:val="24"/>
              </w:rPr>
              <w:t xml:space="preserve"> </w:t>
            </w:r>
            <w:proofErr w:type="spellStart"/>
            <w:r w:rsidRPr="00BC5D2C">
              <w:rPr>
                <w:rStyle w:val="Emphasis"/>
                <w:szCs w:val="24"/>
              </w:rPr>
              <w:t>robotinę</w:t>
            </w:r>
            <w:proofErr w:type="spellEnd"/>
            <w:r w:rsidRPr="00BC5D2C">
              <w:rPr>
                <w:rStyle w:val="Emphasis"/>
                <w:szCs w:val="24"/>
              </w:rPr>
              <w:t xml:space="preserve"> 6 </w:t>
            </w:r>
            <w:proofErr w:type="spellStart"/>
            <w:r w:rsidRPr="00BC5D2C">
              <w:rPr>
                <w:rStyle w:val="Emphasis"/>
                <w:szCs w:val="24"/>
              </w:rPr>
              <w:t>ašių</w:t>
            </w:r>
            <w:proofErr w:type="spellEnd"/>
            <w:r w:rsidRPr="00BC5D2C">
              <w:rPr>
                <w:rStyle w:val="Emphasis"/>
                <w:szCs w:val="24"/>
              </w:rPr>
              <w:t xml:space="preserve"> </w:t>
            </w:r>
            <w:proofErr w:type="spellStart"/>
            <w:r w:rsidRPr="00BC5D2C">
              <w:rPr>
                <w:rStyle w:val="Emphasis"/>
                <w:szCs w:val="24"/>
              </w:rPr>
              <w:t>valdymo</w:t>
            </w:r>
            <w:proofErr w:type="spellEnd"/>
            <w:r w:rsidRPr="00BC5D2C">
              <w:rPr>
                <w:rStyle w:val="Emphasis"/>
                <w:szCs w:val="24"/>
              </w:rPr>
              <w:t xml:space="preserve"> </w:t>
            </w:r>
            <w:proofErr w:type="spellStart"/>
            <w:r w:rsidRPr="00BC5D2C">
              <w:rPr>
                <w:rStyle w:val="Emphasis"/>
                <w:szCs w:val="24"/>
              </w:rPr>
              <w:t>sistemą</w:t>
            </w:r>
            <w:proofErr w:type="spellEnd"/>
            <w:r w:rsidRPr="00BC5D2C">
              <w:rPr>
                <w:szCs w:val="24"/>
              </w:rPr>
              <w:t xml:space="preserve">, </w:t>
            </w:r>
            <w:proofErr w:type="spellStart"/>
            <w:r w:rsidRPr="00BC5D2C">
              <w:rPr>
                <w:szCs w:val="24"/>
              </w:rPr>
              <w:t>įgalinančią</w:t>
            </w:r>
            <w:proofErr w:type="spellEnd"/>
            <w:r w:rsidRPr="00BC5D2C">
              <w:rPr>
                <w:szCs w:val="24"/>
              </w:rPr>
              <w:t xml:space="preserve"> </w:t>
            </w:r>
            <w:proofErr w:type="spellStart"/>
            <w:r w:rsidRPr="00BC5D2C">
              <w:rPr>
                <w:szCs w:val="24"/>
              </w:rPr>
              <w:t>automatinį</w:t>
            </w:r>
            <w:proofErr w:type="spellEnd"/>
            <w:r w:rsidRPr="00BC5D2C">
              <w:rPr>
                <w:szCs w:val="24"/>
              </w:rPr>
              <w:t xml:space="preserve"> </w:t>
            </w:r>
            <w:proofErr w:type="spellStart"/>
            <w:r w:rsidRPr="00BC5D2C">
              <w:rPr>
                <w:szCs w:val="24"/>
              </w:rPr>
              <w:t>mikroskopo</w:t>
            </w:r>
            <w:proofErr w:type="spellEnd"/>
            <w:r w:rsidRPr="00BC5D2C">
              <w:rPr>
                <w:szCs w:val="24"/>
              </w:rPr>
              <w:t xml:space="preserve"> </w:t>
            </w:r>
            <w:proofErr w:type="spellStart"/>
            <w:r w:rsidRPr="00BC5D2C">
              <w:rPr>
                <w:szCs w:val="24"/>
              </w:rPr>
              <w:t>pozicionavimą</w:t>
            </w:r>
            <w:proofErr w:type="spellEnd"/>
          </w:p>
        </w:tc>
        <w:tc>
          <w:tcPr>
            <w:tcW w:w="607" w:type="pct"/>
            <w:tcBorders>
              <w:top w:val="single" w:sz="4" w:space="0" w:color="auto"/>
              <w:left w:val="single" w:sz="4" w:space="0" w:color="auto"/>
              <w:bottom w:val="single" w:sz="4" w:space="0" w:color="auto"/>
              <w:right w:val="single" w:sz="4" w:space="0" w:color="auto"/>
            </w:tcBorders>
            <w:vAlign w:val="center"/>
          </w:tcPr>
          <w:p w14:paraId="2CAA1F4D" w14:textId="77777777" w:rsidR="00D622B8" w:rsidRDefault="00D622B8" w:rsidP="001F4D57">
            <w:pPr>
              <w:pStyle w:val="NoSpacing"/>
              <w:rPr>
                <w:lang w:eastAsia="zh-CN"/>
              </w:rPr>
            </w:pPr>
            <w:proofErr w:type="spellStart"/>
            <w:r>
              <w:rPr>
                <w:lang w:eastAsia="zh-CN"/>
              </w:rPr>
              <w:t>Statinis</w:t>
            </w:r>
            <w:proofErr w:type="spellEnd"/>
            <w:r>
              <w:rPr>
                <w:lang w:eastAsia="zh-CN"/>
              </w:rPr>
              <w:t>:</w:t>
            </w:r>
          </w:p>
          <w:p w14:paraId="1136D8C4" w14:textId="157F956E" w:rsidR="00D622B8" w:rsidRPr="005E428C" w:rsidRDefault="00D622B8" w:rsidP="001F4D57">
            <w:pPr>
              <w:pStyle w:val="NoSpacing"/>
              <w:rPr>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tcPr>
          <w:p w14:paraId="0026A189" w14:textId="2A436CDD" w:rsidR="00D622B8" w:rsidRPr="002C3F0A" w:rsidRDefault="00D622B8" w:rsidP="00D622B8">
            <w:pPr>
              <w:pBdr>
                <w:top w:val="nil"/>
                <w:left w:val="nil"/>
                <w:bottom w:val="nil"/>
                <w:right w:val="nil"/>
                <w:between w:val="nil"/>
                <w:bar w:val="nil"/>
              </w:pBdr>
              <w:suppressAutoHyphens/>
              <w:spacing w:after="240"/>
              <w:rPr>
                <w:rFonts w:eastAsia="Arial Unicode MS" w:cs="Times New Roman"/>
                <w:szCs w:val="24"/>
                <w:bdr w:val="nil"/>
                <w:lang w:bidi="ta-IN"/>
              </w:rPr>
            </w:pPr>
            <w:r w:rsidRPr="00D622B8">
              <w:rPr>
                <w:rFonts w:eastAsia="Arial Unicode MS" w:cs="Times New Roman"/>
                <w:szCs w:val="24"/>
                <w:bdr w:val="nil"/>
                <w:lang w:val="lt-LT" w:bidi="ta-IN"/>
              </w:rPr>
              <w:t>Y</w:t>
            </w:r>
            <w:r>
              <w:rPr>
                <w:rFonts w:eastAsia="Arial Unicode MS" w:cs="Times New Roman"/>
                <w:szCs w:val="24"/>
                <w:bdr w:val="nil"/>
                <w:vertAlign w:val="subscript"/>
                <w:lang w:val="lt-LT" w:bidi="ta-IN"/>
              </w:rPr>
              <w:t>4</w:t>
            </w:r>
            <w:r>
              <w:rPr>
                <w:rFonts w:eastAsia="Arial Unicode MS" w:cs="Times New Roman"/>
                <w:szCs w:val="24"/>
                <w:bdr w:val="nil"/>
                <w:lang w:val="lt-LT" w:bidi="ta-IN"/>
              </w:rPr>
              <w:t>=7</w:t>
            </w:r>
          </w:p>
        </w:tc>
        <w:tc>
          <w:tcPr>
            <w:tcW w:w="786" w:type="pct"/>
            <w:tcBorders>
              <w:top w:val="single" w:sz="4" w:space="0" w:color="auto"/>
              <w:left w:val="single" w:sz="4" w:space="0" w:color="auto"/>
              <w:bottom w:val="single" w:sz="4" w:space="0" w:color="auto"/>
              <w:right w:val="single" w:sz="4" w:space="0" w:color="auto"/>
            </w:tcBorders>
            <w:vAlign w:val="center"/>
          </w:tcPr>
          <w:p w14:paraId="21CFC729" w14:textId="5B0D80A9"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 xml:space="preserve">Taip – </w:t>
            </w:r>
            <w:r>
              <w:rPr>
                <w:rFonts w:eastAsia="Arial Unicode MS" w:cs="Times New Roman"/>
                <w:szCs w:val="24"/>
                <w:bdr w:val="nil"/>
                <w:lang w:val="lt-LT" w:bidi="ta-IN"/>
              </w:rPr>
              <w:t>7</w:t>
            </w:r>
            <w:r w:rsidRPr="005E428C">
              <w:rPr>
                <w:rFonts w:eastAsia="Arial Unicode MS" w:cs="Times New Roman"/>
                <w:szCs w:val="24"/>
                <w:bdr w:val="nil"/>
                <w:lang w:val="lt-LT" w:bidi="ta-IN"/>
              </w:rPr>
              <w:t xml:space="preserve"> bala</w:t>
            </w:r>
            <w:r>
              <w:rPr>
                <w:rFonts w:eastAsia="Arial Unicode MS" w:cs="Times New Roman"/>
                <w:szCs w:val="24"/>
                <w:bdr w:val="nil"/>
                <w:lang w:val="lt-LT" w:bidi="ta-IN"/>
              </w:rPr>
              <w:t>i</w:t>
            </w:r>
            <w:r w:rsidRPr="005E428C">
              <w:rPr>
                <w:rFonts w:eastAsia="Arial Unicode MS" w:cs="Times New Roman"/>
                <w:szCs w:val="24"/>
                <w:bdr w:val="nil"/>
                <w:lang w:val="lt-LT" w:bidi="ta-IN"/>
              </w:rPr>
              <w:t>,</w:t>
            </w:r>
          </w:p>
          <w:p w14:paraId="650FBF70" w14:textId="3B1845D7"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Ne – 0 balų</w:t>
            </w:r>
          </w:p>
        </w:tc>
      </w:tr>
      <w:tr w:rsidR="00D622B8" w:rsidRPr="005E428C" w14:paraId="0FCEF3BF" w14:textId="77777777" w:rsidTr="00BC5D2C">
        <w:trPr>
          <w:trHeight w:val="571"/>
        </w:trPr>
        <w:tc>
          <w:tcPr>
            <w:tcW w:w="201" w:type="pct"/>
            <w:tcBorders>
              <w:top w:val="single" w:sz="4" w:space="0" w:color="auto"/>
              <w:left w:val="single" w:sz="4" w:space="0" w:color="auto"/>
              <w:bottom w:val="single" w:sz="4" w:space="0" w:color="auto"/>
              <w:right w:val="single" w:sz="4" w:space="0" w:color="auto"/>
            </w:tcBorders>
            <w:vAlign w:val="center"/>
          </w:tcPr>
          <w:p w14:paraId="3134224E" w14:textId="6CD378C8" w:rsidR="00D622B8" w:rsidRPr="00BC5D2C" w:rsidRDefault="00D622B8" w:rsidP="00D622B8">
            <w:pPr>
              <w:pBdr>
                <w:top w:val="nil"/>
                <w:left w:val="nil"/>
                <w:bottom w:val="nil"/>
                <w:right w:val="nil"/>
                <w:between w:val="nil"/>
                <w:bar w:val="nil"/>
              </w:pBdr>
              <w:suppressAutoHyphens/>
              <w:spacing w:after="240"/>
              <w:rPr>
                <w:rFonts w:eastAsia="Arial Unicode MS" w:cs="Times New Roman"/>
                <w:szCs w:val="24"/>
                <w:bdr w:val="nil"/>
                <w:vertAlign w:val="subscript"/>
                <w:lang w:val="lt-LT" w:bidi="ta-IN"/>
              </w:rPr>
            </w:pPr>
            <w:r>
              <w:rPr>
                <w:rFonts w:eastAsia="Arial Unicode MS" w:cs="Times New Roman"/>
                <w:szCs w:val="24"/>
                <w:bdr w:val="nil"/>
                <w:lang w:val="lt-LT" w:bidi="ta-IN"/>
              </w:rPr>
              <w:t>T</w:t>
            </w:r>
            <w:r>
              <w:rPr>
                <w:rFonts w:eastAsia="Arial Unicode MS" w:cs="Times New Roman"/>
                <w:szCs w:val="24"/>
                <w:bdr w:val="nil"/>
                <w:vertAlign w:val="subscript"/>
                <w:lang w:val="lt-LT" w:bidi="ta-IN"/>
              </w:rPr>
              <w:t>5</w:t>
            </w:r>
          </w:p>
        </w:tc>
        <w:tc>
          <w:tcPr>
            <w:tcW w:w="2685" w:type="pct"/>
            <w:tcBorders>
              <w:top w:val="single" w:sz="4" w:space="0" w:color="auto"/>
              <w:left w:val="single" w:sz="4" w:space="0" w:color="auto"/>
              <w:bottom w:val="single" w:sz="4" w:space="0" w:color="auto"/>
              <w:right w:val="single" w:sz="4" w:space="0" w:color="auto"/>
            </w:tcBorders>
            <w:vAlign w:val="center"/>
          </w:tcPr>
          <w:p w14:paraId="3814E9B8" w14:textId="4EC2C4E3" w:rsidR="00D622B8" w:rsidRPr="00BC5D2C" w:rsidRDefault="00D622B8" w:rsidP="00D622B8">
            <w:pPr>
              <w:spacing w:before="60" w:after="60"/>
              <w:rPr>
                <w:szCs w:val="24"/>
              </w:rPr>
            </w:pPr>
            <w:proofErr w:type="spellStart"/>
            <w:r w:rsidRPr="00BC5D2C">
              <w:rPr>
                <w:b/>
                <w:bCs/>
                <w:szCs w:val="24"/>
              </w:rPr>
              <w:t>Navigacijos</w:t>
            </w:r>
            <w:proofErr w:type="spellEnd"/>
            <w:r w:rsidRPr="00BC5D2C">
              <w:rPr>
                <w:b/>
                <w:bCs/>
                <w:szCs w:val="24"/>
              </w:rPr>
              <w:t xml:space="preserve"> </w:t>
            </w:r>
            <w:proofErr w:type="spellStart"/>
            <w:r w:rsidRPr="00BC5D2C">
              <w:rPr>
                <w:b/>
                <w:bCs/>
                <w:szCs w:val="24"/>
              </w:rPr>
              <w:t>integracija</w:t>
            </w:r>
            <w:proofErr w:type="spellEnd"/>
            <w:r w:rsidRPr="00BC5D2C">
              <w:rPr>
                <w:b/>
                <w:bCs/>
                <w:szCs w:val="24"/>
              </w:rPr>
              <w:t xml:space="preserve"> </w:t>
            </w:r>
            <w:proofErr w:type="spellStart"/>
            <w:r w:rsidRPr="00BC5D2C">
              <w:rPr>
                <w:b/>
                <w:bCs/>
                <w:szCs w:val="24"/>
              </w:rPr>
              <w:t>su</w:t>
            </w:r>
            <w:proofErr w:type="spellEnd"/>
            <w:r w:rsidRPr="00BC5D2C">
              <w:rPr>
                <w:szCs w:val="24"/>
              </w:rPr>
              <w:t xml:space="preserve"> </w:t>
            </w:r>
            <w:proofErr w:type="spellStart"/>
            <w:r w:rsidRPr="00BC5D2C">
              <w:rPr>
                <w:b/>
                <w:bCs/>
                <w:szCs w:val="24"/>
              </w:rPr>
              <w:t>automatiniu</w:t>
            </w:r>
            <w:proofErr w:type="spellEnd"/>
            <w:r w:rsidRPr="00BC5D2C">
              <w:rPr>
                <w:b/>
                <w:bCs/>
                <w:szCs w:val="24"/>
              </w:rPr>
              <w:t xml:space="preserve"> </w:t>
            </w:r>
            <w:proofErr w:type="spellStart"/>
            <w:r w:rsidRPr="00BC5D2C">
              <w:rPr>
                <w:b/>
                <w:bCs/>
                <w:szCs w:val="24"/>
              </w:rPr>
              <w:t>valdomu</w:t>
            </w:r>
            <w:proofErr w:type="spellEnd"/>
            <w:r w:rsidRPr="00BC5D2C">
              <w:rPr>
                <w:b/>
                <w:bCs/>
                <w:szCs w:val="24"/>
              </w:rPr>
              <w:t xml:space="preserve"> </w:t>
            </w:r>
            <w:proofErr w:type="spellStart"/>
            <w:r w:rsidRPr="00BC5D2C">
              <w:rPr>
                <w:b/>
                <w:bCs/>
                <w:szCs w:val="24"/>
              </w:rPr>
              <w:t>judėjimu</w:t>
            </w:r>
            <w:proofErr w:type="spellEnd"/>
            <w:r w:rsidRPr="00BC5D2C">
              <w:rPr>
                <w:b/>
                <w:bCs/>
                <w:szCs w:val="24"/>
              </w:rPr>
              <w:t>:</w:t>
            </w:r>
            <w:r w:rsidRPr="00BC5D2C">
              <w:rPr>
                <w:szCs w:val="24"/>
              </w:rPr>
              <w:t xml:space="preserve"> </w:t>
            </w:r>
            <w:proofErr w:type="spellStart"/>
            <w:r w:rsidRPr="00BC5D2C">
              <w:rPr>
                <w:szCs w:val="24"/>
              </w:rPr>
              <w:t>mikroskopas</w:t>
            </w:r>
            <w:proofErr w:type="spellEnd"/>
            <w:r w:rsidRPr="00BC5D2C">
              <w:rPr>
                <w:szCs w:val="24"/>
              </w:rPr>
              <w:t xml:space="preserve"> </w:t>
            </w:r>
            <w:proofErr w:type="spellStart"/>
            <w:r w:rsidRPr="00BC5D2C">
              <w:rPr>
                <w:szCs w:val="24"/>
              </w:rPr>
              <w:t>gali</w:t>
            </w:r>
            <w:proofErr w:type="spellEnd"/>
            <w:r w:rsidRPr="00BC5D2C">
              <w:rPr>
                <w:szCs w:val="24"/>
              </w:rPr>
              <w:t xml:space="preserve"> </w:t>
            </w:r>
            <w:proofErr w:type="spellStart"/>
            <w:r w:rsidRPr="00BC5D2C">
              <w:rPr>
                <w:szCs w:val="24"/>
              </w:rPr>
              <w:t>būti</w:t>
            </w:r>
            <w:proofErr w:type="spellEnd"/>
            <w:r w:rsidRPr="00BC5D2C">
              <w:rPr>
                <w:szCs w:val="24"/>
              </w:rPr>
              <w:t xml:space="preserve"> </w:t>
            </w:r>
            <w:proofErr w:type="spellStart"/>
            <w:r w:rsidRPr="00BC5D2C">
              <w:rPr>
                <w:szCs w:val="24"/>
              </w:rPr>
              <w:t>valdomas</w:t>
            </w:r>
            <w:proofErr w:type="spellEnd"/>
            <w:r w:rsidRPr="00BC5D2C">
              <w:rPr>
                <w:szCs w:val="24"/>
              </w:rPr>
              <w:t xml:space="preserve"> </w:t>
            </w:r>
            <w:proofErr w:type="spellStart"/>
            <w:r w:rsidRPr="00BC5D2C">
              <w:rPr>
                <w:szCs w:val="24"/>
              </w:rPr>
              <w:t>pagal</w:t>
            </w:r>
            <w:proofErr w:type="spellEnd"/>
            <w:r w:rsidRPr="00BC5D2C">
              <w:rPr>
                <w:szCs w:val="24"/>
              </w:rPr>
              <w:t xml:space="preserve"> </w:t>
            </w:r>
            <w:proofErr w:type="spellStart"/>
            <w:r w:rsidRPr="00BC5D2C">
              <w:rPr>
                <w:szCs w:val="24"/>
              </w:rPr>
              <w:t>neuronavigacijos</w:t>
            </w:r>
            <w:proofErr w:type="spellEnd"/>
            <w:r w:rsidRPr="00BC5D2C">
              <w:rPr>
                <w:szCs w:val="24"/>
              </w:rPr>
              <w:t xml:space="preserve"> </w:t>
            </w:r>
            <w:proofErr w:type="spellStart"/>
            <w:r w:rsidRPr="00BC5D2C">
              <w:rPr>
                <w:szCs w:val="24"/>
              </w:rPr>
              <w:t>koordinates</w:t>
            </w:r>
            <w:proofErr w:type="spellEnd"/>
            <w:r w:rsidRPr="00BC5D2C">
              <w:rPr>
                <w:szCs w:val="24"/>
              </w:rPr>
              <w:t xml:space="preserve">, </w:t>
            </w:r>
            <w:proofErr w:type="spellStart"/>
            <w:r w:rsidRPr="00BC5D2C">
              <w:rPr>
                <w:szCs w:val="24"/>
              </w:rPr>
              <w:t>automatiškai</w:t>
            </w:r>
            <w:proofErr w:type="spellEnd"/>
            <w:r w:rsidRPr="00BC5D2C">
              <w:rPr>
                <w:szCs w:val="24"/>
              </w:rPr>
              <w:t xml:space="preserve"> </w:t>
            </w:r>
            <w:proofErr w:type="spellStart"/>
            <w:r w:rsidRPr="00BC5D2C">
              <w:rPr>
                <w:szCs w:val="24"/>
              </w:rPr>
              <w:t>orientuojant</w:t>
            </w:r>
            <w:proofErr w:type="spellEnd"/>
            <w:r w:rsidRPr="00BC5D2C">
              <w:rPr>
                <w:szCs w:val="24"/>
              </w:rPr>
              <w:t xml:space="preserve"> </w:t>
            </w:r>
            <w:proofErr w:type="spellStart"/>
            <w:r w:rsidRPr="00BC5D2C">
              <w:rPr>
                <w:szCs w:val="24"/>
              </w:rPr>
              <w:t>optinę</w:t>
            </w:r>
            <w:proofErr w:type="spellEnd"/>
            <w:r w:rsidRPr="00BC5D2C">
              <w:rPr>
                <w:szCs w:val="24"/>
              </w:rPr>
              <w:t xml:space="preserve"> </w:t>
            </w:r>
            <w:proofErr w:type="spellStart"/>
            <w:r w:rsidRPr="00BC5D2C">
              <w:rPr>
                <w:szCs w:val="24"/>
              </w:rPr>
              <w:t>ašį</w:t>
            </w:r>
            <w:proofErr w:type="spellEnd"/>
            <w:r w:rsidRPr="00BC5D2C">
              <w:rPr>
                <w:szCs w:val="24"/>
              </w:rPr>
              <w:t xml:space="preserve"> į </w:t>
            </w:r>
            <w:proofErr w:type="spellStart"/>
            <w:r w:rsidRPr="00BC5D2C">
              <w:rPr>
                <w:szCs w:val="24"/>
              </w:rPr>
              <w:t>chirurginį</w:t>
            </w:r>
            <w:proofErr w:type="spellEnd"/>
            <w:r w:rsidRPr="00BC5D2C">
              <w:rPr>
                <w:szCs w:val="24"/>
              </w:rPr>
              <w:t xml:space="preserve"> </w:t>
            </w:r>
            <w:proofErr w:type="spellStart"/>
            <w:r w:rsidRPr="00BC5D2C">
              <w:rPr>
                <w:szCs w:val="24"/>
              </w:rPr>
              <w:t>tašką</w:t>
            </w:r>
            <w:proofErr w:type="spellEnd"/>
          </w:p>
        </w:tc>
        <w:tc>
          <w:tcPr>
            <w:tcW w:w="607" w:type="pct"/>
            <w:tcBorders>
              <w:top w:val="single" w:sz="4" w:space="0" w:color="auto"/>
              <w:left w:val="single" w:sz="4" w:space="0" w:color="auto"/>
              <w:bottom w:val="single" w:sz="4" w:space="0" w:color="auto"/>
              <w:right w:val="single" w:sz="4" w:space="0" w:color="auto"/>
            </w:tcBorders>
            <w:vAlign w:val="center"/>
          </w:tcPr>
          <w:p w14:paraId="59B6CAA2" w14:textId="77777777" w:rsidR="00D622B8" w:rsidRDefault="00D622B8" w:rsidP="001F4D57">
            <w:pPr>
              <w:pStyle w:val="NoSpacing"/>
              <w:rPr>
                <w:sz w:val="22"/>
                <w:lang w:eastAsia="zh-CN"/>
              </w:rPr>
            </w:pPr>
            <w:proofErr w:type="spellStart"/>
            <w:r>
              <w:rPr>
                <w:lang w:eastAsia="zh-CN"/>
              </w:rPr>
              <w:t>Statinis</w:t>
            </w:r>
            <w:proofErr w:type="spellEnd"/>
            <w:r>
              <w:rPr>
                <w:lang w:eastAsia="zh-CN"/>
              </w:rPr>
              <w:t>:</w:t>
            </w:r>
          </w:p>
          <w:p w14:paraId="15571A74" w14:textId="54888CCE" w:rsidR="00D622B8" w:rsidRPr="005E428C" w:rsidRDefault="00D622B8" w:rsidP="001F4D57">
            <w:pPr>
              <w:pStyle w:val="NoSpacing"/>
              <w:rPr>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tcPr>
          <w:p w14:paraId="499E891D" w14:textId="77B435EB"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D622B8">
              <w:rPr>
                <w:rFonts w:eastAsia="Arial Unicode MS" w:cs="Times New Roman"/>
                <w:szCs w:val="24"/>
                <w:bdr w:val="nil"/>
                <w:lang w:val="lt-LT" w:bidi="ta-IN"/>
              </w:rPr>
              <w:t>Y</w:t>
            </w:r>
            <w:r>
              <w:rPr>
                <w:rFonts w:eastAsia="Arial Unicode MS" w:cs="Times New Roman"/>
                <w:szCs w:val="24"/>
                <w:bdr w:val="nil"/>
                <w:vertAlign w:val="subscript"/>
                <w:lang w:val="lt-LT" w:bidi="ta-IN"/>
              </w:rPr>
              <w:t>5</w:t>
            </w:r>
            <w:r>
              <w:rPr>
                <w:rFonts w:eastAsia="Arial Unicode MS" w:cs="Times New Roman"/>
                <w:szCs w:val="24"/>
                <w:bdr w:val="nil"/>
                <w:lang w:val="lt-LT" w:bidi="ta-IN"/>
              </w:rPr>
              <w:t>=5</w:t>
            </w:r>
          </w:p>
        </w:tc>
        <w:tc>
          <w:tcPr>
            <w:tcW w:w="786" w:type="pct"/>
            <w:tcBorders>
              <w:top w:val="single" w:sz="4" w:space="0" w:color="auto"/>
              <w:left w:val="single" w:sz="4" w:space="0" w:color="auto"/>
              <w:bottom w:val="single" w:sz="4" w:space="0" w:color="auto"/>
              <w:right w:val="single" w:sz="4" w:space="0" w:color="auto"/>
            </w:tcBorders>
            <w:vAlign w:val="center"/>
          </w:tcPr>
          <w:p w14:paraId="2D3C09B2" w14:textId="676FD6B5"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 xml:space="preserve">Taip – </w:t>
            </w:r>
            <w:r w:rsidRPr="00220321">
              <w:rPr>
                <w:rFonts w:eastAsia="Arial Unicode MS" w:cs="Times New Roman"/>
                <w:szCs w:val="24"/>
                <w:bdr w:val="nil"/>
                <w:lang w:val="lt-LT" w:bidi="ta-IN"/>
              </w:rPr>
              <w:t xml:space="preserve"> </w:t>
            </w:r>
            <w:r>
              <w:rPr>
                <w:rFonts w:eastAsia="Arial Unicode MS" w:cs="Times New Roman"/>
                <w:szCs w:val="24"/>
                <w:bdr w:val="nil"/>
                <w:lang w:val="lt-LT" w:bidi="ta-IN"/>
              </w:rPr>
              <w:t>5 balai</w:t>
            </w:r>
            <w:r w:rsidRPr="005E428C">
              <w:rPr>
                <w:rFonts w:eastAsia="Arial Unicode MS" w:cs="Times New Roman"/>
                <w:szCs w:val="24"/>
                <w:bdr w:val="nil"/>
                <w:lang w:val="lt-LT" w:bidi="ta-IN"/>
              </w:rPr>
              <w:t>,</w:t>
            </w:r>
          </w:p>
          <w:p w14:paraId="61FF077B" w14:textId="734CBB2A"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Ne – 0 balų</w:t>
            </w:r>
          </w:p>
        </w:tc>
      </w:tr>
      <w:tr w:rsidR="00D622B8" w:rsidRPr="005E428C" w14:paraId="5A5C5B44" w14:textId="77777777" w:rsidTr="00BC5D2C">
        <w:trPr>
          <w:trHeight w:val="571"/>
        </w:trPr>
        <w:tc>
          <w:tcPr>
            <w:tcW w:w="201" w:type="pct"/>
            <w:tcBorders>
              <w:top w:val="single" w:sz="4" w:space="0" w:color="auto"/>
              <w:left w:val="single" w:sz="4" w:space="0" w:color="auto"/>
              <w:bottom w:val="single" w:sz="4" w:space="0" w:color="auto"/>
              <w:right w:val="single" w:sz="4" w:space="0" w:color="auto"/>
            </w:tcBorders>
            <w:vAlign w:val="center"/>
          </w:tcPr>
          <w:p w14:paraId="6C96B23C" w14:textId="07CD719E" w:rsidR="00D622B8" w:rsidRPr="00BC5D2C" w:rsidRDefault="00D622B8" w:rsidP="00D622B8">
            <w:pPr>
              <w:pBdr>
                <w:top w:val="nil"/>
                <w:left w:val="nil"/>
                <w:bottom w:val="nil"/>
                <w:right w:val="nil"/>
                <w:between w:val="nil"/>
                <w:bar w:val="nil"/>
              </w:pBdr>
              <w:suppressAutoHyphens/>
              <w:spacing w:after="240"/>
              <w:rPr>
                <w:rFonts w:eastAsia="Arial Unicode MS" w:cs="Times New Roman"/>
                <w:szCs w:val="24"/>
                <w:bdr w:val="nil"/>
                <w:vertAlign w:val="subscript"/>
                <w:lang w:val="lt-LT" w:bidi="ta-IN"/>
              </w:rPr>
            </w:pPr>
            <w:r>
              <w:rPr>
                <w:rFonts w:eastAsia="Arial Unicode MS" w:cs="Times New Roman"/>
                <w:szCs w:val="24"/>
                <w:bdr w:val="nil"/>
                <w:lang w:val="lt-LT" w:bidi="ta-IN"/>
              </w:rPr>
              <w:t>T</w:t>
            </w:r>
            <w:r>
              <w:rPr>
                <w:rFonts w:eastAsia="Arial Unicode MS" w:cs="Times New Roman"/>
                <w:szCs w:val="24"/>
                <w:bdr w:val="nil"/>
                <w:vertAlign w:val="subscript"/>
                <w:lang w:val="lt-LT" w:bidi="ta-IN"/>
              </w:rPr>
              <w:t>6</w:t>
            </w:r>
          </w:p>
        </w:tc>
        <w:tc>
          <w:tcPr>
            <w:tcW w:w="2685" w:type="pct"/>
            <w:tcBorders>
              <w:top w:val="single" w:sz="4" w:space="0" w:color="auto"/>
              <w:left w:val="single" w:sz="4" w:space="0" w:color="auto"/>
              <w:bottom w:val="single" w:sz="4" w:space="0" w:color="auto"/>
              <w:right w:val="single" w:sz="4" w:space="0" w:color="auto"/>
            </w:tcBorders>
            <w:vAlign w:val="center"/>
          </w:tcPr>
          <w:p w14:paraId="6C408F0C" w14:textId="6BED8C51" w:rsidR="00D622B8" w:rsidRPr="00BC5D2C" w:rsidRDefault="00D622B8" w:rsidP="00D622B8">
            <w:pPr>
              <w:spacing w:before="60" w:after="60"/>
              <w:rPr>
                <w:b/>
                <w:bCs/>
                <w:szCs w:val="24"/>
              </w:rPr>
            </w:pPr>
            <w:proofErr w:type="spellStart"/>
            <w:r w:rsidRPr="00BC5D2C">
              <w:rPr>
                <w:b/>
                <w:bCs/>
                <w:szCs w:val="24"/>
              </w:rPr>
              <w:t>Integruota</w:t>
            </w:r>
            <w:proofErr w:type="spellEnd"/>
            <w:r w:rsidRPr="00BC5D2C">
              <w:rPr>
                <w:b/>
                <w:bCs/>
                <w:szCs w:val="24"/>
              </w:rPr>
              <w:t xml:space="preserve"> 4K </w:t>
            </w:r>
            <w:proofErr w:type="spellStart"/>
            <w:r w:rsidRPr="00DD06D3">
              <w:rPr>
                <w:b/>
                <w:bCs/>
                <w:szCs w:val="24"/>
              </w:rPr>
              <w:t>dokumentavimo</w:t>
            </w:r>
            <w:proofErr w:type="spellEnd"/>
            <w:r w:rsidRPr="00DD06D3">
              <w:rPr>
                <w:b/>
                <w:bCs/>
                <w:szCs w:val="24"/>
              </w:rPr>
              <w:t xml:space="preserve"> </w:t>
            </w:r>
            <w:proofErr w:type="spellStart"/>
            <w:r w:rsidR="00DD06D3">
              <w:rPr>
                <w:b/>
                <w:bCs/>
                <w:szCs w:val="24"/>
              </w:rPr>
              <w:t>s</w:t>
            </w:r>
            <w:r w:rsidRPr="00DD06D3">
              <w:rPr>
                <w:b/>
                <w:bCs/>
                <w:szCs w:val="24"/>
              </w:rPr>
              <w:t>istema</w:t>
            </w:r>
            <w:proofErr w:type="spellEnd"/>
            <w:r w:rsidRPr="00DD06D3">
              <w:rPr>
                <w:b/>
                <w:bCs/>
                <w:szCs w:val="24"/>
              </w:rPr>
              <w:t>.</w:t>
            </w:r>
            <w:r w:rsidRPr="00BC5D2C">
              <w:rPr>
                <w:szCs w:val="24"/>
              </w:rPr>
              <w:t xml:space="preserve"> </w:t>
            </w:r>
            <w:proofErr w:type="spellStart"/>
            <w:r w:rsidRPr="00BC5D2C">
              <w:rPr>
                <w:szCs w:val="24"/>
              </w:rPr>
              <w:t>Integruota</w:t>
            </w:r>
            <w:proofErr w:type="spellEnd"/>
            <w:r w:rsidRPr="00BC5D2C">
              <w:rPr>
                <w:b/>
                <w:bCs/>
                <w:szCs w:val="24"/>
              </w:rPr>
              <w:t xml:space="preserve"> </w:t>
            </w:r>
            <w:r w:rsidRPr="00BC5D2C">
              <w:rPr>
                <w:rStyle w:val="Strong"/>
                <w:b w:val="0"/>
                <w:bCs w:val="0"/>
                <w:szCs w:val="24"/>
              </w:rPr>
              <w:t xml:space="preserve">4K </w:t>
            </w:r>
            <w:proofErr w:type="spellStart"/>
            <w:r w:rsidRPr="00BC5D2C">
              <w:rPr>
                <w:rStyle w:val="Strong"/>
                <w:b w:val="0"/>
                <w:bCs w:val="0"/>
                <w:szCs w:val="24"/>
              </w:rPr>
              <w:t>kamera</w:t>
            </w:r>
            <w:proofErr w:type="spellEnd"/>
            <w:r w:rsidRPr="00BC5D2C">
              <w:rPr>
                <w:rStyle w:val="Strong"/>
                <w:b w:val="0"/>
                <w:bCs w:val="0"/>
                <w:szCs w:val="24"/>
              </w:rPr>
              <w:t xml:space="preserve"> </w:t>
            </w:r>
            <w:proofErr w:type="spellStart"/>
            <w:r w:rsidRPr="00BC5D2C">
              <w:rPr>
                <w:rStyle w:val="Strong"/>
                <w:b w:val="0"/>
                <w:bCs w:val="0"/>
                <w:szCs w:val="24"/>
              </w:rPr>
              <w:t>ir</w:t>
            </w:r>
            <w:proofErr w:type="spellEnd"/>
            <w:r w:rsidRPr="00BC5D2C">
              <w:rPr>
                <w:rStyle w:val="Strong"/>
                <w:b w:val="0"/>
                <w:bCs w:val="0"/>
                <w:szCs w:val="24"/>
              </w:rPr>
              <w:t xml:space="preserve"> </w:t>
            </w:r>
            <w:proofErr w:type="spellStart"/>
            <w:r w:rsidRPr="00BC5D2C">
              <w:rPr>
                <w:rStyle w:val="Strong"/>
                <w:b w:val="0"/>
                <w:bCs w:val="0"/>
                <w:szCs w:val="24"/>
              </w:rPr>
              <w:t>įrašymo</w:t>
            </w:r>
            <w:proofErr w:type="spellEnd"/>
            <w:r w:rsidRPr="00BC5D2C">
              <w:rPr>
                <w:rStyle w:val="Strong"/>
                <w:b w:val="0"/>
                <w:bCs w:val="0"/>
                <w:szCs w:val="24"/>
              </w:rPr>
              <w:t xml:space="preserve"> </w:t>
            </w:r>
            <w:proofErr w:type="spellStart"/>
            <w:r w:rsidRPr="00BC5D2C">
              <w:rPr>
                <w:rStyle w:val="Strong"/>
                <w:b w:val="0"/>
                <w:bCs w:val="0"/>
                <w:szCs w:val="24"/>
              </w:rPr>
              <w:t>sistema</w:t>
            </w:r>
            <w:proofErr w:type="spellEnd"/>
            <w:r w:rsidRPr="00BC5D2C">
              <w:rPr>
                <w:rStyle w:val="Strong"/>
                <w:b w:val="0"/>
                <w:bCs w:val="0"/>
                <w:szCs w:val="24"/>
              </w:rPr>
              <w:t xml:space="preserve"> </w:t>
            </w:r>
            <w:proofErr w:type="spellStart"/>
            <w:r w:rsidRPr="00BC5D2C">
              <w:rPr>
                <w:rStyle w:val="Strong"/>
                <w:b w:val="0"/>
                <w:bCs w:val="0"/>
                <w:szCs w:val="24"/>
              </w:rPr>
              <w:t>arba</w:t>
            </w:r>
            <w:proofErr w:type="spellEnd"/>
            <w:r w:rsidRPr="00BC5D2C">
              <w:rPr>
                <w:rStyle w:val="Strong"/>
                <w:b w:val="0"/>
                <w:bCs w:val="0"/>
                <w:szCs w:val="24"/>
              </w:rPr>
              <w:t xml:space="preserve"> </w:t>
            </w:r>
            <w:proofErr w:type="spellStart"/>
            <w:r w:rsidRPr="00BC5D2C">
              <w:rPr>
                <w:rStyle w:val="Strong"/>
                <w:b w:val="0"/>
                <w:bCs w:val="0"/>
                <w:szCs w:val="24"/>
              </w:rPr>
              <w:t>lygiavertis</w:t>
            </w:r>
            <w:proofErr w:type="spellEnd"/>
            <w:r w:rsidRPr="00BC5D2C">
              <w:rPr>
                <w:rStyle w:val="Strong"/>
                <w:b w:val="0"/>
                <w:bCs w:val="0"/>
                <w:szCs w:val="24"/>
              </w:rPr>
              <w:t xml:space="preserve"> </w:t>
            </w:r>
            <w:proofErr w:type="spellStart"/>
            <w:r w:rsidRPr="00BC5D2C">
              <w:rPr>
                <w:rStyle w:val="Strong"/>
                <w:b w:val="0"/>
                <w:bCs w:val="0"/>
                <w:szCs w:val="24"/>
              </w:rPr>
              <w:t>sprendimas</w:t>
            </w:r>
            <w:proofErr w:type="spellEnd"/>
            <w:r w:rsidRPr="00BC5D2C">
              <w:rPr>
                <w:rStyle w:val="Strong"/>
                <w:b w:val="0"/>
                <w:bCs w:val="0"/>
                <w:szCs w:val="24"/>
              </w:rPr>
              <w:t>.</w:t>
            </w:r>
          </w:p>
        </w:tc>
        <w:tc>
          <w:tcPr>
            <w:tcW w:w="607" w:type="pct"/>
            <w:tcBorders>
              <w:top w:val="single" w:sz="4" w:space="0" w:color="auto"/>
              <w:left w:val="single" w:sz="4" w:space="0" w:color="auto"/>
              <w:bottom w:val="single" w:sz="4" w:space="0" w:color="auto"/>
              <w:right w:val="single" w:sz="4" w:space="0" w:color="auto"/>
            </w:tcBorders>
            <w:vAlign w:val="center"/>
          </w:tcPr>
          <w:p w14:paraId="1BB0AE17" w14:textId="77777777" w:rsidR="00D622B8" w:rsidRDefault="00D622B8" w:rsidP="001F4D57">
            <w:pPr>
              <w:pStyle w:val="NoSpacing"/>
              <w:rPr>
                <w:lang w:eastAsia="zh-CN"/>
              </w:rPr>
            </w:pPr>
            <w:proofErr w:type="spellStart"/>
            <w:r>
              <w:rPr>
                <w:lang w:eastAsia="zh-CN"/>
              </w:rPr>
              <w:t>Statinis</w:t>
            </w:r>
            <w:proofErr w:type="spellEnd"/>
            <w:r>
              <w:rPr>
                <w:lang w:eastAsia="zh-CN"/>
              </w:rPr>
              <w:t>:</w:t>
            </w:r>
          </w:p>
          <w:p w14:paraId="03BCA4E4" w14:textId="64135C6E" w:rsidR="00D622B8" w:rsidRPr="005E428C" w:rsidRDefault="00D622B8" w:rsidP="001F4D57">
            <w:pPr>
              <w:pStyle w:val="NoSpacing"/>
              <w:rPr>
                <w:bdr w:val="nil"/>
                <w:lang w:val="lt-LT" w:bidi="ta-IN"/>
              </w:rPr>
            </w:pPr>
            <w:r>
              <w:rPr>
                <w:lang w:eastAsia="zh-CN"/>
              </w:rPr>
              <w:t>(</w:t>
            </w:r>
            <w:proofErr w:type="spellStart"/>
            <w:r>
              <w:rPr>
                <w:lang w:eastAsia="zh-CN"/>
              </w:rPr>
              <w:t>yra</w:t>
            </w:r>
            <w:proofErr w:type="spellEnd"/>
            <w:r>
              <w:rPr>
                <w:lang w:eastAsia="zh-CN"/>
              </w:rPr>
              <w:t>/</w:t>
            </w:r>
            <w:proofErr w:type="spellStart"/>
            <w:r>
              <w:rPr>
                <w:lang w:eastAsia="zh-CN"/>
              </w:rPr>
              <w:t>nėra</w:t>
            </w:r>
            <w:proofErr w:type="spellEnd"/>
            <w:r>
              <w:rPr>
                <w:lang w:eastAsia="zh-CN"/>
              </w:rPr>
              <w:t>)</w:t>
            </w:r>
          </w:p>
        </w:tc>
        <w:tc>
          <w:tcPr>
            <w:tcW w:w="721" w:type="pct"/>
            <w:tcBorders>
              <w:top w:val="single" w:sz="4" w:space="0" w:color="auto"/>
              <w:left w:val="single" w:sz="4" w:space="0" w:color="auto"/>
              <w:bottom w:val="single" w:sz="4" w:space="0" w:color="auto"/>
              <w:right w:val="single" w:sz="4" w:space="0" w:color="auto"/>
            </w:tcBorders>
            <w:vAlign w:val="center"/>
          </w:tcPr>
          <w:p w14:paraId="770E7719" w14:textId="57857E31"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D622B8">
              <w:rPr>
                <w:rFonts w:eastAsia="Arial Unicode MS" w:cs="Times New Roman"/>
                <w:szCs w:val="24"/>
                <w:bdr w:val="nil"/>
                <w:lang w:val="lt-LT" w:bidi="ta-IN"/>
              </w:rPr>
              <w:t>Y</w:t>
            </w:r>
            <w:r>
              <w:rPr>
                <w:rFonts w:eastAsia="Arial Unicode MS" w:cs="Times New Roman"/>
                <w:szCs w:val="24"/>
                <w:bdr w:val="nil"/>
                <w:vertAlign w:val="subscript"/>
                <w:lang w:val="lt-LT" w:bidi="ta-IN"/>
              </w:rPr>
              <w:t>6</w:t>
            </w:r>
            <w:r>
              <w:rPr>
                <w:rFonts w:eastAsia="Arial Unicode MS" w:cs="Times New Roman"/>
                <w:szCs w:val="24"/>
                <w:bdr w:val="nil"/>
                <w:lang w:val="lt-LT" w:bidi="ta-IN"/>
              </w:rPr>
              <w:t>=2</w:t>
            </w:r>
            <w:r w:rsidRPr="00220321">
              <w:rPr>
                <w:lang w:val="lt-LT"/>
              </w:rPr>
              <w:t xml:space="preserve"> </w:t>
            </w:r>
          </w:p>
        </w:tc>
        <w:tc>
          <w:tcPr>
            <w:tcW w:w="786" w:type="pct"/>
            <w:tcBorders>
              <w:top w:val="single" w:sz="4" w:space="0" w:color="auto"/>
              <w:left w:val="single" w:sz="4" w:space="0" w:color="auto"/>
              <w:bottom w:val="single" w:sz="4" w:space="0" w:color="auto"/>
              <w:right w:val="single" w:sz="4" w:space="0" w:color="auto"/>
            </w:tcBorders>
            <w:vAlign w:val="center"/>
          </w:tcPr>
          <w:p w14:paraId="61B541BA" w14:textId="66DDB451"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Taip –</w:t>
            </w:r>
            <w:r>
              <w:rPr>
                <w:rFonts w:eastAsia="Arial Unicode MS" w:cs="Times New Roman"/>
                <w:szCs w:val="24"/>
                <w:bdr w:val="nil"/>
                <w:lang w:val="lt-LT" w:bidi="ta-IN"/>
              </w:rPr>
              <w:t xml:space="preserve"> 2</w:t>
            </w:r>
            <w:r w:rsidRPr="005E428C">
              <w:rPr>
                <w:rFonts w:eastAsia="Arial Unicode MS" w:cs="Times New Roman"/>
                <w:szCs w:val="24"/>
                <w:bdr w:val="nil"/>
                <w:lang w:val="lt-LT" w:bidi="ta-IN"/>
              </w:rPr>
              <w:t xml:space="preserve"> bala</w:t>
            </w:r>
            <w:r>
              <w:rPr>
                <w:rFonts w:eastAsia="Arial Unicode MS" w:cs="Times New Roman"/>
                <w:szCs w:val="24"/>
                <w:bdr w:val="nil"/>
                <w:lang w:val="lt-LT" w:bidi="ta-IN"/>
              </w:rPr>
              <w:t>i</w:t>
            </w:r>
            <w:r w:rsidRPr="005E428C">
              <w:rPr>
                <w:rFonts w:eastAsia="Arial Unicode MS" w:cs="Times New Roman"/>
                <w:szCs w:val="24"/>
                <w:bdr w:val="nil"/>
                <w:lang w:val="lt-LT" w:bidi="ta-IN"/>
              </w:rPr>
              <w:t>,</w:t>
            </w:r>
          </w:p>
          <w:p w14:paraId="00FBE3BC" w14:textId="01A76600" w:rsidR="00D622B8" w:rsidRPr="005E428C" w:rsidRDefault="00D622B8" w:rsidP="00D622B8">
            <w:pPr>
              <w:pBdr>
                <w:top w:val="nil"/>
                <w:left w:val="nil"/>
                <w:bottom w:val="nil"/>
                <w:right w:val="nil"/>
                <w:between w:val="nil"/>
                <w:bar w:val="nil"/>
              </w:pBdr>
              <w:suppressAutoHyphens/>
              <w:spacing w:after="240"/>
              <w:rPr>
                <w:rFonts w:eastAsia="Arial Unicode MS" w:cs="Times New Roman"/>
                <w:szCs w:val="24"/>
                <w:bdr w:val="nil"/>
                <w:lang w:val="lt-LT" w:bidi="ta-IN"/>
              </w:rPr>
            </w:pPr>
            <w:r w:rsidRPr="005E428C">
              <w:rPr>
                <w:rFonts w:eastAsia="Arial Unicode MS" w:cs="Times New Roman"/>
                <w:szCs w:val="24"/>
                <w:bdr w:val="nil"/>
                <w:lang w:val="lt-LT" w:bidi="ta-IN"/>
              </w:rPr>
              <w:t>Ne – 0 balų</w:t>
            </w:r>
          </w:p>
        </w:tc>
      </w:tr>
      <w:bookmarkEnd w:id="1"/>
    </w:tbl>
    <w:p w14:paraId="26072421" w14:textId="5554D210" w:rsidR="00587ED8" w:rsidRPr="003C3C98" w:rsidRDefault="00587ED8" w:rsidP="00D622B8">
      <w:pPr>
        <w:pBdr>
          <w:top w:val="nil"/>
          <w:left w:val="nil"/>
          <w:bottom w:val="nil"/>
          <w:right w:val="nil"/>
          <w:between w:val="nil"/>
          <w:bar w:val="nil"/>
        </w:pBdr>
        <w:suppressAutoHyphens/>
        <w:spacing w:after="240"/>
        <w:ind w:firstLine="709"/>
        <w:rPr>
          <w:rFonts w:eastAsia="Times New Roman" w:cs="Times New Roman"/>
          <w:b/>
          <w:bCs/>
          <w:szCs w:val="24"/>
          <w:lang w:val="lt-LT" w:eastAsia="lt-LT"/>
        </w:rPr>
      </w:pPr>
    </w:p>
    <w:sectPr w:rsidR="00587ED8" w:rsidRPr="003C3C98" w:rsidSect="002C1E34">
      <w:pgSz w:w="15840" w:h="12240" w:orient="landscape"/>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EE8"/>
    <w:multiLevelType w:val="multilevel"/>
    <w:tmpl w:val="3AB4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F53D7"/>
    <w:multiLevelType w:val="multilevel"/>
    <w:tmpl w:val="4D64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C0BD0"/>
    <w:multiLevelType w:val="multilevel"/>
    <w:tmpl w:val="99EC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6E09CB"/>
    <w:multiLevelType w:val="multilevel"/>
    <w:tmpl w:val="AE0A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B0C07"/>
    <w:multiLevelType w:val="multilevel"/>
    <w:tmpl w:val="1D52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3B397C"/>
    <w:multiLevelType w:val="multilevel"/>
    <w:tmpl w:val="1EC4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E6270C"/>
    <w:multiLevelType w:val="multilevel"/>
    <w:tmpl w:val="54387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A63FFC"/>
    <w:multiLevelType w:val="multilevel"/>
    <w:tmpl w:val="BCC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B47CDD"/>
    <w:multiLevelType w:val="multilevel"/>
    <w:tmpl w:val="E7F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2E331D"/>
    <w:multiLevelType w:val="hybridMultilevel"/>
    <w:tmpl w:val="C43A9AC2"/>
    <w:lvl w:ilvl="0" w:tplc="4F9CA66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55392ED7"/>
    <w:multiLevelType w:val="multilevel"/>
    <w:tmpl w:val="491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B0C1D"/>
    <w:multiLevelType w:val="multilevel"/>
    <w:tmpl w:val="B798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268375">
    <w:abstractNumId w:val="1"/>
  </w:num>
  <w:num w:numId="2" w16cid:durableId="1816528625">
    <w:abstractNumId w:val="7"/>
  </w:num>
  <w:num w:numId="3" w16cid:durableId="1580167524">
    <w:abstractNumId w:val="0"/>
  </w:num>
  <w:num w:numId="4" w16cid:durableId="1353529662">
    <w:abstractNumId w:val="10"/>
  </w:num>
  <w:num w:numId="5" w16cid:durableId="315767154">
    <w:abstractNumId w:val="4"/>
  </w:num>
  <w:num w:numId="6" w16cid:durableId="1204899676">
    <w:abstractNumId w:val="11"/>
  </w:num>
  <w:num w:numId="7" w16cid:durableId="1475372688">
    <w:abstractNumId w:val="8"/>
  </w:num>
  <w:num w:numId="8" w16cid:durableId="93552485">
    <w:abstractNumId w:val="5"/>
  </w:num>
  <w:num w:numId="9" w16cid:durableId="1618367340">
    <w:abstractNumId w:val="6"/>
  </w:num>
  <w:num w:numId="10" w16cid:durableId="811755680">
    <w:abstractNumId w:val="3"/>
  </w:num>
  <w:num w:numId="11" w16cid:durableId="1806584351">
    <w:abstractNumId w:val="2"/>
  </w:num>
  <w:num w:numId="12" w16cid:durableId="3082852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56C"/>
    <w:rsid w:val="00012A5D"/>
    <w:rsid w:val="00031854"/>
    <w:rsid w:val="0003203A"/>
    <w:rsid w:val="00042723"/>
    <w:rsid w:val="000503FF"/>
    <w:rsid w:val="00073AA3"/>
    <w:rsid w:val="00085BF0"/>
    <w:rsid w:val="00090C4B"/>
    <w:rsid w:val="000A10FC"/>
    <w:rsid w:val="000A4AE0"/>
    <w:rsid w:val="000B2DCD"/>
    <w:rsid w:val="000D3770"/>
    <w:rsid w:val="000D37A5"/>
    <w:rsid w:val="000F5DE0"/>
    <w:rsid w:val="000F7B24"/>
    <w:rsid w:val="00100DB3"/>
    <w:rsid w:val="001612D5"/>
    <w:rsid w:val="001A094E"/>
    <w:rsid w:val="001C07C3"/>
    <w:rsid w:val="001D3541"/>
    <w:rsid w:val="001D41C5"/>
    <w:rsid w:val="001D6E27"/>
    <w:rsid w:val="001F4D57"/>
    <w:rsid w:val="00220321"/>
    <w:rsid w:val="002260B4"/>
    <w:rsid w:val="0028770E"/>
    <w:rsid w:val="0029353A"/>
    <w:rsid w:val="002C1E34"/>
    <w:rsid w:val="002C3F0A"/>
    <w:rsid w:val="002C3F8B"/>
    <w:rsid w:val="002E481E"/>
    <w:rsid w:val="002E5EDA"/>
    <w:rsid w:val="00307766"/>
    <w:rsid w:val="00315805"/>
    <w:rsid w:val="00322BF2"/>
    <w:rsid w:val="0032717B"/>
    <w:rsid w:val="003416C8"/>
    <w:rsid w:val="00351990"/>
    <w:rsid w:val="003C127B"/>
    <w:rsid w:val="003C3C98"/>
    <w:rsid w:val="003C78C7"/>
    <w:rsid w:val="003E7CCF"/>
    <w:rsid w:val="00414DBF"/>
    <w:rsid w:val="00421F90"/>
    <w:rsid w:val="004237EB"/>
    <w:rsid w:val="00450A8F"/>
    <w:rsid w:val="004668BE"/>
    <w:rsid w:val="004963D0"/>
    <w:rsid w:val="004B2DD8"/>
    <w:rsid w:val="004B3FA8"/>
    <w:rsid w:val="004C616B"/>
    <w:rsid w:val="004D0490"/>
    <w:rsid w:val="004E2AF7"/>
    <w:rsid w:val="004E6F4A"/>
    <w:rsid w:val="00505F24"/>
    <w:rsid w:val="00512C0D"/>
    <w:rsid w:val="00514994"/>
    <w:rsid w:val="00543135"/>
    <w:rsid w:val="00550F04"/>
    <w:rsid w:val="00565ADA"/>
    <w:rsid w:val="00577BE8"/>
    <w:rsid w:val="00581698"/>
    <w:rsid w:val="00587ED8"/>
    <w:rsid w:val="005B2729"/>
    <w:rsid w:val="005D4921"/>
    <w:rsid w:val="005E428C"/>
    <w:rsid w:val="00620097"/>
    <w:rsid w:val="00653632"/>
    <w:rsid w:val="00663F82"/>
    <w:rsid w:val="00674B0A"/>
    <w:rsid w:val="00684904"/>
    <w:rsid w:val="006972EE"/>
    <w:rsid w:val="006A141E"/>
    <w:rsid w:val="006A61FB"/>
    <w:rsid w:val="006C40B8"/>
    <w:rsid w:val="006C6E5C"/>
    <w:rsid w:val="006D307E"/>
    <w:rsid w:val="00702242"/>
    <w:rsid w:val="007108B9"/>
    <w:rsid w:val="00711636"/>
    <w:rsid w:val="00735104"/>
    <w:rsid w:val="00752E16"/>
    <w:rsid w:val="00760572"/>
    <w:rsid w:val="00760D57"/>
    <w:rsid w:val="00761FD9"/>
    <w:rsid w:val="00784D27"/>
    <w:rsid w:val="00784DA9"/>
    <w:rsid w:val="00797C6A"/>
    <w:rsid w:val="007B6E56"/>
    <w:rsid w:val="007B74C8"/>
    <w:rsid w:val="007F4376"/>
    <w:rsid w:val="007F55FA"/>
    <w:rsid w:val="0081621C"/>
    <w:rsid w:val="00871506"/>
    <w:rsid w:val="008747EF"/>
    <w:rsid w:val="008919B4"/>
    <w:rsid w:val="008B7217"/>
    <w:rsid w:val="00907E02"/>
    <w:rsid w:val="009145E3"/>
    <w:rsid w:val="00915D3E"/>
    <w:rsid w:val="00917373"/>
    <w:rsid w:val="00920AFE"/>
    <w:rsid w:val="00922D5A"/>
    <w:rsid w:val="009230B1"/>
    <w:rsid w:val="00943957"/>
    <w:rsid w:val="009472D9"/>
    <w:rsid w:val="00953DC7"/>
    <w:rsid w:val="00955FEB"/>
    <w:rsid w:val="00967862"/>
    <w:rsid w:val="00972EEF"/>
    <w:rsid w:val="00977C82"/>
    <w:rsid w:val="009858FA"/>
    <w:rsid w:val="009A62E8"/>
    <w:rsid w:val="009C11A3"/>
    <w:rsid w:val="009C17BF"/>
    <w:rsid w:val="009D525B"/>
    <w:rsid w:val="009E2550"/>
    <w:rsid w:val="009E2B0C"/>
    <w:rsid w:val="00A1311B"/>
    <w:rsid w:val="00A20D80"/>
    <w:rsid w:val="00A5381F"/>
    <w:rsid w:val="00A74365"/>
    <w:rsid w:val="00A96C59"/>
    <w:rsid w:val="00AB2811"/>
    <w:rsid w:val="00AB744A"/>
    <w:rsid w:val="00AC2887"/>
    <w:rsid w:val="00AC3B23"/>
    <w:rsid w:val="00AD5737"/>
    <w:rsid w:val="00AE02A7"/>
    <w:rsid w:val="00AE4496"/>
    <w:rsid w:val="00AE49CA"/>
    <w:rsid w:val="00AF5DEB"/>
    <w:rsid w:val="00AF7FF5"/>
    <w:rsid w:val="00B03B8B"/>
    <w:rsid w:val="00B566A4"/>
    <w:rsid w:val="00B62D12"/>
    <w:rsid w:val="00B62DD5"/>
    <w:rsid w:val="00B71E2B"/>
    <w:rsid w:val="00B722C7"/>
    <w:rsid w:val="00B74F4B"/>
    <w:rsid w:val="00B87E27"/>
    <w:rsid w:val="00B936D4"/>
    <w:rsid w:val="00BB0AC2"/>
    <w:rsid w:val="00BB2E19"/>
    <w:rsid w:val="00BB564E"/>
    <w:rsid w:val="00BC0B3C"/>
    <w:rsid w:val="00BC5D2C"/>
    <w:rsid w:val="00BD2E33"/>
    <w:rsid w:val="00BD5D45"/>
    <w:rsid w:val="00C057F4"/>
    <w:rsid w:val="00C32B1E"/>
    <w:rsid w:val="00C37103"/>
    <w:rsid w:val="00C4143D"/>
    <w:rsid w:val="00C415CB"/>
    <w:rsid w:val="00C46AAA"/>
    <w:rsid w:val="00C57389"/>
    <w:rsid w:val="00C620AA"/>
    <w:rsid w:val="00C92533"/>
    <w:rsid w:val="00CC656C"/>
    <w:rsid w:val="00CD3F48"/>
    <w:rsid w:val="00CD7E13"/>
    <w:rsid w:val="00D0229B"/>
    <w:rsid w:val="00D16789"/>
    <w:rsid w:val="00D405C7"/>
    <w:rsid w:val="00D50715"/>
    <w:rsid w:val="00D55B65"/>
    <w:rsid w:val="00D6000F"/>
    <w:rsid w:val="00D622B8"/>
    <w:rsid w:val="00D64142"/>
    <w:rsid w:val="00D66CF1"/>
    <w:rsid w:val="00D85ABC"/>
    <w:rsid w:val="00D87B0B"/>
    <w:rsid w:val="00D93AD6"/>
    <w:rsid w:val="00DC1307"/>
    <w:rsid w:val="00DC258A"/>
    <w:rsid w:val="00DD06D3"/>
    <w:rsid w:val="00DD5DE0"/>
    <w:rsid w:val="00DE7F4E"/>
    <w:rsid w:val="00E040C5"/>
    <w:rsid w:val="00E04D84"/>
    <w:rsid w:val="00E07712"/>
    <w:rsid w:val="00E161D4"/>
    <w:rsid w:val="00E17704"/>
    <w:rsid w:val="00E270C9"/>
    <w:rsid w:val="00E30A80"/>
    <w:rsid w:val="00E712F9"/>
    <w:rsid w:val="00E7712A"/>
    <w:rsid w:val="00E811B9"/>
    <w:rsid w:val="00E82EF4"/>
    <w:rsid w:val="00EA2166"/>
    <w:rsid w:val="00EC10F8"/>
    <w:rsid w:val="00F05634"/>
    <w:rsid w:val="00F15553"/>
    <w:rsid w:val="00F162E5"/>
    <w:rsid w:val="00F27860"/>
    <w:rsid w:val="00F36010"/>
    <w:rsid w:val="00F36445"/>
    <w:rsid w:val="00F41397"/>
    <w:rsid w:val="00F5013E"/>
    <w:rsid w:val="00F60869"/>
    <w:rsid w:val="00F82D7D"/>
    <w:rsid w:val="00F929A2"/>
    <w:rsid w:val="00F94E11"/>
    <w:rsid w:val="00F95BF7"/>
    <w:rsid w:val="00FC3711"/>
    <w:rsid w:val="00FC7860"/>
    <w:rsid w:val="00FD2DBC"/>
    <w:rsid w:val="00FD45B7"/>
    <w:rsid w:val="00FD7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6930E"/>
  <w15:chartTrackingRefBased/>
  <w15:docId w15:val="{F63D2E38-8241-4EBA-B1B8-6D845EBD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3D0"/>
    <w:pPr>
      <w:spacing w:after="200" w:line="240" w:lineRule="auto"/>
      <w:jc w:val="both"/>
    </w:pPr>
    <w:rPr>
      <w:rFonts w:ascii="Times New Roman" w:hAnsi="Times New Roman"/>
      <w:kern w:val="0"/>
      <w:sz w:val="24"/>
      <w14:ligatures w14:val="none"/>
    </w:rPr>
  </w:style>
  <w:style w:type="paragraph" w:styleId="Heading2">
    <w:name w:val="heading 2"/>
    <w:basedOn w:val="Normal"/>
    <w:link w:val="Heading2Char"/>
    <w:uiPriority w:val="9"/>
    <w:qFormat/>
    <w:rsid w:val="00AB2811"/>
    <w:pPr>
      <w:spacing w:before="100" w:beforeAutospacing="1" w:after="100" w:afterAutospacing="1"/>
      <w:jc w:val="left"/>
      <w:outlineLvl w:val="1"/>
    </w:pPr>
    <w:rPr>
      <w:rFonts w:eastAsia="Times New Roman" w:cs="Times New Roman"/>
      <w:b/>
      <w:bCs/>
      <w:sz w:val="36"/>
      <w:szCs w:val="3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lp1"/>
    <w:basedOn w:val="Normal"/>
    <w:link w:val="ListParagraphChar"/>
    <w:uiPriority w:val="34"/>
    <w:qFormat/>
    <w:rsid w:val="00CC656C"/>
    <w:pPr>
      <w:ind w:left="720"/>
      <w:contextualSpacing/>
    </w:p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CC656C"/>
    <w:rPr>
      <w:rFonts w:ascii="Times New Roman" w:hAnsi="Times New Roman"/>
      <w:kern w:val="0"/>
      <w:sz w:val="24"/>
      <w14:ligatures w14:val="none"/>
    </w:rPr>
  </w:style>
  <w:style w:type="table" w:customStyle="1" w:styleId="TableGrid2">
    <w:name w:val="Table Grid2"/>
    <w:basedOn w:val="TableNormal"/>
    <w:next w:val="TableGrid"/>
    <w:uiPriority w:val="39"/>
    <w:rsid w:val="00CC656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C656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table" w:styleId="TableGrid">
    <w:name w:val="Table Grid"/>
    <w:basedOn w:val="TableNormal"/>
    <w:uiPriority w:val="39"/>
    <w:rsid w:val="00CC6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3B8B"/>
    <w:rPr>
      <w:color w:val="666666"/>
    </w:rPr>
  </w:style>
  <w:style w:type="character" w:styleId="CommentReference">
    <w:name w:val="annotation reference"/>
    <w:basedOn w:val="DefaultParagraphFont"/>
    <w:uiPriority w:val="99"/>
    <w:semiHidden/>
    <w:unhideWhenUsed/>
    <w:rsid w:val="00871506"/>
    <w:rPr>
      <w:sz w:val="16"/>
      <w:szCs w:val="16"/>
    </w:rPr>
  </w:style>
  <w:style w:type="paragraph" w:styleId="CommentText">
    <w:name w:val="annotation text"/>
    <w:basedOn w:val="Normal"/>
    <w:link w:val="CommentTextChar"/>
    <w:uiPriority w:val="99"/>
    <w:unhideWhenUsed/>
    <w:rsid w:val="00871506"/>
    <w:rPr>
      <w:sz w:val="20"/>
      <w:szCs w:val="20"/>
    </w:rPr>
  </w:style>
  <w:style w:type="character" w:customStyle="1" w:styleId="CommentTextChar">
    <w:name w:val="Comment Text Char"/>
    <w:basedOn w:val="DefaultParagraphFont"/>
    <w:link w:val="CommentText"/>
    <w:uiPriority w:val="99"/>
    <w:rsid w:val="0087150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71506"/>
    <w:rPr>
      <w:b/>
      <w:bCs/>
    </w:rPr>
  </w:style>
  <w:style w:type="character" w:customStyle="1" w:styleId="CommentSubjectChar">
    <w:name w:val="Comment Subject Char"/>
    <w:basedOn w:val="CommentTextChar"/>
    <w:link w:val="CommentSubject"/>
    <w:uiPriority w:val="99"/>
    <w:semiHidden/>
    <w:rsid w:val="00871506"/>
    <w:rPr>
      <w:rFonts w:ascii="Times New Roman" w:hAnsi="Times New Roman"/>
      <w:b/>
      <w:bCs/>
      <w:kern w:val="0"/>
      <w:sz w:val="20"/>
      <w:szCs w:val="20"/>
      <w14:ligatures w14:val="none"/>
    </w:rPr>
  </w:style>
  <w:style w:type="paragraph" w:styleId="Revision">
    <w:name w:val="Revision"/>
    <w:hidden/>
    <w:uiPriority w:val="99"/>
    <w:semiHidden/>
    <w:rsid w:val="00E17704"/>
    <w:pPr>
      <w:spacing w:after="0" w:line="240" w:lineRule="auto"/>
    </w:pPr>
    <w:rPr>
      <w:rFonts w:ascii="Times New Roman" w:hAnsi="Times New Roman"/>
      <w:kern w:val="0"/>
      <w:sz w:val="24"/>
      <w14:ligatures w14:val="none"/>
    </w:rPr>
  </w:style>
  <w:style w:type="paragraph" w:styleId="NormalWeb">
    <w:name w:val="Normal (Web)"/>
    <w:basedOn w:val="Normal"/>
    <w:uiPriority w:val="99"/>
    <w:semiHidden/>
    <w:unhideWhenUsed/>
    <w:rsid w:val="00AB2811"/>
    <w:pPr>
      <w:spacing w:before="100" w:beforeAutospacing="1" w:after="100" w:afterAutospacing="1"/>
      <w:jc w:val="left"/>
    </w:pPr>
    <w:rPr>
      <w:rFonts w:eastAsia="Times New Roman" w:cs="Times New Roman"/>
      <w:szCs w:val="24"/>
      <w:lang w:val="lt-LT" w:eastAsia="lt-LT"/>
    </w:rPr>
  </w:style>
  <w:style w:type="character" w:customStyle="1" w:styleId="relative">
    <w:name w:val="relative"/>
    <w:basedOn w:val="DefaultParagraphFont"/>
    <w:rsid w:val="00AB2811"/>
  </w:style>
  <w:style w:type="character" w:styleId="Strong">
    <w:name w:val="Strong"/>
    <w:basedOn w:val="DefaultParagraphFont"/>
    <w:uiPriority w:val="22"/>
    <w:qFormat/>
    <w:rsid w:val="00AB2811"/>
    <w:rPr>
      <w:b/>
      <w:bCs/>
    </w:rPr>
  </w:style>
  <w:style w:type="character" w:customStyle="1" w:styleId="Heading2Char">
    <w:name w:val="Heading 2 Char"/>
    <w:basedOn w:val="DefaultParagraphFont"/>
    <w:link w:val="Heading2"/>
    <w:uiPriority w:val="9"/>
    <w:rsid w:val="00AB2811"/>
    <w:rPr>
      <w:rFonts w:ascii="Times New Roman" w:eastAsia="Times New Roman" w:hAnsi="Times New Roman" w:cs="Times New Roman"/>
      <w:b/>
      <w:bCs/>
      <w:kern w:val="0"/>
      <w:sz w:val="36"/>
      <w:szCs w:val="36"/>
      <w:lang w:val="lt-LT" w:eastAsia="lt-LT"/>
      <w14:ligatures w14:val="none"/>
    </w:rPr>
  </w:style>
  <w:style w:type="character" w:customStyle="1" w:styleId="Bodytext91">
    <w:name w:val="Body text + 91"/>
    <w:rsid w:val="00322BF2"/>
    <w:rPr>
      <w:rFonts w:ascii="Times New Roman" w:hAnsi="Times New Roman" w:cs="Times New Roman"/>
      <w:sz w:val="19"/>
      <w:szCs w:val="19"/>
      <w:u w:val="none"/>
      <w:shd w:val="clear" w:color="auto" w:fill="FFFFFF"/>
    </w:rPr>
  </w:style>
  <w:style w:type="character" w:styleId="Emphasis">
    <w:name w:val="Emphasis"/>
    <w:basedOn w:val="DefaultParagraphFont"/>
    <w:uiPriority w:val="20"/>
    <w:qFormat/>
    <w:rsid w:val="006D307E"/>
    <w:rPr>
      <w:i/>
      <w:iCs/>
    </w:rPr>
  </w:style>
  <w:style w:type="paragraph" w:styleId="NoSpacing">
    <w:name w:val="No Spacing"/>
    <w:uiPriority w:val="1"/>
    <w:qFormat/>
    <w:rsid w:val="00BC5D2C"/>
    <w:pPr>
      <w:spacing w:after="0" w:line="240" w:lineRule="auto"/>
      <w:jc w:val="both"/>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84264">
      <w:bodyDiv w:val="1"/>
      <w:marLeft w:val="0"/>
      <w:marRight w:val="0"/>
      <w:marTop w:val="0"/>
      <w:marBottom w:val="0"/>
      <w:divBdr>
        <w:top w:val="none" w:sz="0" w:space="0" w:color="auto"/>
        <w:left w:val="none" w:sz="0" w:space="0" w:color="auto"/>
        <w:bottom w:val="none" w:sz="0" w:space="0" w:color="auto"/>
        <w:right w:val="none" w:sz="0" w:space="0" w:color="auto"/>
      </w:divBdr>
      <w:divsChild>
        <w:div w:id="114175658">
          <w:marLeft w:val="0"/>
          <w:marRight w:val="0"/>
          <w:marTop w:val="0"/>
          <w:marBottom w:val="0"/>
          <w:divBdr>
            <w:top w:val="none" w:sz="0" w:space="0" w:color="auto"/>
            <w:left w:val="none" w:sz="0" w:space="0" w:color="auto"/>
            <w:bottom w:val="none" w:sz="0" w:space="0" w:color="auto"/>
            <w:right w:val="none" w:sz="0" w:space="0" w:color="auto"/>
          </w:divBdr>
          <w:divsChild>
            <w:div w:id="16956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7169">
      <w:bodyDiv w:val="1"/>
      <w:marLeft w:val="0"/>
      <w:marRight w:val="0"/>
      <w:marTop w:val="0"/>
      <w:marBottom w:val="0"/>
      <w:divBdr>
        <w:top w:val="none" w:sz="0" w:space="0" w:color="auto"/>
        <w:left w:val="none" w:sz="0" w:space="0" w:color="auto"/>
        <w:bottom w:val="none" w:sz="0" w:space="0" w:color="auto"/>
        <w:right w:val="none" w:sz="0" w:space="0" w:color="auto"/>
      </w:divBdr>
      <w:divsChild>
        <w:div w:id="1127818053">
          <w:marLeft w:val="0"/>
          <w:marRight w:val="0"/>
          <w:marTop w:val="0"/>
          <w:marBottom w:val="0"/>
          <w:divBdr>
            <w:top w:val="none" w:sz="0" w:space="0" w:color="auto"/>
            <w:left w:val="none" w:sz="0" w:space="0" w:color="auto"/>
            <w:bottom w:val="none" w:sz="0" w:space="0" w:color="auto"/>
            <w:right w:val="none" w:sz="0" w:space="0" w:color="auto"/>
          </w:divBdr>
          <w:divsChild>
            <w:div w:id="1091974806">
              <w:marLeft w:val="0"/>
              <w:marRight w:val="0"/>
              <w:marTop w:val="0"/>
              <w:marBottom w:val="0"/>
              <w:divBdr>
                <w:top w:val="none" w:sz="0" w:space="0" w:color="auto"/>
                <w:left w:val="none" w:sz="0" w:space="0" w:color="auto"/>
                <w:bottom w:val="none" w:sz="0" w:space="0" w:color="auto"/>
                <w:right w:val="none" w:sz="0" w:space="0" w:color="auto"/>
              </w:divBdr>
            </w:div>
          </w:divsChild>
        </w:div>
        <w:div w:id="65492233">
          <w:marLeft w:val="0"/>
          <w:marRight w:val="0"/>
          <w:marTop w:val="0"/>
          <w:marBottom w:val="0"/>
          <w:divBdr>
            <w:top w:val="none" w:sz="0" w:space="0" w:color="auto"/>
            <w:left w:val="none" w:sz="0" w:space="0" w:color="auto"/>
            <w:bottom w:val="none" w:sz="0" w:space="0" w:color="auto"/>
            <w:right w:val="none" w:sz="0" w:space="0" w:color="auto"/>
          </w:divBdr>
          <w:divsChild>
            <w:div w:id="323164148">
              <w:marLeft w:val="0"/>
              <w:marRight w:val="0"/>
              <w:marTop w:val="0"/>
              <w:marBottom w:val="0"/>
              <w:divBdr>
                <w:top w:val="none" w:sz="0" w:space="0" w:color="auto"/>
                <w:left w:val="none" w:sz="0" w:space="0" w:color="auto"/>
                <w:bottom w:val="none" w:sz="0" w:space="0" w:color="auto"/>
                <w:right w:val="none" w:sz="0" w:space="0" w:color="auto"/>
              </w:divBdr>
            </w:div>
          </w:divsChild>
        </w:div>
        <w:div w:id="1837067176">
          <w:marLeft w:val="0"/>
          <w:marRight w:val="0"/>
          <w:marTop w:val="0"/>
          <w:marBottom w:val="0"/>
          <w:divBdr>
            <w:top w:val="none" w:sz="0" w:space="0" w:color="auto"/>
            <w:left w:val="none" w:sz="0" w:space="0" w:color="auto"/>
            <w:bottom w:val="none" w:sz="0" w:space="0" w:color="auto"/>
            <w:right w:val="none" w:sz="0" w:space="0" w:color="auto"/>
          </w:divBdr>
          <w:divsChild>
            <w:div w:id="18174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3294">
      <w:bodyDiv w:val="1"/>
      <w:marLeft w:val="0"/>
      <w:marRight w:val="0"/>
      <w:marTop w:val="0"/>
      <w:marBottom w:val="0"/>
      <w:divBdr>
        <w:top w:val="none" w:sz="0" w:space="0" w:color="auto"/>
        <w:left w:val="none" w:sz="0" w:space="0" w:color="auto"/>
        <w:bottom w:val="none" w:sz="0" w:space="0" w:color="auto"/>
        <w:right w:val="none" w:sz="0" w:space="0" w:color="auto"/>
      </w:divBdr>
    </w:div>
    <w:div w:id="727991967">
      <w:bodyDiv w:val="1"/>
      <w:marLeft w:val="0"/>
      <w:marRight w:val="0"/>
      <w:marTop w:val="0"/>
      <w:marBottom w:val="0"/>
      <w:divBdr>
        <w:top w:val="none" w:sz="0" w:space="0" w:color="auto"/>
        <w:left w:val="none" w:sz="0" w:space="0" w:color="auto"/>
        <w:bottom w:val="none" w:sz="0" w:space="0" w:color="auto"/>
        <w:right w:val="none" w:sz="0" w:space="0" w:color="auto"/>
      </w:divBdr>
      <w:divsChild>
        <w:div w:id="2017919636">
          <w:marLeft w:val="0"/>
          <w:marRight w:val="0"/>
          <w:marTop w:val="0"/>
          <w:marBottom w:val="0"/>
          <w:divBdr>
            <w:top w:val="none" w:sz="0" w:space="0" w:color="auto"/>
            <w:left w:val="none" w:sz="0" w:space="0" w:color="auto"/>
            <w:bottom w:val="none" w:sz="0" w:space="0" w:color="auto"/>
            <w:right w:val="none" w:sz="0" w:space="0" w:color="auto"/>
          </w:divBdr>
          <w:divsChild>
            <w:div w:id="2070495376">
              <w:marLeft w:val="0"/>
              <w:marRight w:val="0"/>
              <w:marTop w:val="0"/>
              <w:marBottom w:val="0"/>
              <w:divBdr>
                <w:top w:val="none" w:sz="0" w:space="0" w:color="auto"/>
                <w:left w:val="none" w:sz="0" w:space="0" w:color="auto"/>
                <w:bottom w:val="none" w:sz="0" w:space="0" w:color="auto"/>
                <w:right w:val="none" w:sz="0" w:space="0" w:color="auto"/>
              </w:divBdr>
            </w:div>
          </w:divsChild>
        </w:div>
        <w:div w:id="260651117">
          <w:marLeft w:val="0"/>
          <w:marRight w:val="0"/>
          <w:marTop w:val="0"/>
          <w:marBottom w:val="0"/>
          <w:divBdr>
            <w:top w:val="none" w:sz="0" w:space="0" w:color="auto"/>
            <w:left w:val="none" w:sz="0" w:space="0" w:color="auto"/>
            <w:bottom w:val="none" w:sz="0" w:space="0" w:color="auto"/>
            <w:right w:val="none" w:sz="0" w:space="0" w:color="auto"/>
          </w:divBdr>
          <w:divsChild>
            <w:div w:id="12685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Aušra Baltrušaitė</cp:lastModifiedBy>
  <cp:revision>28</cp:revision>
  <dcterms:created xsi:type="dcterms:W3CDTF">2025-11-17T14:22:00Z</dcterms:created>
  <dcterms:modified xsi:type="dcterms:W3CDTF">2025-12-17T06:52:00Z</dcterms:modified>
</cp:coreProperties>
</file>