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015358" w:rsidRDefault="00B90A76" w:rsidP="00B90A76">
      <w:pPr>
        <w:pStyle w:val="Caption"/>
        <w:rPr>
          <w:rFonts w:ascii="Cambria" w:hAnsi="Cambria"/>
          <w:bCs w:val="0"/>
          <w:sz w:val="22"/>
          <w:szCs w:val="22"/>
          <w:lang w:val="lt-LT"/>
        </w:rPr>
      </w:pPr>
      <w:r w:rsidRPr="00015358">
        <w:rPr>
          <w:rFonts w:ascii="Cambria" w:hAnsi="Cambria"/>
          <w:bCs w:val="0"/>
          <w:sz w:val="22"/>
          <w:szCs w:val="22"/>
          <w:lang w:val="lt-LT"/>
        </w:rPr>
        <w:t xml:space="preserve">LIETUVOS SVEIKATOS MOKSLŲ UNIVERSITETO LIGONINĖ </w:t>
      </w:r>
    </w:p>
    <w:p w14:paraId="39BE9760" w14:textId="77777777" w:rsidR="00B90A76" w:rsidRPr="00015358" w:rsidRDefault="00B90A76" w:rsidP="00B90A76">
      <w:pPr>
        <w:jc w:val="center"/>
        <w:rPr>
          <w:rFonts w:ascii="Cambria" w:hAnsi="Cambria"/>
          <w:b/>
          <w:sz w:val="22"/>
          <w:szCs w:val="22"/>
        </w:rPr>
      </w:pPr>
      <w:r w:rsidRPr="00015358">
        <w:rPr>
          <w:rFonts w:ascii="Cambria" w:hAnsi="Cambria"/>
          <w:b/>
          <w:sz w:val="22"/>
          <w:szCs w:val="22"/>
        </w:rPr>
        <w:t>KAUNO KLINIKOS</w:t>
      </w:r>
    </w:p>
    <w:p w14:paraId="0E7E9EF0" w14:textId="77777777" w:rsidR="00B90A76" w:rsidRPr="00015358" w:rsidRDefault="00B90A76" w:rsidP="00B90A76">
      <w:pPr>
        <w:pStyle w:val="Patvirtinta"/>
        <w:ind w:left="5670"/>
        <w:rPr>
          <w:rFonts w:ascii="Cambria" w:hAnsi="Cambria"/>
          <w:i/>
          <w:sz w:val="22"/>
          <w:szCs w:val="22"/>
          <w:lang w:val="lt-LT"/>
        </w:rPr>
      </w:pPr>
    </w:p>
    <w:p w14:paraId="2AA4280B" w14:textId="77777777" w:rsidR="00B90A76" w:rsidRPr="00015358" w:rsidRDefault="00B90A76" w:rsidP="00B90A76">
      <w:pPr>
        <w:ind w:left="5954" w:right="-999"/>
        <w:rPr>
          <w:rFonts w:ascii="Cambria" w:hAnsi="Cambria"/>
          <w:sz w:val="22"/>
          <w:szCs w:val="22"/>
        </w:rPr>
      </w:pPr>
    </w:p>
    <w:p w14:paraId="179A323D" w14:textId="77777777" w:rsidR="00B90A76" w:rsidRPr="00015358" w:rsidRDefault="00B31770" w:rsidP="00B90A76">
      <w:pPr>
        <w:jc w:val="center"/>
        <w:rPr>
          <w:rFonts w:ascii="Cambria" w:hAnsi="Cambria"/>
          <w:b/>
          <w:sz w:val="22"/>
          <w:szCs w:val="22"/>
        </w:rPr>
      </w:pPr>
      <w:r w:rsidRPr="00015358">
        <w:rPr>
          <w:rFonts w:ascii="Cambria" w:hAnsi="Cambria"/>
          <w:b/>
          <w:sz w:val="22"/>
          <w:szCs w:val="22"/>
        </w:rPr>
        <w:t xml:space="preserve">ATVIRO KONKURSO </w:t>
      </w:r>
      <w:r w:rsidR="00B90A76" w:rsidRPr="00015358">
        <w:rPr>
          <w:rFonts w:ascii="Cambria" w:hAnsi="Cambria"/>
          <w:b/>
          <w:sz w:val="22"/>
          <w:szCs w:val="22"/>
        </w:rPr>
        <w:t>SĄLYGOS</w:t>
      </w:r>
    </w:p>
    <w:p w14:paraId="11861E43" w14:textId="77777777" w:rsidR="00B90A76" w:rsidRPr="00015358" w:rsidRDefault="00B90A76" w:rsidP="00B90A76">
      <w:pPr>
        <w:jc w:val="center"/>
        <w:rPr>
          <w:rFonts w:ascii="Cambria" w:hAnsi="Cambria"/>
          <w:sz w:val="22"/>
          <w:szCs w:val="22"/>
        </w:rPr>
      </w:pPr>
    </w:p>
    <w:p w14:paraId="7BF02F16" w14:textId="169403BC" w:rsidR="00B90A76" w:rsidRPr="007579A6" w:rsidRDefault="00D41150" w:rsidP="00D41150">
      <w:pPr>
        <w:tabs>
          <w:tab w:val="right" w:leader="underscore" w:pos="8505"/>
        </w:tabs>
        <w:jc w:val="center"/>
        <w:rPr>
          <w:rFonts w:ascii="Cambria" w:hAnsi="Cambria"/>
        </w:rPr>
      </w:pPr>
      <w:r>
        <w:rPr>
          <w:rFonts w:ascii="Cambria" w:hAnsi="Cambria"/>
          <w:b/>
          <w:bCs/>
          <w:sz w:val="22"/>
          <w:szCs w:val="22"/>
        </w:rPr>
        <w:t>VIENKARTINĖS PRIEMONĖS IR TIRPALAI DIALIZĖMS, HEMOSORBCIJAI, GYDOMOSIOSMS AFEREZĖMS BEI KITOMS INVAZINĖMS PROCEDŪROMS</w:t>
      </w: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D41150">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D41150">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D41150">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D41150">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D41150">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D41150">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D41150">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D41150">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D41150">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D41150">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D41150">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D41150"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D41150">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D41150">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D41150">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D41150">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proofErr w:type="gramStart"/>
      <w:r w:rsidR="00F220D6" w:rsidRPr="00771344">
        <w:rPr>
          <w:rFonts w:asciiTheme="majorHAnsi" w:eastAsia="Calibri" w:hAnsiTheme="majorHAnsi"/>
          <w:bdr w:val="none" w:sz="0" w:space="0" w:color="auto"/>
          <w:lang w:val="lt-LT"/>
        </w:rPr>
        <w:t>dėl</w:t>
      </w:r>
      <w:proofErr w:type="gramEnd"/>
      <w:r w:rsidR="00F220D6" w:rsidRPr="00771344">
        <w:rPr>
          <w:rFonts w:asciiTheme="majorHAnsi" w:eastAsia="Calibri" w:hAnsiTheme="majorHAnsi"/>
          <w:bdr w:val="none" w:sz="0" w:space="0" w:color="auto"/>
          <w:lang w:val="lt-LT"/>
        </w:rPr>
        <w:t xml:space="preserve">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1421B655"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8222DA">
        <w:rPr>
          <w:rFonts w:asciiTheme="majorHAnsi" w:hAnsiTheme="majorHAnsi" w:cs="Times New Roman"/>
          <w:color w:val="auto"/>
          <w:lang w:val="lt-LT"/>
        </w:rPr>
        <w:t>vienkartines priemone</w:t>
      </w:r>
      <w:r w:rsidR="005F4A6F">
        <w:rPr>
          <w:rFonts w:asciiTheme="majorHAnsi" w:hAnsiTheme="majorHAnsi" w:cs="Times New Roman"/>
          <w:color w:val="auto"/>
          <w:lang w:val="lt-LT"/>
        </w:rPr>
        <w:t>s ir tirpalus dializėms, hemosorbcijai, gydomsioms aferezėms bei kitoms invazinėms procedūroms</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5F9347BE" w:rsidR="00B90A76" w:rsidRPr="00A021FF"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A021FF">
        <w:rPr>
          <w:rFonts w:asciiTheme="majorHAnsi" w:hAnsiTheme="majorHAnsi"/>
          <w:sz w:val="22"/>
        </w:rPr>
        <w:t>Pirkimo objektas</w:t>
      </w:r>
      <w:r w:rsidR="00001A3B" w:rsidRPr="00A021FF">
        <w:rPr>
          <w:rFonts w:asciiTheme="majorHAnsi" w:hAnsiTheme="majorHAnsi"/>
          <w:sz w:val="22"/>
        </w:rPr>
        <w:t xml:space="preserve"> </w:t>
      </w:r>
      <w:r w:rsidR="00E81C6F" w:rsidRPr="00A021FF">
        <w:rPr>
          <w:rFonts w:asciiTheme="majorHAnsi" w:hAnsiTheme="majorHAnsi"/>
          <w:sz w:val="22"/>
        </w:rPr>
        <w:t>–</w:t>
      </w:r>
      <w:r w:rsidRPr="00A021FF">
        <w:rPr>
          <w:rFonts w:asciiTheme="majorHAnsi" w:hAnsiTheme="majorHAnsi"/>
          <w:sz w:val="22"/>
        </w:rPr>
        <w:t xml:space="preserve"> </w:t>
      </w:r>
      <w:r w:rsidR="008222DA" w:rsidRPr="00A021FF">
        <w:rPr>
          <w:rFonts w:asciiTheme="majorHAnsi" w:hAnsiTheme="majorHAnsi"/>
          <w:sz w:val="22"/>
        </w:rPr>
        <w:t>vienkartinė</w:t>
      </w:r>
      <w:r w:rsidR="008222DA" w:rsidRPr="00A021FF">
        <w:rPr>
          <w:rFonts w:asciiTheme="majorHAnsi" w:hAnsiTheme="majorHAnsi"/>
          <w:sz w:val="22"/>
        </w:rPr>
        <w:t>s priemon</w:t>
      </w:r>
      <w:r w:rsidR="008222DA" w:rsidRPr="00A021FF">
        <w:rPr>
          <w:rFonts w:asciiTheme="majorHAnsi" w:hAnsiTheme="majorHAnsi"/>
          <w:sz w:val="22"/>
        </w:rPr>
        <w:t>ė</w:t>
      </w:r>
      <w:r w:rsidR="008222DA" w:rsidRPr="00A021FF">
        <w:rPr>
          <w:rFonts w:asciiTheme="majorHAnsi" w:hAnsiTheme="majorHAnsi"/>
          <w:sz w:val="22"/>
        </w:rPr>
        <w:t>s ir tirpal</w:t>
      </w:r>
      <w:r w:rsidR="008222DA" w:rsidRPr="00A021FF">
        <w:rPr>
          <w:rFonts w:asciiTheme="majorHAnsi" w:hAnsiTheme="majorHAnsi"/>
          <w:sz w:val="22"/>
        </w:rPr>
        <w:t>ai</w:t>
      </w:r>
      <w:r w:rsidR="008222DA" w:rsidRPr="00A021FF">
        <w:rPr>
          <w:rFonts w:asciiTheme="majorHAnsi" w:hAnsiTheme="majorHAnsi"/>
          <w:sz w:val="22"/>
        </w:rPr>
        <w:t xml:space="preserve"> dializėms, hemosorbcijai, gydomsioms aferezėms bei kitoms invazinėms procedūroms</w:t>
      </w:r>
      <w:r w:rsidR="007B44E7" w:rsidRPr="00A021FF">
        <w:rPr>
          <w:rFonts w:asciiTheme="majorHAnsi" w:hAnsiTheme="majorHAnsi"/>
          <w:sz w:val="22"/>
        </w:rPr>
        <w:t>.</w:t>
      </w:r>
    </w:p>
    <w:p w14:paraId="492B91BB" w14:textId="055B0690" w:rsidR="00A5569A" w:rsidRPr="00A021FF" w:rsidRDefault="00A5569A" w:rsidP="00A5569A">
      <w:pPr>
        <w:pStyle w:val="ListParagraph"/>
        <w:tabs>
          <w:tab w:val="left" w:pos="993"/>
          <w:tab w:val="left" w:pos="1418"/>
          <w:tab w:val="left" w:pos="1560"/>
        </w:tabs>
        <w:ind w:left="0"/>
        <w:rPr>
          <w:rFonts w:asciiTheme="majorHAnsi" w:hAnsiTheme="majorHAnsi"/>
          <w:b/>
          <w:bCs/>
          <w:sz w:val="22"/>
        </w:rPr>
      </w:pPr>
      <w:r w:rsidRPr="00A021FF">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B132B5" w:rsidRPr="00A021FF">
        <w:rPr>
          <w:rFonts w:asciiTheme="majorHAnsi" w:hAnsiTheme="majorHAnsi"/>
          <w:sz w:val="22"/>
        </w:rPr>
        <w:t>vienkartin</w:t>
      </w:r>
      <w:r w:rsidR="00B132B5" w:rsidRPr="00A021FF">
        <w:rPr>
          <w:rFonts w:asciiTheme="majorHAnsi" w:hAnsiTheme="majorHAnsi"/>
          <w:sz w:val="22"/>
        </w:rPr>
        <w:t>ių</w:t>
      </w:r>
      <w:r w:rsidR="00B132B5" w:rsidRPr="00A021FF">
        <w:rPr>
          <w:rFonts w:asciiTheme="majorHAnsi" w:hAnsiTheme="majorHAnsi"/>
          <w:sz w:val="22"/>
        </w:rPr>
        <w:t xml:space="preserve"> priemon</w:t>
      </w:r>
      <w:r w:rsidR="00B132B5" w:rsidRPr="00A021FF">
        <w:rPr>
          <w:rFonts w:asciiTheme="majorHAnsi" w:hAnsiTheme="majorHAnsi"/>
          <w:sz w:val="22"/>
        </w:rPr>
        <w:t>ių</w:t>
      </w:r>
      <w:r w:rsidR="00B132B5" w:rsidRPr="00A021FF">
        <w:rPr>
          <w:rFonts w:asciiTheme="majorHAnsi" w:hAnsiTheme="majorHAnsi"/>
          <w:sz w:val="22"/>
        </w:rPr>
        <w:t xml:space="preserve"> ir tirpal</w:t>
      </w:r>
      <w:r w:rsidR="00B132B5" w:rsidRPr="00A021FF">
        <w:rPr>
          <w:rFonts w:asciiTheme="majorHAnsi" w:hAnsiTheme="majorHAnsi"/>
          <w:sz w:val="22"/>
        </w:rPr>
        <w:t>ų</w:t>
      </w:r>
      <w:r w:rsidR="00B132B5" w:rsidRPr="00A021FF">
        <w:rPr>
          <w:rFonts w:asciiTheme="majorHAnsi" w:hAnsiTheme="majorHAnsi"/>
          <w:sz w:val="22"/>
        </w:rPr>
        <w:t xml:space="preserve"> dializėms, hemosorbcijai, gydomsioms aferezėms bei kitoms invazinėms procedūroms</w:t>
      </w:r>
      <w:r w:rsidRPr="00A021FF">
        <w:rPr>
          <w:rFonts w:asciiTheme="majorHAnsi" w:hAnsiTheme="majorHAnsi"/>
          <w:sz w:val="22"/>
        </w:rPr>
        <w:t xml:space="preserve"> pirkimo (Nr. </w:t>
      </w:r>
      <w:r w:rsidR="00B132B5" w:rsidRPr="00A021FF">
        <w:rPr>
          <w:rFonts w:asciiTheme="majorHAnsi" w:hAnsiTheme="majorHAnsi"/>
          <w:sz w:val="22"/>
        </w:rPr>
        <w:t>5323556</w:t>
      </w:r>
      <w:r w:rsidRPr="00A021FF">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5C50187B"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A021FF">
        <w:rPr>
          <w:rFonts w:asciiTheme="majorHAnsi" w:hAnsiTheme="majorHAnsi" w:cs="Times New Roman"/>
          <w:sz w:val="22"/>
          <w:szCs w:val="22"/>
          <w:lang w:eastAsia="lt-LT"/>
        </w:rPr>
        <w:t>28</w:t>
      </w:r>
      <w:r w:rsidR="009F0748">
        <w:rPr>
          <w:rFonts w:asciiTheme="majorHAnsi" w:hAnsiTheme="majorHAnsi" w:cs="Times New Roman"/>
          <w:sz w:val="22"/>
          <w:szCs w:val="22"/>
          <w:lang w:eastAsia="lt-LT"/>
        </w:rPr>
        <w:t xml:space="preserve"> pirkimo dalys</w:t>
      </w:r>
      <w:r w:rsidR="00A5569A" w:rsidRPr="00771344">
        <w:rPr>
          <w:rFonts w:asciiTheme="majorHAnsi" w:hAnsiTheme="majorHAnsi" w:cs="Times New Roman"/>
          <w:sz w:val="22"/>
          <w:szCs w:val="22"/>
          <w:lang w:eastAsia="lt-LT"/>
        </w:rPr>
        <w:t>).</w:t>
      </w:r>
    </w:p>
    <w:p w14:paraId="4ED3B2B5" w14:textId="0FAFB09B"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58413F">
        <w:rPr>
          <w:rFonts w:asciiTheme="majorHAnsi" w:hAnsiTheme="majorHAnsi" w:cs="Times New Roman"/>
          <w:sz w:val="22"/>
          <w:szCs w:val="22"/>
          <w:lang w:eastAsia="lt-LT"/>
        </w:rPr>
        <w:t xml:space="preserve">, </w:t>
      </w:r>
      <w:r w:rsidR="00BE6856">
        <w:rPr>
          <w:rFonts w:asciiTheme="majorHAnsi" w:hAnsiTheme="majorHAnsi" w:cs="Times New Roman"/>
          <w:sz w:val="22"/>
          <w:szCs w:val="22"/>
          <w:lang w:eastAsia="lt-LT"/>
        </w:rPr>
        <w:t xml:space="preserve">kelioms </w:t>
      </w:r>
      <w:r w:rsidR="0058413F">
        <w:rPr>
          <w:rFonts w:asciiTheme="majorHAnsi" w:hAnsiTheme="majorHAnsi" w:cs="Times New Roman"/>
          <w:sz w:val="22"/>
          <w:szCs w:val="22"/>
          <w:lang w:eastAsia="lt-LT"/>
        </w:rPr>
        <w:t>pirkimo dalims, visoms</w:t>
      </w:r>
      <w:r w:rsidR="009F0748">
        <w:rPr>
          <w:rFonts w:asciiTheme="majorHAnsi" w:hAnsiTheme="majorHAnsi" w:cs="Times New Roman"/>
          <w:sz w:val="22"/>
          <w:szCs w:val="22"/>
          <w:lang w:eastAsia="lt-LT"/>
        </w:rPr>
        <w:t xml:space="preserve"> pirkimo dalims.</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47062BF9" w14:textId="36FDD705" w:rsidR="00387548" w:rsidRPr="00771344" w:rsidRDefault="00952842" w:rsidP="00952842">
      <w:pPr>
        <w:pBdr>
          <w:top w:val="nil"/>
          <w:left w:val="nil"/>
          <w:bottom w:val="nil"/>
          <w:right w:val="nil"/>
          <w:between w:val="nil"/>
          <w:bar w:val="nil"/>
        </w:pBdr>
        <w:ind w:firstLine="993"/>
        <w:jc w:val="both"/>
        <w:rPr>
          <w:rFonts w:asciiTheme="majorHAnsi" w:hAnsiTheme="majorHAnsi"/>
          <w:sz w:val="22"/>
          <w:szCs w:val="22"/>
        </w:rPr>
      </w:pPr>
      <w:r w:rsidRPr="00771344">
        <w:rPr>
          <w:rFonts w:asciiTheme="majorHAnsi" w:hAnsiTheme="majorHAnsi"/>
          <w:color w:val="FF0000"/>
          <w:sz w:val="22"/>
          <w:szCs w:val="22"/>
        </w:rPr>
        <w:tab/>
      </w: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w:t>
      </w:r>
      <w:r w:rsidRPr="00771344">
        <w:rPr>
          <w:rFonts w:asciiTheme="majorHAnsi" w:hAnsiTheme="majorHAnsi"/>
          <w:sz w:val="22"/>
          <w:szCs w:val="22"/>
        </w:rPr>
        <w:lastRenderedPageBreak/>
        <w:t xml:space="preserve">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w:t>
      </w:r>
      <w:proofErr w:type="gramStart"/>
      <w:r w:rsidRPr="00771344">
        <w:rPr>
          <w:rFonts w:asciiTheme="majorHAnsi" w:hAnsiTheme="majorHAnsi"/>
          <w:sz w:val="22"/>
          <w:szCs w:val="22"/>
        </w:rPr>
        <w:t>dalį</w:t>
      </w:r>
      <w:proofErr w:type="gramEnd"/>
      <w:r w:rsidRPr="00771344">
        <w:rPr>
          <w:rFonts w:asciiTheme="majorHAnsi" w:hAnsiTheme="majorHAnsi"/>
          <w:sz w:val="22"/>
          <w:szCs w:val="22"/>
        </w:rPr>
        <w:t xml:space="preserve">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 xml:space="preserve">3.7.1. </w:t>
      </w:r>
      <w:proofErr w:type="gramStart"/>
      <w:r w:rsidRPr="00771344">
        <w:rPr>
          <w:rFonts w:asciiTheme="majorHAnsi" w:hAnsiTheme="majorHAnsi"/>
          <w:sz w:val="22"/>
          <w:szCs w:val="22"/>
        </w:rPr>
        <w:t>priesaikos</w:t>
      </w:r>
      <w:proofErr w:type="gramEnd"/>
      <w:r w:rsidRPr="00771344">
        <w:rPr>
          <w:rFonts w:asciiTheme="majorHAnsi" w:hAnsiTheme="majorHAnsi"/>
          <w:sz w:val="22"/>
          <w:szCs w:val="22"/>
        </w:rPr>
        <w:t xml:space="preserve">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771344">
              <w:rPr>
                <w:rFonts w:asciiTheme="majorHAnsi" w:hAnsiTheme="majorHAnsi"/>
                <w:bCs/>
                <w:color w:val="000000"/>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71344">
              <w:rPr>
                <w:rFonts w:asciiTheme="majorHAnsi" w:hAnsiTheme="majorHAnsi"/>
                <w:bCs/>
                <w:color w:val="000000"/>
                <w:sz w:val="22"/>
                <w:szCs w:val="22"/>
                <w:lang w:eastAsia="lt-LT"/>
              </w:rPr>
              <w:lastRenderedPageBreak/>
              <w:t xml:space="preserve">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lastRenderedPageBreak/>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 xml:space="preserve">tos dienos, kai tiekėjas perkančiosios organizacijos prašymu turės pateikti pašalinimo pagrindų </w:t>
            </w:r>
            <w:r w:rsidRPr="00771344">
              <w:rPr>
                <w:rFonts w:asciiTheme="majorHAnsi" w:hAnsiTheme="majorHAnsi"/>
                <w:i/>
                <w:iCs/>
                <w:color w:val="000000"/>
                <w:sz w:val="22"/>
                <w:szCs w:val="22"/>
                <w:lang w:eastAsia="lt-LT"/>
              </w:rPr>
              <w:lastRenderedPageBreak/>
              <w:t>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D41150"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D41150" w:rsidP="002F64D6">
            <w:pPr>
              <w:pStyle w:val="NoSpacing"/>
              <w:jc w:val="both"/>
              <w:rPr>
                <w:rFonts w:asciiTheme="majorHAnsi" w:hAnsiTheme="majorHAnsi"/>
                <w:sz w:val="22"/>
                <w:szCs w:val="22"/>
              </w:rPr>
            </w:pPr>
            <w:hyperlink r:id="rId18" w:history="1">
              <w:r w:rsidR="005D2815" w:rsidRPr="000F08DE">
                <w:rPr>
                  <w:rStyle w:val="Hyperlink"/>
                  <w:rFonts w:asciiTheme="majorHAnsi" w:hAnsiTheme="majorHAnsi"/>
                  <w:color w:val="auto"/>
                  <w:sz w:val="22"/>
                  <w:szCs w:val="22"/>
                </w:rPr>
                <w:t>https://vpt.lrv.lt/lt/naujienos-3/finansiniu-ataskaitu-nepateikimas-gali-tapti-kliutimi-dalyvauti-viesuosiuose-pirkimuose</w:t>
              </w:r>
            </w:hyperlink>
            <w:r w:rsidR="00123450" w:rsidRPr="000F08DE">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D41150"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5018B6E7" w14:textId="77777777" w:rsidR="0024091D" w:rsidRDefault="0024091D" w:rsidP="0024091D">
      <w:pPr>
        <w:pStyle w:val="Body2"/>
        <w:ind w:firstLine="709"/>
        <w:rPr>
          <w:rFonts w:cs="Times New Roman"/>
        </w:rPr>
      </w:pPr>
    </w:p>
    <w:p w14:paraId="70B29F14" w14:textId="77777777" w:rsidR="00D2138B" w:rsidRPr="00B45D70" w:rsidRDefault="00D2138B" w:rsidP="00D2138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B45D70">
        <w:rPr>
          <w:rFonts w:ascii="Cambria" w:eastAsia="Arial Unicode MS" w:hAnsi="Cambria"/>
          <w:color w:val="000000"/>
          <w:sz w:val="22"/>
          <w:szCs w:val="22"/>
          <w:bdr w:val="nil"/>
          <w:lang w:eastAsia="lt-LT"/>
        </w:rPr>
        <w:t>3.9. Tiekėjas, dalyvaujantis pirkime, jei taikoma turi atitikti kvalifikacinius reikalavimus ir, jeigu taikytina, laikytis kokybė</w:t>
      </w:r>
      <w:r w:rsidRPr="00B45D70">
        <w:rPr>
          <w:rFonts w:ascii="Cambria" w:eastAsia="Arial Unicode MS" w:hAnsi="Cambria"/>
          <w:color w:val="000000"/>
          <w:sz w:val="22"/>
          <w:szCs w:val="22"/>
          <w:bdr w:val="nil"/>
          <w:lang w:val="pt-PT" w:eastAsia="lt-LT"/>
        </w:rPr>
        <w:t>s vadybos sistemos ir (arba) aplinkos apsaugos vadybos sistemos standart</w:t>
      </w:r>
      <w:r w:rsidRPr="00B45D70">
        <w:rPr>
          <w:rFonts w:ascii="Cambria" w:eastAsia="Arial Unicode MS" w:hAnsi="Cambria"/>
          <w:color w:val="000000"/>
          <w:sz w:val="22"/>
          <w:szCs w:val="22"/>
          <w:bdr w:val="nil"/>
          <w:lang w:eastAsia="lt-LT"/>
        </w:rPr>
        <w:t>ų.</w:t>
      </w:r>
    </w:p>
    <w:p w14:paraId="0786CB22" w14:textId="77777777" w:rsidR="00666210" w:rsidRPr="00B45D70" w:rsidRDefault="00666210" w:rsidP="00D2138B">
      <w:pPr>
        <w:pStyle w:val="Body2"/>
        <w:ind w:firstLine="1134"/>
        <w:rPr>
          <w:rFonts w:ascii="Cambria" w:hAnsi="Cambria"/>
          <w:b/>
          <w:u w:val="single"/>
        </w:rPr>
      </w:pPr>
    </w:p>
    <w:p w14:paraId="592B9B4F" w14:textId="77777777" w:rsidR="00666210" w:rsidRDefault="00666210" w:rsidP="00D2138B">
      <w:pPr>
        <w:pStyle w:val="Body2"/>
        <w:ind w:firstLine="1134"/>
        <w:rPr>
          <w:rFonts w:ascii="Cambria" w:hAnsi="Cambria"/>
          <w:b/>
          <w:sz w:val="20"/>
          <w:szCs w:val="20"/>
          <w:u w:val="single"/>
        </w:rPr>
      </w:pPr>
    </w:p>
    <w:p w14:paraId="78F21C3C" w14:textId="77777777" w:rsidR="00666210" w:rsidRDefault="00666210" w:rsidP="00D2138B">
      <w:pPr>
        <w:pStyle w:val="Body2"/>
        <w:ind w:firstLine="1134"/>
        <w:rPr>
          <w:rFonts w:ascii="Cambria" w:hAnsi="Cambria"/>
          <w:b/>
          <w:sz w:val="20"/>
          <w:szCs w:val="20"/>
          <w:u w:val="single"/>
        </w:rPr>
      </w:pPr>
    </w:p>
    <w:p w14:paraId="56F170F2" w14:textId="4ACD7E6D" w:rsidR="00666210" w:rsidRPr="00545CDB" w:rsidRDefault="00D2138B" w:rsidP="00D2138B">
      <w:pPr>
        <w:pStyle w:val="Body2"/>
        <w:ind w:firstLine="1134"/>
        <w:rPr>
          <w:rFonts w:ascii="Cambria" w:hAnsi="Cambria"/>
          <w:b/>
          <w:sz w:val="20"/>
          <w:szCs w:val="20"/>
          <w:u w:val="single"/>
          <w:lang w:val="de-DE"/>
        </w:rPr>
      </w:pPr>
      <w:r w:rsidRPr="00545CDB">
        <w:rPr>
          <w:rFonts w:ascii="Cambria" w:hAnsi="Cambria"/>
          <w:b/>
          <w:sz w:val="20"/>
          <w:szCs w:val="20"/>
          <w:u w:val="single"/>
        </w:rPr>
        <w:lastRenderedPageBreak/>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2138B" w:rsidRPr="00545CDB" w14:paraId="48F9F2A9" w14:textId="77777777" w:rsidTr="005D42A0">
        <w:trPr>
          <w:cantSplit/>
          <w:trHeight w:val="555"/>
        </w:trPr>
        <w:tc>
          <w:tcPr>
            <w:tcW w:w="709" w:type="dxa"/>
          </w:tcPr>
          <w:p w14:paraId="4C16EB2A" w14:textId="77777777" w:rsidR="00D2138B" w:rsidRPr="00545CDB" w:rsidRDefault="00D2138B" w:rsidP="005D42A0">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14:paraId="26489602" w14:textId="77777777" w:rsidR="00D2138B" w:rsidRPr="00B45D70" w:rsidRDefault="00D2138B" w:rsidP="005D42A0">
            <w:pPr>
              <w:widowControl w:val="0"/>
              <w:tabs>
                <w:tab w:val="left" w:pos="1418"/>
                <w:tab w:val="left" w:pos="1701"/>
              </w:tabs>
              <w:spacing w:before="60" w:after="60"/>
              <w:contextualSpacing/>
              <w:jc w:val="both"/>
              <w:rPr>
                <w:rFonts w:ascii="Cambria" w:hAnsi="Cambria"/>
                <w:sz w:val="22"/>
                <w:szCs w:val="22"/>
              </w:rPr>
            </w:pPr>
            <w:r w:rsidRPr="00B45D70">
              <w:rPr>
                <w:rFonts w:ascii="Cambria" w:hAnsi="Cambria"/>
                <w:sz w:val="22"/>
                <w:szCs w:val="22"/>
              </w:rPr>
              <w:t>Tiekėjas turi teisę verstis ta veikla, kuri reikalinga pirkimo sutarčiai įvykdyti.</w:t>
            </w:r>
          </w:p>
        </w:tc>
        <w:tc>
          <w:tcPr>
            <w:tcW w:w="5386" w:type="dxa"/>
          </w:tcPr>
          <w:p w14:paraId="601B3B3A" w14:textId="77777777" w:rsidR="009E5874" w:rsidRPr="0024091D" w:rsidRDefault="009E5874" w:rsidP="009E5874">
            <w:pPr>
              <w:spacing w:before="60" w:after="60"/>
              <w:jc w:val="both"/>
              <w:rPr>
                <w:rFonts w:ascii="Calibri" w:hAnsi="Calibri" w:cs="Calibri"/>
                <w:noProof/>
                <w:color w:val="000000"/>
                <w:sz w:val="22"/>
                <w:szCs w:val="22"/>
                <w:lang w:eastAsia="lt-LT"/>
              </w:rPr>
            </w:pPr>
            <w:r w:rsidRPr="0024091D">
              <w:rPr>
                <w:rFonts w:ascii="Cambria" w:hAnsi="Cambria" w:cs="Calibri"/>
                <w:noProof/>
                <w:color w:val="000000"/>
                <w:sz w:val="22"/>
                <w:szCs w:val="22"/>
                <w:shd w:val="clear" w:color="auto" w:fill="FFFFFF"/>
                <w:lang w:eastAsia="lt-LT"/>
              </w:rPr>
              <w:t>Lietuvos tiekėjas, teikiantis pasiūlymą vaistiniams preparatams, turi turėti didmeninio platinimo ar gamybos licenciją. Informaciją apie išduotas licencijas Lietuvos tiekėjams, skelbiamą VVKT vaistinių preparatų informacinėje sistemoje VAPRIS, tikrina perkančioji organizacija.</w:t>
            </w:r>
          </w:p>
          <w:p w14:paraId="0FBC121D" w14:textId="77777777" w:rsidR="009E5874" w:rsidRPr="0024091D" w:rsidRDefault="009E5874" w:rsidP="009E5874">
            <w:pPr>
              <w:jc w:val="both"/>
              <w:rPr>
                <w:rFonts w:ascii="Cambria" w:hAnsi="Cambria" w:cs="Calibri"/>
                <w:noProof/>
                <w:color w:val="000000"/>
                <w:sz w:val="22"/>
                <w:szCs w:val="22"/>
                <w:shd w:val="clear" w:color="auto" w:fill="FFFFFF"/>
                <w:lang w:eastAsia="lt-LT"/>
              </w:rPr>
            </w:pPr>
            <w:r w:rsidRPr="0024091D">
              <w:rPr>
                <w:rFonts w:ascii="Cambria" w:hAnsi="Cambria" w:cs="Calibri"/>
                <w:noProof/>
                <w:color w:val="000000"/>
                <w:sz w:val="22"/>
                <w:szCs w:val="22"/>
                <w:shd w:val="clear" w:color="auto" w:fill="FFFFFF"/>
                <w:lang w:eastAsia="lt-LT"/>
              </w:rPr>
              <w:t>Kitos valstybės tiekėjas, teikiantis pasiūlymą vaistiniams preparatams,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 Pateikiama skaitmeninė dokumento kopija.</w:t>
            </w:r>
          </w:p>
          <w:p w14:paraId="26774760" w14:textId="096BB307" w:rsidR="00D2138B" w:rsidRPr="009E5874" w:rsidRDefault="00D2138B" w:rsidP="00666210">
            <w:pPr>
              <w:pStyle w:val="Point1"/>
              <w:widowControl w:val="0"/>
              <w:spacing w:before="60" w:after="60"/>
              <w:ind w:left="0" w:firstLine="0"/>
              <w:contextualSpacing/>
              <w:rPr>
                <w:sz w:val="22"/>
                <w:szCs w:val="22"/>
                <w:lang w:val="lt-LT"/>
              </w:rPr>
            </w:pPr>
            <w:r w:rsidRPr="009E5874">
              <w:rPr>
                <w:rFonts w:ascii="Cambria" w:hAnsi="Cambria"/>
                <w:bCs/>
                <w:sz w:val="22"/>
                <w:szCs w:val="22"/>
                <w:shd w:val="clear" w:color="auto" w:fill="FFFFFF"/>
              </w:rPr>
              <w:t xml:space="preserve">Šis reikalavimas taikomas tiekėjams teikiantiems pasiūlymus pirkimo </w:t>
            </w:r>
            <w:proofErr w:type="gramStart"/>
            <w:r w:rsidRPr="009E5874">
              <w:rPr>
                <w:rFonts w:ascii="Cambria" w:hAnsi="Cambria"/>
                <w:bCs/>
                <w:sz w:val="22"/>
                <w:szCs w:val="22"/>
                <w:shd w:val="clear" w:color="auto" w:fill="FFFFFF"/>
              </w:rPr>
              <w:t>dalims  Nr.</w:t>
            </w:r>
            <w:r w:rsidR="00666210" w:rsidRPr="009E5874">
              <w:rPr>
                <w:rFonts w:ascii="Cambria" w:hAnsi="Cambria"/>
                <w:bCs/>
                <w:sz w:val="22"/>
                <w:szCs w:val="22"/>
                <w:shd w:val="clear" w:color="auto" w:fill="FFFFFF"/>
              </w:rPr>
              <w:t>1</w:t>
            </w:r>
            <w:r w:rsidRPr="009E5874">
              <w:rPr>
                <w:rFonts w:ascii="Cambria" w:hAnsi="Cambria"/>
                <w:bCs/>
                <w:sz w:val="22"/>
                <w:szCs w:val="22"/>
                <w:shd w:val="clear" w:color="auto" w:fill="FFFFFF"/>
              </w:rPr>
              <w:t>6</w:t>
            </w:r>
            <w:proofErr w:type="gramEnd"/>
            <w:r w:rsidRPr="009E5874">
              <w:rPr>
                <w:rFonts w:ascii="Cambria" w:hAnsi="Cambria"/>
                <w:bCs/>
                <w:sz w:val="22"/>
                <w:szCs w:val="22"/>
                <w:shd w:val="clear" w:color="auto" w:fill="FFFFFF"/>
              </w:rPr>
              <w:t xml:space="preserve"> ir Nr. </w:t>
            </w:r>
            <w:r w:rsidR="00666210" w:rsidRPr="009E5874">
              <w:rPr>
                <w:rFonts w:ascii="Cambria" w:hAnsi="Cambria"/>
                <w:bCs/>
                <w:sz w:val="22"/>
                <w:szCs w:val="22"/>
                <w:shd w:val="clear" w:color="auto" w:fill="FFFFFF"/>
              </w:rPr>
              <w:t>2</w:t>
            </w:r>
            <w:r w:rsidRPr="009E5874">
              <w:rPr>
                <w:rFonts w:ascii="Cambria" w:hAnsi="Cambria"/>
                <w:bCs/>
                <w:sz w:val="22"/>
                <w:szCs w:val="22"/>
                <w:shd w:val="clear" w:color="auto" w:fill="FFFFFF"/>
              </w:rPr>
              <w:t xml:space="preserve">7. </w:t>
            </w:r>
          </w:p>
        </w:tc>
      </w:tr>
    </w:tbl>
    <w:p w14:paraId="00E7D11C" w14:textId="77777777" w:rsidR="009E5874" w:rsidRDefault="009E5874"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p>
    <w:p w14:paraId="506673DC" w14:textId="77777777" w:rsidR="004F200D" w:rsidRPr="00B45D70" w:rsidRDefault="004F200D" w:rsidP="004F200D">
      <w:pPr>
        <w:pBdr>
          <w:top w:val="nil"/>
          <w:left w:val="nil"/>
          <w:bottom w:val="nil"/>
          <w:right w:val="nil"/>
          <w:between w:val="nil"/>
          <w:bar w:val="nil"/>
        </w:pBdr>
        <w:suppressAutoHyphens/>
        <w:ind w:firstLine="1134"/>
        <w:jc w:val="both"/>
        <w:rPr>
          <w:rFonts w:ascii="Cambria" w:eastAsia="Arial Unicode MS" w:hAnsi="Cambria" w:cs="Calibri"/>
          <w:color w:val="000000"/>
          <w:sz w:val="22"/>
          <w:szCs w:val="22"/>
          <w:bdr w:val="nil"/>
          <w:lang w:eastAsia="lt-LT"/>
        </w:rPr>
      </w:pPr>
      <w:r w:rsidRPr="00B45D70">
        <w:rPr>
          <w:rFonts w:ascii="Cambria" w:eastAsia="Arial Unicode MS" w:hAnsi="Cambria" w:cs="Calibr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B45D70">
        <w:rPr>
          <w:rFonts w:ascii="Cambria" w:eastAsia="Arial Unicode MS" w:hAnsi="Cambria" w:cs="Calibri"/>
          <w:i/>
          <w:iCs/>
          <w:color w:val="000000"/>
          <w:sz w:val="22"/>
          <w:szCs w:val="22"/>
          <w:bdr w:val="nil"/>
          <w:lang w:eastAsia="lt-LT"/>
        </w:rPr>
        <w:t>Apostille</w:t>
      </w:r>
      <w:r w:rsidRPr="00B45D70">
        <w:rPr>
          <w:rFonts w:ascii="Cambria" w:eastAsia="Arial Unicode MS" w:hAnsi="Cambria" w:cs="Calibr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 xml:space="preserve">Jeigu tiekėjo kvalifikacija </w:t>
      </w:r>
      <w:proofErr w:type="gramStart"/>
      <w:r w:rsidRPr="00771344">
        <w:rPr>
          <w:rFonts w:asciiTheme="majorHAnsi" w:eastAsia="Arial Unicode MS" w:hAnsiTheme="majorHAnsi"/>
          <w:color w:val="000000"/>
          <w:sz w:val="22"/>
          <w:szCs w:val="22"/>
          <w:bdr w:val="nil"/>
          <w:lang w:val="en-US" w:eastAsia="lt-LT"/>
        </w:rPr>
        <w:t>dėl</w:t>
      </w:r>
      <w:proofErr w:type="gramEnd"/>
      <w:r w:rsidRPr="00771344">
        <w:rPr>
          <w:rFonts w:asciiTheme="majorHAnsi" w:eastAsia="Arial Unicode MS" w:hAnsiTheme="majorHAnsi"/>
          <w:color w:val="000000"/>
          <w:sz w:val="22"/>
          <w:szCs w:val="22"/>
          <w:bdr w:val="nil"/>
          <w:lang w:val="en-US" w:eastAsia="lt-LT"/>
        </w:rPr>
        <w:t xml:space="preserve">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2E7D81E0" w14:textId="77777777" w:rsidR="007506E5" w:rsidRPr="00E46159" w:rsidRDefault="007506E5" w:rsidP="007506E5">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1FEC4D89" w14:textId="77777777" w:rsidR="007506E5" w:rsidRPr="00E46159" w:rsidRDefault="007506E5" w:rsidP="007506E5">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674E78" w14:textId="77777777" w:rsidR="007506E5" w:rsidRPr="00E46159" w:rsidRDefault="007506E5" w:rsidP="007506E5">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*Pastaba. Esant poreikiui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7A47C6" w:rsidRPr="00771344">
        <w:rPr>
          <w:rFonts w:asciiTheme="majorHAnsi" w:hAnsiTheme="majorHAnsi" w:cs="Times New Roman"/>
          <w:lang w:val="lt-LT"/>
        </w:rPr>
        <w:lastRenderedPageBreak/>
        <w:t>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007A47C6" w:rsidRPr="00771344">
        <w:rPr>
          <w:rFonts w:asciiTheme="majorHAnsi" w:hAnsiTheme="majorHAnsi" w:cs="Times New Roman"/>
          <w:lang w:val="lt-LT"/>
        </w:rPr>
        <w:lastRenderedPageBreak/>
        <w:t>skaitmeninės dokumentų kopijos turi būti prieinami naudojant nediskriminuojančius, visuotinai prieinamus duomenų failų formatus (pvz., pdf, jpg, docx ir kt.).</w:t>
      </w:r>
    </w:p>
    <w:p w14:paraId="694F07C4" w14:textId="35F21A3B"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EE62A1">
        <w:rPr>
          <w:rFonts w:asciiTheme="majorHAnsi" w:hAnsiTheme="majorHAnsi" w:cs="Times New Roman"/>
          <w:b/>
          <w:iCs/>
          <w:color w:val="auto"/>
          <w:lang w:val="lt-LT"/>
        </w:rPr>
        <w:t>6</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7506E5">
        <w:rPr>
          <w:rFonts w:asciiTheme="majorHAnsi" w:hAnsiTheme="majorHAnsi" w:cs="Times New Roman"/>
          <w:b/>
          <w:iCs/>
          <w:color w:val="auto"/>
          <w:lang w:val="lt-LT"/>
        </w:rPr>
        <w:t>s</w:t>
      </w:r>
      <w:r w:rsidR="00EE62A1">
        <w:rPr>
          <w:rFonts w:asciiTheme="majorHAnsi" w:hAnsiTheme="majorHAnsi" w:cs="Times New Roman"/>
          <w:b/>
          <w:iCs/>
          <w:color w:val="auto"/>
          <w:lang w:val="lt-LT"/>
        </w:rPr>
        <w:t>ausio 22</w:t>
      </w:r>
      <w:r w:rsidR="00387548">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24D76E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413F">
        <w:rPr>
          <w:rFonts w:asciiTheme="majorHAnsi" w:hAnsiTheme="majorHAnsi" w:cs="Times New Roman"/>
          <w:lang w:val="lt-LT"/>
        </w:rPr>
        <w:t xml:space="preserve"> Jeigu dokumentų </w:t>
      </w:r>
      <w:r w:rsidR="008A68CF">
        <w:rPr>
          <w:rFonts w:asciiTheme="majorHAnsi" w:hAnsiTheme="majorHAnsi" w:cs="Times New Roman"/>
          <w:lang w:val="lt-LT"/>
        </w:rPr>
        <w:t xml:space="preserve">originalo kalba yra anglų kalba, pateikti vertimus į lietuvių kalbą kartu su pasiūlymu nėra privaloma, tačiau tokie vertimai turės būti pateikti viešojo pirkimo komisijai pareikalavus. </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32BE62E2"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7506E5">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8A68CF">
        <w:rPr>
          <w:rFonts w:asciiTheme="majorHAnsi" w:hAnsiTheme="majorHAnsi" w:cs="Times New Roman"/>
          <w:color w:val="auto"/>
          <w:lang w:val="lt-LT"/>
        </w:rPr>
        <w:t>techninius aprašus, bukletus ir pan.</w:t>
      </w:r>
      <w:r w:rsidR="00143000" w:rsidRPr="00771344">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gamintojo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8A68CF">
        <w:rPr>
          <w:rFonts w:asciiTheme="majorHAnsi" w:hAnsiTheme="majorHAnsi" w:cs="Times New Roman"/>
          <w:color w:val="auto"/>
          <w:lang w:val="lt-LT"/>
        </w:rPr>
        <w:t>techninių aprašų, bukletų ir pan.)</w:t>
      </w:r>
      <w:r w:rsidRPr="00771344">
        <w:rPr>
          <w:rFonts w:asciiTheme="majorHAnsi" w:hAnsiTheme="majorHAnsi" w:cs="Times New Roman"/>
          <w:color w:val="auto"/>
        </w:rPr>
        <w:t xml:space="preserve"> </w:t>
      </w:r>
      <w:proofErr w:type="gramStart"/>
      <w:r w:rsidRPr="00771344">
        <w:rPr>
          <w:rFonts w:asciiTheme="majorHAnsi" w:hAnsiTheme="majorHAnsi" w:cs="Times New Roman"/>
          <w:color w:val="auto"/>
        </w:rPr>
        <w:t>originalo</w:t>
      </w:r>
      <w:proofErr w:type="gramEnd"/>
      <w:r w:rsidRPr="00771344">
        <w:rPr>
          <w:rFonts w:asciiTheme="majorHAnsi" w:hAnsiTheme="majorHAnsi" w:cs="Times New Roman"/>
          <w:color w:val="auto"/>
        </w:rPr>
        <w:t xml:space="preserve">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4749AD76"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7579A6">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lastRenderedPageBreak/>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w:t>
      </w:r>
      <w:r w:rsidR="00984FAD" w:rsidRPr="00771344">
        <w:rPr>
          <w:rFonts w:asciiTheme="majorHAnsi" w:hAnsiTheme="majorHAnsi" w:cs="Times New Roman"/>
          <w:lang w:val="lt-LT"/>
        </w:rPr>
        <w:lastRenderedPageBreak/>
        <w:t xml:space="preserve">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r w:rsidR="00B20B5A">
        <w:rPr>
          <w:rFonts w:asciiTheme="majorHAnsi" w:hAnsiTheme="majorHAnsi" w:cs="Times New Roman"/>
          <w:color w:val="auto"/>
        </w:rPr>
        <w:t>Komisijai paprašius, komisijos nurodytu terminu, turi būti pateikti siūlomų prekių pavyzdžiai.</w:t>
      </w: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1FB6C98F"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8A68CF">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1EA0FDA7"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ED6262">
        <w:rPr>
          <w:rFonts w:asciiTheme="majorHAnsi" w:hAnsiTheme="majorHAnsi"/>
          <w:b/>
          <w:iCs/>
          <w:sz w:val="22"/>
          <w:szCs w:val="22"/>
        </w:rPr>
        <w:t>6</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7506E5">
        <w:rPr>
          <w:rFonts w:asciiTheme="majorHAnsi" w:hAnsiTheme="majorHAnsi"/>
          <w:b/>
          <w:iCs/>
          <w:sz w:val="22"/>
          <w:szCs w:val="22"/>
        </w:rPr>
        <w:t>s</w:t>
      </w:r>
      <w:r w:rsidR="00ED6262">
        <w:rPr>
          <w:rFonts w:asciiTheme="majorHAnsi" w:hAnsiTheme="majorHAnsi"/>
          <w:b/>
          <w:iCs/>
          <w:sz w:val="22"/>
          <w:szCs w:val="22"/>
        </w:rPr>
        <w:t>ausio 22</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ED6262">
        <w:rPr>
          <w:rFonts w:asciiTheme="majorHAnsi" w:hAnsiTheme="majorHAnsi"/>
          <w:b/>
          <w:iCs/>
          <w:sz w:val="22"/>
          <w:szCs w:val="22"/>
          <w:u w:val="single"/>
        </w:rPr>
        <w:t>6</w:t>
      </w:r>
      <w:r w:rsidR="00027198" w:rsidRPr="00771344">
        <w:rPr>
          <w:rFonts w:asciiTheme="majorHAnsi" w:hAnsiTheme="majorHAnsi"/>
          <w:b/>
          <w:iCs/>
          <w:sz w:val="22"/>
          <w:szCs w:val="22"/>
          <w:u w:val="single"/>
        </w:rPr>
        <w:t xml:space="preserve"> m. </w:t>
      </w:r>
      <w:r w:rsidR="007506E5">
        <w:rPr>
          <w:rFonts w:asciiTheme="majorHAnsi" w:hAnsiTheme="majorHAnsi"/>
          <w:b/>
          <w:iCs/>
          <w:sz w:val="22"/>
          <w:szCs w:val="22"/>
          <w:u w:val="single"/>
        </w:rPr>
        <w:t>s</w:t>
      </w:r>
      <w:r w:rsidR="00ED6262">
        <w:rPr>
          <w:rFonts w:asciiTheme="majorHAnsi" w:hAnsiTheme="majorHAnsi"/>
          <w:b/>
          <w:iCs/>
          <w:sz w:val="22"/>
          <w:szCs w:val="22"/>
          <w:u w:val="single"/>
        </w:rPr>
        <w:t>ausio 22</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lastRenderedPageBreak/>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End w:id="35"/>
    </w:p>
    <w:p w14:paraId="41CC059C" w14:textId="77777777" w:rsidR="009E513F" w:rsidRPr="00771344" w:rsidRDefault="009E513F" w:rsidP="00A2603C">
      <w:pPr>
        <w:pStyle w:val="Body2"/>
        <w:rPr>
          <w:rFonts w:asciiTheme="majorHAnsi" w:hAnsiTheme="majorHAnsi" w:cs="Times New Roman"/>
          <w:lang w:val="lt-LT"/>
        </w:rPr>
      </w:pPr>
      <w:bookmarkStart w:id="37" w:name="_Toc60525491"/>
      <w:bookmarkStart w:id="38" w:name="_Toc47844937"/>
      <w:bookmarkStart w:id="39"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A2603C">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w:t>
      </w:r>
      <w:proofErr w:type="gramStart"/>
      <w:r w:rsidR="006D653C" w:rsidRPr="00771344">
        <w:rPr>
          <w:rFonts w:asciiTheme="majorHAnsi" w:hAnsiTheme="majorHAnsi"/>
          <w:color w:val="auto"/>
        </w:rPr>
        <w:t>jo</w:t>
      </w:r>
      <w:proofErr w:type="gramEnd"/>
      <w:r w:rsidR="006D653C" w:rsidRPr="00771344">
        <w:rPr>
          <w:rFonts w:asciiTheme="majorHAnsi" w:hAnsiTheme="majorHAnsi"/>
          <w:color w:val="auto"/>
        </w:rPr>
        <w:t xml:space="preserve">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w:t>
      </w:r>
      <w:proofErr w:type="gramStart"/>
      <w:r w:rsidR="006D653C" w:rsidRPr="00771344">
        <w:rPr>
          <w:rFonts w:asciiTheme="majorHAnsi" w:hAnsiTheme="majorHAnsi"/>
          <w:color w:val="auto"/>
        </w:rPr>
        <w:t>dėl</w:t>
      </w:r>
      <w:proofErr w:type="gramEnd"/>
      <w:r w:rsidR="006D653C" w:rsidRPr="00771344">
        <w:rPr>
          <w:rFonts w:asciiTheme="majorHAnsi" w:hAnsiTheme="majorHAnsi"/>
          <w:color w:val="auto"/>
        </w:rPr>
        <w:t xml:space="preserve">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0" w:name="_Toc488306772"/>
      <w:r w:rsidRPr="00771344">
        <w:rPr>
          <w:rFonts w:asciiTheme="majorHAnsi" w:hAnsiTheme="majorHAnsi"/>
          <w:b/>
          <w:sz w:val="22"/>
          <w:szCs w:val="22"/>
        </w:rPr>
        <w:t>ELEKTRONINIS AUKCIONAS</w:t>
      </w:r>
      <w:bookmarkEnd w:id="40"/>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1" w:name="_Toc488306773"/>
      <w:r w:rsidRPr="00771344">
        <w:rPr>
          <w:rFonts w:asciiTheme="majorHAnsi" w:hAnsiTheme="majorHAnsi"/>
          <w:b/>
          <w:sz w:val="22"/>
          <w:szCs w:val="22"/>
        </w:rPr>
        <w:lastRenderedPageBreak/>
        <w:t>PASIŪLYMŲ ATMETIMO PRIEŽASTYS</w:t>
      </w:r>
      <w:bookmarkEnd w:id="41"/>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1B0BB188"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w:t>
      </w:r>
      <w:r w:rsidR="009854DD">
        <w:rPr>
          <w:rFonts w:asciiTheme="majorHAnsi" w:hAnsiTheme="majorHAnsi" w:cs="Times New Roman"/>
          <w:lang w:val="lt-LT"/>
        </w:rPr>
        <w:t> </w:t>
      </w:r>
      <w:r w:rsidRPr="00771344">
        <w:rPr>
          <w:rFonts w:asciiTheme="majorHAnsi" w:hAnsiTheme="majorHAnsi" w:cs="Times New Roman"/>
          <w:lang w:val="lt-LT"/>
        </w:rPr>
        <w:t xml:space="preserve">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2"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2"/>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3" w:name="_Toc488306774"/>
      <w:r w:rsidRPr="00771344">
        <w:rPr>
          <w:rFonts w:asciiTheme="majorHAnsi" w:hAnsiTheme="majorHAnsi"/>
          <w:b/>
          <w:sz w:val="22"/>
          <w:szCs w:val="22"/>
        </w:rPr>
        <w:t>PASIŪLYMŲ VERTINIMAS IR PALYGINIMAS</w:t>
      </w:r>
      <w:bookmarkEnd w:id="43"/>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4" w:name="_Toc488306775"/>
      <w:r w:rsidRPr="00771344">
        <w:rPr>
          <w:rFonts w:asciiTheme="majorHAnsi" w:hAnsiTheme="majorHAnsi"/>
          <w:b/>
          <w:sz w:val="22"/>
          <w:szCs w:val="22"/>
        </w:rPr>
        <w:t>PASIŪLYMŲ EILĖ IR LAIMĖTOJO NUSTATYMAS</w:t>
      </w:r>
      <w:bookmarkEnd w:id="44"/>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 xml:space="preserve">Perkančioji organizacija, norėdama priimti sprendimą </w:t>
      </w:r>
      <w:proofErr w:type="gramStart"/>
      <w:r w:rsidR="00D76FEB" w:rsidRPr="00771344">
        <w:rPr>
          <w:rFonts w:asciiTheme="majorHAnsi" w:hAnsiTheme="majorHAnsi"/>
          <w:color w:val="auto"/>
        </w:rPr>
        <w:t>dėl</w:t>
      </w:r>
      <w:proofErr w:type="gramEnd"/>
      <w:r w:rsidR="00D76FEB" w:rsidRPr="00771344">
        <w:rPr>
          <w:rFonts w:asciiTheme="majorHAnsi" w:hAnsiTheme="majorHAnsi"/>
          <w:color w:val="auto"/>
        </w:rPr>
        <w:t xml:space="preserve"> laimėjusio pasiūlymo, turi įvertinti pateiktus dalyvių pasiūlymus ir nustatyti pasiūlymų eilę (išskyrus atvejus, kai pasiūlymą pateikti kviečiamas arba pasiūlymą pateikia</w:t>
      </w:r>
      <w:r w:rsidR="001B6FFD" w:rsidRPr="00771344">
        <w:rPr>
          <w:rFonts w:asciiTheme="majorHAnsi" w:hAnsiTheme="majorHAnsi"/>
          <w:color w:val="auto"/>
        </w:rPr>
        <w:t>, arba įvertinus pasiūlymus liko</w:t>
      </w:r>
      <w:r w:rsidR="00D76FEB" w:rsidRPr="00771344">
        <w:rPr>
          <w:rFonts w:asciiTheme="majorHAnsi" w:hAnsiTheme="majorHAnsi"/>
          <w:color w:val="auto"/>
        </w:rPr>
        <w:t xml:space="preserve">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lastRenderedPageBreak/>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 xml:space="preserve">Perkančioji organizacija dalyviams ne vėliau kaip per 3 darbo dienas raštu praneša apie priimtą sprendimą nustatyti laimėjusį pasiūlymą, </w:t>
      </w:r>
      <w:proofErr w:type="gramStart"/>
      <w:r w:rsidR="00A5281D" w:rsidRPr="00771344">
        <w:rPr>
          <w:rFonts w:asciiTheme="majorHAnsi" w:hAnsiTheme="majorHAnsi"/>
          <w:color w:val="auto"/>
        </w:rPr>
        <w:t>dėl</w:t>
      </w:r>
      <w:proofErr w:type="gramEnd"/>
      <w:r w:rsidR="00A5281D" w:rsidRPr="00771344">
        <w:rPr>
          <w:rFonts w:asciiTheme="majorHAnsi" w:hAnsiTheme="majorHAnsi"/>
          <w:color w:val="auto"/>
        </w:rPr>
        <w:t xml:space="preserve">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 xml:space="preserve">Perkančioji organizacija taip pat turi nurodyti priežastis, </w:t>
      </w:r>
      <w:proofErr w:type="gramStart"/>
      <w:r w:rsidR="004113C4" w:rsidRPr="00771344">
        <w:rPr>
          <w:rFonts w:asciiTheme="majorHAnsi" w:hAnsiTheme="majorHAnsi"/>
          <w:color w:val="auto"/>
        </w:rPr>
        <w:t>dėl</w:t>
      </w:r>
      <w:proofErr w:type="gramEnd"/>
      <w:r w:rsidR="004113C4" w:rsidRPr="00771344">
        <w:rPr>
          <w:rFonts w:asciiTheme="majorHAnsi" w:hAnsiTheme="majorHAnsi"/>
          <w:color w:val="auto"/>
        </w:rPr>
        <w:t xml:space="preserve">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Default="00D153A7" w:rsidP="00BD3E78">
      <w:pPr>
        <w:pStyle w:val="Body2"/>
        <w:rPr>
          <w:rFonts w:asciiTheme="majorHAnsi" w:hAnsiTheme="majorHAnsi"/>
          <w:color w:val="auto"/>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9C62A7D" w14:textId="77777777" w:rsidR="00387548" w:rsidRPr="00771344" w:rsidRDefault="00387548" w:rsidP="00BD3E78">
      <w:pPr>
        <w:pStyle w:val="Body2"/>
        <w:rPr>
          <w:rFonts w:asciiTheme="majorHAnsi" w:hAnsiTheme="majorHAnsi" w:cs="Times New Roman"/>
          <w:strike/>
          <w:color w:val="auto"/>
          <w:lang w:val="lt-LT"/>
        </w:rPr>
      </w:pP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5" w:name="_Toc488306776"/>
      <w:r w:rsidRPr="00771344">
        <w:rPr>
          <w:rFonts w:asciiTheme="majorHAnsi" w:hAnsiTheme="majorHAnsi"/>
          <w:b/>
          <w:sz w:val="22"/>
          <w:szCs w:val="22"/>
        </w:rPr>
        <w:t>PRETENZIJŲ IR SKUNDŲ NAGRINĖJIMAS</w:t>
      </w:r>
      <w:bookmarkEnd w:id="45"/>
    </w:p>
    <w:bookmarkEnd w:id="37"/>
    <w:bookmarkEnd w:id="38"/>
    <w:bookmarkEnd w:id="39"/>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16.5. Perkančioji organizacija privalo išnagrinėti pretenziją, priimti motyvuotą sprendimą ir apie jį, taip pat apie anksčiau praneštų pirkimo procedūros terminų pasikeitimą raštu pranešti </w:t>
      </w:r>
      <w:r w:rsidRPr="00771344">
        <w:rPr>
          <w:rFonts w:asciiTheme="majorHAnsi" w:hAnsiTheme="majorHAnsi" w:cs="Times New Roman"/>
          <w:lang w:val="lt-LT"/>
        </w:rPr>
        <w:lastRenderedPageBreak/>
        <w:t>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BB70054" w14:textId="77777777" w:rsidR="00387548" w:rsidRDefault="00D153A7" w:rsidP="00387548">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bookmarkStart w:id="46" w:name="_Toc488306777"/>
    </w:p>
    <w:p w14:paraId="2DBE6BEB" w14:textId="77777777" w:rsidR="009B1080" w:rsidRDefault="009B1080" w:rsidP="00387548">
      <w:pPr>
        <w:pStyle w:val="Body2"/>
        <w:rPr>
          <w:rFonts w:asciiTheme="majorHAnsi" w:hAnsiTheme="majorHAnsi" w:cs="Times New Roman"/>
          <w:lang w:val="lt-LT"/>
        </w:rPr>
      </w:pPr>
    </w:p>
    <w:p w14:paraId="5CBBA86D" w14:textId="754AAC65" w:rsidR="00165A44" w:rsidRPr="00771344" w:rsidRDefault="009B1080" w:rsidP="009B1080">
      <w:pPr>
        <w:pStyle w:val="Body2"/>
        <w:jc w:val="center"/>
        <w:rPr>
          <w:rFonts w:asciiTheme="majorHAnsi" w:hAnsiTheme="majorHAnsi"/>
          <w:b/>
        </w:rPr>
      </w:pPr>
      <w:r>
        <w:rPr>
          <w:rFonts w:asciiTheme="majorHAnsi" w:hAnsiTheme="majorHAnsi"/>
          <w:b/>
        </w:rPr>
        <w:t xml:space="preserve">17. </w:t>
      </w:r>
      <w:r w:rsidR="00511021" w:rsidRPr="00771344">
        <w:rPr>
          <w:rFonts w:asciiTheme="majorHAnsi" w:hAnsiTheme="majorHAnsi"/>
          <w:b/>
        </w:rPr>
        <w:t>PIRKIMO SUTARTIES PASIRAŠYMAS IR SĄLYGOS</w:t>
      </w:r>
      <w:bookmarkStart w:id="47" w:name="_Hlk488958351"/>
      <w:bookmarkEnd w:id="46"/>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7"/>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702F8CAB" w14:textId="0729A954" w:rsidR="00771344" w:rsidRPr="00771344" w:rsidRDefault="00771344" w:rsidP="007B44E7">
            <w:pPr>
              <w:ind w:left="851"/>
              <w:rPr>
                <w:rFonts w:asciiTheme="majorHAnsi" w:hAnsiTheme="majorHAnsi"/>
                <w:sz w:val="22"/>
                <w:szCs w:val="22"/>
              </w:rPr>
            </w:pPr>
          </w:p>
        </w:tc>
      </w:tr>
    </w:tbl>
    <w:p w14:paraId="3EEFE71B" w14:textId="1E910F8A" w:rsidR="009B1080" w:rsidRDefault="00981AD9" w:rsidP="009B1080">
      <w:pPr>
        <w:ind w:left="1296" w:right="-178" w:hanging="1296"/>
        <w:jc w:val="right"/>
        <w:rPr>
          <w:rFonts w:ascii="Cambria" w:hAnsi="Cambria"/>
          <w:sz w:val="22"/>
          <w:szCs w:val="22"/>
        </w:rPr>
      </w:pPr>
      <w:r>
        <w:rPr>
          <w:rFonts w:ascii="Cambria" w:hAnsi="Cambria"/>
          <w:sz w:val="22"/>
          <w:szCs w:val="22"/>
        </w:rPr>
        <w:t>P</w:t>
      </w:r>
      <w:r w:rsidR="009B1080">
        <w:rPr>
          <w:rFonts w:ascii="Cambria" w:hAnsi="Cambria"/>
          <w:sz w:val="22"/>
          <w:szCs w:val="22"/>
        </w:rPr>
        <w:t xml:space="preserve">irkimo sąlygų </w:t>
      </w:r>
    </w:p>
    <w:p w14:paraId="69DEB1E1" w14:textId="0F85FAE8" w:rsidR="009B1080" w:rsidRDefault="009B1080" w:rsidP="009B1080">
      <w:pPr>
        <w:ind w:left="6480" w:right="-178" w:firstLine="1296"/>
        <w:jc w:val="center"/>
        <w:rPr>
          <w:rFonts w:ascii="Cambria" w:hAnsi="Cambria"/>
          <w:sz w:val="22"/>
          <w:szCs w:val="22"/>
        </w:rPr>
      </w:pPr>
      <w:r>
        <w:rPr>
          <w:rFonts w:ascii="Cambria" w:hAnsi="Cambria"/>
          <w:sz w:val="22"/>
          <w:szCs w:val="22"/>
        </w:rPr>
        <w:t xml:space="preserve">   1 priedas</w:t>
      </w:r>
    </w:p>
    <w:p w14:paraId="1481CC14" w14:textId="77777777" w:rsidR="009B1080" w:rsidRDefault="009B1080" w:rsidP="009B1080">
      <w:pPr>
        <w:ind w:left="1296" w:right="-178" w:hanging="1296"/>
        <w:jc w:val="center"/>
        <w:rPr>
          <w:rFonts w:ascii="Cambria" w:hAnsi="Cambria"/>
          <w:sz w:val="22"/>
          <w:szCs w:val="22"/>
        </w:rPr>
      </w:pPr>
    </w:p>
    <w:p w14:paraId="011216D2" w14:textId="77777777" w:rsidR="009B1080" w:rsidRDefault="009B1080" w:rsidP="009B1080">
      <w:pPr>
        <w:ind w:left="1296" w:right="-178" w:hanging="1296"/>
        <w:jc w:val="center"/>
        <w:rPr>
          <w:rFonts w:ascii="Cambria" w:hAnsi="Cambria"/>
          <w:sz w:val="22"/>
          <w:szCs w:val="22"/>
        </w:rPr>
      </w:pPr>
    </w:p>
    <w:p w14:paraId="1F461D2D" w14:textId="77777777" w:rsidR="009B1080" w:rsidRPr="00644051" w:rsidRDefault="009B1080" w:rsidP="009B1080">
      <w:pPr>
        <w:ind w:left="1296" w:right="-178" w:hanging="1296"/>
        <w:jc w:val="center"/>
        <w:rPr>
          <w:rFonts w:ascii="Cambria" w:hAnsi="Cambria"/>
          <w:sz w:val="22"/>
          <w:szCs w:val="22"/>
        </w:rPr>
      </w:pPr>
      <w:r w:rsidRPr="00644051">
        <w:rPr>
          <w:rFonts w:ascii="Cambria" w:hAnsi="Cambria"/>
          <w:sz w:val="22"/>
          <w:szCs w:val="22"/>
        </w:rPr>
        <w:t>Herbas arba prekių ženklas</w:t>
      </w:r>
    </w:p>
    <w:p w14:paraId="5FDA1CB0" w14:textId="77777777" w:rsidR="009B1080" w:rsidRPr="00644051" w:rsidRDefault="009B1080" w:rsidP="009B1080">
      <w:pPr>
        <w:ind w:right="-178"/>
        <w:jc w:val="center"/>
        <w:rPr>
          <w:rFonts w:ascii="Cambria" w:hAnsi="Cambria"/>
          <w:sz w:val="22"/>
          <w:szCs w:val="22"/>
        </w:rPr>
      </w:pPr>
    </w:p>
    <w:p w14:paraId="4D8B87DE" w14:textId="77777777" w:rsidR="009B1080" w:rsidRPr="00644051" w:rsidRDefault="009B1080" w:rsidP="009B1080">
      <w:pPr>
        <w:ind w:right="-178"/>
        <w:jc w:val="center"/>
        <w:rPr>
          <w:rFonts w:ascii="Cambria" w:hAnsi="Cambria"/>
          <w:sz w:val="22"/>
          <w:szCs w:val="22"/>
        </w:rPr>
      </w:pPr>
      <w:r w:rsidRPr="00644051">
        <w:rPr>
          <w:rFonts w:ascii="Cambria" w:hAnsi="Cambria"/>
          <w:sz w:val="22"/>
          <w:szCs w:val="22"/>
        </w:rPr>
        <w:t>(Tiekėjo pavadinimas)</w:t>
      </w:r>
    </w:p>
    <w:p w14:paraId="7CE83A1E" w14:textId="77777777" w:rsidR="009B1080" w:rsidRPr="00644051" w:rsidRDefault="009B1080" w:rsidP="009B1080">
      <w:pPr>
        <w:ind w:right="-178"/>
        <w:jc w:val="center"/>
        <w:rPr>
          <w:rFonts w:ascii="Cambria" w:hAnsi="Cambria"/>
          <w:sz w:val="22"/>
          <w:szCs w:val="22"/>
        </w:rPr>
      </w:pPr>
    </w:p>
    <w:p w14:paraId="740A955E" w14:textId="77777777" w:rsidR="009B1080" w:rsidRPr="00644051" w:rsidRDefault="009B1080" w:rsidP="009B1080">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13CBF" w14:textId="77777777" w:rsidR="009B1080" w:rsidRPr="00771344" w:rsidRDefault="009B1080" w:rsidP="009B1080">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_________________________________________________________________________________________</w:t>
      </w:r>
    </w:p>
    <w:p w14:paraId="11544022" w14:textId="77777777" w:rsidR="009B1080" w:rsidRPr="00771344" w:rsidRDefault="009B1080" w:rsidP="009B1080">
      <w:pPr>
        <w:jc w:val="center"/>
        <w:rPr>
          <w:rFonts w:asciiTheme="majorHAnsi" w:hAnsiTheme="majorHAnsi"/>
          <w:b/>
          <w:bCs/>
          <w:sz w:val="22"/>
          <w:szCs w:val="22"/>
        </w:rPr>
      </w:pPr>
    </w:p>
    <w:p w14:paraId="682D1C89" w14:textId="77777777" w:rsidR="009B1080" w:rsidRPr="00771344" w:rsidRDefault="009B1080" w:rsidP="009B1080">
      <w:pPr>
        <w:jc w:val="both"/>
        <w:rPr>
          <w:rFonts w:asciiTheme="majorHAnsi" w:hAnsiTheme="majorHAnsi"/>
          <w:sz w:val="22"/>
          <w:szCs w:val="22"/>
        </w:rPr>
      </w:pPr>
      <w:r w:rsidRPr="00771344">
        <w:rPr>
          <w:rFonts w:asciiTheme="majorHAnsi" w:hAnsiTheme="majorHAnsi"/>
          <w:sz w:val="22"/>
          <w:szCs w:val="22"/>
        </w:rPr>
        <w:t>__________________________</w:t>
      </w:r>
    </w:p>
    <w:p w14:paraId="25AC98DA" w14:textId="77777777" w:rsidR="009B1080" w:rsidRDefault="009B1080" w:rsidP="009B1080">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697097F1" w14:textId="77777777" w:rsidR="009B1080" w:rsidRPr="00771344" w:rsidRDefault="009B1080" w:rsidP="009B1080">
      <w:pPr>
        <w:tabs>
          <w:tab w:val="center" w:pos="2520"/>
        </w:tabs>
        <w:jc w:val="both"/>
        <w:rPr>
          <w:rFonts w:asciiTheme="majorHAnsi" w:hAnsiTheme="majorHAnsi"/>
          <w:sz w:val="22"/>
          <w:szCs w:val="22"/>
        </w:rPr>
      </w:pPr>
    </w:p>
    <w:p w14:paraId="1F81F3F6" w14:textId="77777777" w:rsidR="009B1080" w:rsidRDefault="009B1080" w:rsidP="009B1080">
      <w:pPr>
        <w:jc w:val="center"/>
        <w:rPr>
          <w:rFonts w:asciiTheme="majorHAnsi" w:hAnsiTheme="majorHAnsi"/>
          <w:b/>
          <w:sz w:val="22"/>
          <w:szCs w:val="22"/>
        </w:rPr>
      </w:pPr>
    </w:p>
    <w:p w14:paraId="2E0236E1" w14:textId="77777777" w:rsidR="009B1080" w:rsidRPr="00771344" w:rsidRDefault="009B1080" w:rsidP="009B1080">
      <w:pPr>
        <w:jc w:val="center"/>
        <w:rPr>
          <w:rFonts w:asciiTheme="majorHAnsi" w:hAnsiTheme="majorHAnsi"/>
          <w:b/>
          <w:sz w:val="22"/>
          <w:szCs w:val="22"/>
        </w:rPr>
      </w:pPr>
    </w:p>
    <w:p w14:paraId="5778DE10" w14:textId="77777777" w:rsidR="009B1080" w:rsidRPr="00771344" w:rsidRDefault="009B1080" w:rsidP="009B1080">
      <w:pPr>
        <w:jc w:val="center"/>
        <w:rPr>
          <w:rFonts w:asciiTheme="majorHAnsi" w:hAnsiTheme="majorHAnsi"/>
          <w:b/>
          <w:sz w:val="22"/>
          <w:szCs w:val="22"/>
        </w:rPr>
      </w:pPr>
      <w:r w:rsidRPr="00771344">
        <w:rPr>
          <w:rFonts w:asciiTheme="majorHAnsi" w:hAnsiTheme="majorHAnsi"/>
          <w:b/>
          <w:sz w:val="22"/>
          <w:szCs w:val="22"/>
        </w:rPr>
        <w:t>PASIŪLYMAS</w:t>
      </w:r>
    </w:p>
    <w:p w14:paraId="52EBE068" w14:textId="77777777" w:rsidR="009B1080" w:rsidRPr="00771344" w:rsidRDefault="009B1080" w:rsidP="009B1080">
      <w:pPr>
        <w:jc w:val="center"/>
        <w:rPr>
          <w:rFonts w:asciiTheme="majorHAnsi" w:hAnsiTheme="majorHAnsi"/>
          <w:b/>
          <w:sz w:val="22"/>
          <w:szCs w:val="22"/>
        </w:rPr>
      </w:pPr>
    </w:p>
    <w:p w14:paraId="3E0CD265" w14:textId="23377FA3" w:rsidR="009B1080" w:rsidRPr="009B1080" w:rsidRDefault="009B1080" w:rsidP="009B1080">
      <w:pPr>
        <w:tabs>
          <w:tab w:val="right" w:leader="underscore" w:pos="8505"/>
        </w:tabs>
        <w:jc w:val="center"/>
        <w:rPr>
          <w:rFonts w:ascii="Cambria" w:hAnsi="Cambria"/>
          <w:b/>
          <w:bCs/>
          <w:sz w:val="22"/>
          <w:szCs w:val="22"/>
        </w:rPr>
      </w:pPr>
      <w:r w:rsidRPr="009B1080">
        <w:rPr>
          <w:rFonts w:ascii="Cambria" w:hAnsi="Cambria"/>
          <w:b/>
          <w:bCs/>
          <w:sz w:val="22"/>
          <w:szCs w:val="22"/>
        </w:rPr>
        <w:t xml:space="preserve">DĖL </w:t>
      </w:r>
      <w:r w:rsidR="000F7079">
        <w:rPr>
          <w:rFonts w:ascii="Cambria" w:hAnsi="Cambria"/>
          <w:b/>
          <w:bCs/>
          <w:sz w:val="22"/>
          <w:szCs w:val="22"/>
        </w:rPr>
        <w:t>VIENKARTIN</w:t>
      </w:r>
      <w:r w:rsidR="000F7079">
        <w:rPr>
          <w:rFonts w:ascii="Cambria" w:hAnsi="Cambria"/>
          <w:b/>
          <w:bCs/>
          <w:sz w:val="22"/>
          <w:szCs w:val="22"/>
        </w:rPr>
        <w:t>IŲ</w:t>
      </w:r>
      <w:r w:rsidR="000F7079">
        <w:rPr>
          <w:rFonts w:ascii="Cambria" w:hAnsi="Cambria"/>
          <w:b/>
          <w:bCs/>
          <w:sz w:val="22"/>
          <w:szCs w:val="22"/>
        </w:rPr>
        <w:t xml:space="preserve"> PRIEMON</w:t>
      </w:r>
      <w:r w:rsidR="000F7079">
        <w:rPr>
          <w:rFonts w:ascii="Cambria" w:hAnsi="Cambria"/>
          <w:b/>
          <w:bCs/>
          <w:sz w:val="22"/>
          <w:szCs w:val="22"/>
        </w:rPr>
        <w:t>IŲ</w:t>
      </w:r>
      <w:r w:rsidR="000F7079">
        <w:rPr>
          <w:rFonts w:ascii="Cambria" w:hAnsi="Cambria"/>
          <w:b/>
          <w:bCs/>
          <w:sz w:val="22"/>
          <w:szCs w:val="22"/>
        </w:rPr>
        <w:t xml:space="preserve"> IR TIRPAL</w:t>
      </w:r>
      <w:r w:rsidR="001120F6">
        <w:rPr>
          <w:rFonts w:ascii="Cambria" w:hAnsi="Cambria"/>
          <w:b/>
          <w:bCs/>
          <w:sz w:val="22"/>
          <w:szCs w:val="22"/>
        </w:rPr>
        <w:t>Ų</w:t>
      </w:r>
      <w:r w:rsidR="000F7079">
        <w:rPr>
          <w:rFonts w:ascii="Cambria" w:hAnsi="Cambria"/>
          <w:b/>
          <w:bCs/>
          <w:sz w:val="22"/>
          <w:szCs w:val="22"/>
        </w:rPr>
        <w:t xml:space="preserve"> DIALIZĖMS, HEMOSORBCIJAI, GYDOMOSIOSMS AFEREZĖMS BEI KITOMS INVAZINĖMS PROCEDŪROMS</w:t>
      </w:r>
      <w:r w:rsidR="001120F6">
        <w:rPr>
          <w:rFonts w:ascii="Cambria" w:hAnsi="Cambria"/>
          <w:b/>
          <w:bCs/>
          <w:sz w:val="22"/>
          <w:szCs w:val="22"/>
        </w:rPr>
        <w:t xml:space="preserve"> </w:t>
      </w:r>
      <w:bookmarkStart w:id="48" w:name="_GoBack"/>
      <w:bookmarkEnd w:id="48"/>
      <w:r w:rsidRPr="009B1080">
        <w:rPr>
          <w:rFonts w:ascii="Cambria" w:hAnsi="Cambria"/>
          <w:b/>
          <w:bCs/>
          <w:sz w:val="22"/>
          <w:szCs w:val="22"/>
        </w:rPr>
        <w:t>PIRKIMO</w:t>
      </w:r>
    </w:p>
    <w:p w14:paraId="0CF033A7" w14:textId="77777777" w:rsidR="009B1080" w:rsidRPr="00771344" w:rsidRDefault="009B1080" w:rsidP="009B1080">
      <w:pPr>
        <w:shd w:val="clear" w:color="auto" w:fill="FFFFFF"/>
        <w:jc w:val="center"/>
        <w:rPr>
          <w:rFonts w:asciiTheme="majorHAnsi" w:hAnsiTheme="majorHAnsi"/>
          <w:sz w:val="22"/>
          <w:szCs w:val="22"/>
        </w:rPr>
      </w:pPr>
    </w:p>
    <w:p w14:paraId="75FA41AA" w14:textId="77777777" w:rsidR="009B1080" w:rsidRPr="00771344" w:rsidRDefault="009B1080" w:rsidP="009B1080">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CB61936"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10F1E93D"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2B8D7A9D" w14:textId="77777777" w:rsidR="009B1080" w:rsidRPr="00771344" w:rsidRDefault="009B1080" w:rsidP="009B1080">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6DA5AE60" w14:textId="77777777" w:rsidR="009B1080" w:rsidRPr="00771344" w:rsidRDefault="009B1080" w:rsidP="009B1080">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081F94CF" w14:textId="77777777" w:rsidR="009B1080" w:rsidRPr="00771344" w:rsidRDefault="009B1080" w:rsidP="009B1080">
      <w:pPr>
        <w:jc w:val="center"/>
        <w:rPr>
          <w:rFonts w:asciiTheme="majorHAnsi" w:hAnsiTheme="majorHAnsi"/>
          <w:b/>
          <w:sz w:val="22"/>
          <w:szCs w:val="22"/>
        </w:rPr>
      </w:pPr>
      <w:r w:rsidRPr="00771344">
        <w:rPr>
          <w:rFonts w:asciiTheme="majorHAnsi" w:hAnsiTheme="majorHAnsi"/>
          <w:b/>
          <w:sz w:val="22"/>
          <w:szCs w:val="22"/>
        </w:rPr>
        <w:t>TIEKĖJO REKVIZITAI</w:t>
      </w:r>
    </w:p>
    <w:p w14:paraId="3E9C8D76" w14:textId="77777777" w:rsidR="009B1080" w:rsidRPr="00771344" w:rsidRDefault="009B1080" w:rsidP="009B1080">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B1080" w:rsidRPr="00771344" w14:paraId="251C2598" w14:textId="77777777" w:rsidTr="00D41150">
        <w:tc>
          <w:tcPr>
            <w:tcW w:w="4928" w:type="dxa"/>
            <w:tcBorders>
              <w:top w:val="single" w:sz="4" w:space="0" w:color="auto"/>
              <w:left w:val="single" w:sz="4" w:space="0" w:color="auto"/>
              <w:bottom w:val="single" w:sz="4" w:space="0" w:color="auto"/>
              <w:right w:val="single" w:sz="4" w:space="0" w:color="auto"/>
            </w:tcBorders>
          </w:tcPr>
          <w:p w14:paraId="16EBAD8E" w14:textId="77777777" w:rsidR="009B1080" w:rsidRPr="00644051" w:rsidRDefault="009B1080" w:rsidP="00D41150">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A6DD136" w14:textId="77777777" w:rsidR="009B1080" w:rsidRPr="00771344" w:rsidRDefault="009B1080" w:rsidP="00D41150">
            <w:pPr>
              <w:jc w:val="both"/>
              <w:rPr>
                <w:rFonts w:asciiTheme="majorHAnsi" w:hAnsiTheme="majorHAnsi"/>
                <w:sz w:val="22"/>
                <w:szCs w:val="22"/>
              </w:rPr>
            </w:pPr>
          </w:p>
          <w:p w14:paraId="12000067" w14:textId="77777777" w:rsidR="009B1080" w:rsidRPr="00771344" w:rsidRDefault="009B1080" w:rsidP="00D41150">
            <w:pPr>
              <w:jc w:val="both"/>
              <w:rPr>
                <w:rFonts w:asciiTheme="majorHAnsi" w:hAnsiTheme="majorHAnsi"/>
                <w:sz w:val="22"/>
                <w:szCs w:val="22"/>
              </w:rPr>
            </w:pPr>
          </w:p>
        </w:tc>
      </w:tr>
      <w:tr w:rsidR="009B1080" w:rsidRPr="00771344" w14:paraId="00771960" w14:textId="77777777" w:rsidTr="00D41150">
        <w:tc>
          <w:tcPr>
            <w:tcW w:w="4928" w:type="dxa"/>
            <w:tcBorders>
              <w:top w:val="single" w:sz="4" w:space="0" w:color="auto"/>
              <w:left w:val="single" w:sz="4" w:space="0" w:color="auto"/>
              <w:bottom w:val="single" w:sz="4" w:space="0" w:color="auto"/>
              <w:right w:val="single" w:sz="4" w:space="0" w:color="auto"/>
            </w:tcBorders>
          </w:tcPr>
          <w:p w14:paraId="43DAF835" w14:textId="77777777" w:rsidR="009B1080" w:rsidRPr="00644051" w:rsidRDefault="009B1080" w:rsidP="00D41150">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70E7BD" w14:textId="77777777" w:rsidR="009B1080" w:rsidRPr="00771344" w:rsidRDefault="009B1080" w:rsidP="00D41150">
            <w:pPr>
              <w:jc w:val="both"/>
              <w:rPr>
                <w:rFonts w:asciiTheme="majorHAnsi" w:hAnsiTheme="majorHAnsi"/>
                <w:sz w:val="22"/>
                <w:szCs w:val="22"/>
              </w:rPr>
            </w:pPr>
          </w:p>
        </w:tc>
      </w:tr>
      <w:tr w:rsidR="009B1080" w:rsidRPr="00771344" w14:paraId="13D091B6" w14:textId="77777777" w:rsidTr="00D41150">
        <w:tc>
          <w:tcPr>
            <w:tcW w:w="4928" w:type="dxa"/>
            <w:tcBorders>
              <w:top w:val="single" w:sz="4" w:space="0" w:color="auto"/>
              <w:left w:val="single" w:sz="4" w:space="0" w:color="auto"/>
              <w:bottom w:val="single" w:sz="4" w:space="0" w:color="auto"/>
              <w:right w:val="single" w:sz="4" w:space="0" w:color="auto"/>
            </w:tcBorders>
          </w:tcPr>
          <w:p w14:paraId="741537F0" w14:textId="77777777" w:rsidR="009B1080" w:rsidRPr="00644051" w:rsidRDefault="009B1080" w:rsidP="00D41150">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D0FD7A4" w14:textId="77777777" w:rsidR="009B1080" w:rsidRPr="00771344" w:rsidRDefault="009B1080" w:rsidP="00D41150">
            <w:pPr>
              <w:jc w:val="both"/>
              <w:rPr>
                <w:rFonts w:asciiTheme="majorHAnsi" w:hAnsiTheme="majorHAnsi"/>
                <w:sz w:val="22"/>
                <w:szCs w:val="22"/>
              </w:rPr>
            </w:pPr>
          </w:p>
        </w:tc>
      </w:tr>
      <w:tr w:rsidR="009B1080" w:rsidRPr="00771344" w14:paraId="1F41C0BA" w14:textId="77777777" w:rsidTr="00D41150">
        <w:tc>
          <w:tcPr>
            <w:tcW w:w="4928" w:type="dxa"/>
            <w:tcBorders>
              <w:top w:val="single" w:sz="4" w:space="0" w:color="auto"/>
              <w:left w:val="single" w:sz="4" w:space="0" w:color="auto"/>
              <w:bottom w:val="single" w:sz="4" w:space="0" w:color="auto"/>
              <w:right w:val="single" w:sz="4" w:space="0" w:color="auto"/>
            </w:tcBorders>
          </w:tcPr>
          <w:p w14:paraId="4372B295" w14:textId="77777777" w:rsidR="009B1080" w:rsidRPr="00644051" w:rsidRDefault="009B1080" w:rsidP="00D41150">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239D233" w14:textId="77777777" w:rsidR="009B1080" w:rsidRPr="00771344" w:rsidRDefault="009B1080" w:rsidP="00D41150">
            <w:pPr>
              <w:jc w:val="both"/>
              <w:rPr>
                <w:rFonts w:asciiTheme="majorHAnsi" w:hAnsiTheme="majorHAnsi"/>
                <w:sz w:val="22"/>
                <w:szCs w:val="22"/>
              </w:rPr>
            </w:pPr>
          </w:p>
        </w:tc>
      </w:tr>
      <w:tr w:rsidR="009B1080" w:rsidRPr="00771344" w14:paraId="1411A0C2" w14:textId="77777777" w:rsidTr="00D41150">
        <w:tc>
          <w:tcPr>
            <w:tcW w:w="4928" w:type="dxa"/>
            <w:tcBorders>
              <w:top w:val="single" w:sz="4" w:space="0" w:color="auto"/>
              <w:left w:val="single" w:sz="4" w:space="0" w:color="auto"/>
              <w:bottom w:val="single" w:sz="4" w:space="0" w:color="auto"/>
              <w:right w:val="single" w:sz="4" w:space="0" w:color="auto"/>
            </w:tcBorders>
          </w:tcPr>
          <w:p w14:paraId="388B5D03" w14:textId="77777777" w:rsidR="009B1080" w:rsidRPr="00644051" w:rsidRDefault="009B1080" w:rsidP="00D41150">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57C13D4" w14:textId="77777777" w:rsidR="009B1080" w:rsidRPr="00771344" w:rsidRDefault="009B1080" w:rsidP="00D41150">
            <w:pPr>
              <w:jc w:val="both"/>
              <w:rPr>
                <w:rFonts w:asciiTheme="majorHAnsi" w:hAnsiTheme="majorHAnsi"/>
                <w:sz w:val="22"/>
                <w:szCs w:val="22"/>
              </w:rPr>
            </w:pPr>
          </w:p>
        </w:tc>
      </w:tr>
      <w:tr w:rsidR="009B1080" w:rsidRPr="00771344" w14:paraId="229D69AD" w14:textId="77777777" w:rsidTr="00D41150">
        <w:tc>
          <w:tcPr>
            <w:tcW w:w="4928" w:type="dxa"/>
            <w:tcBorders>
              <w:top w:val="single" w:sz="4" w:space="0" w:color="auto"/>
              <w:left w:val="single" w:sz="4" w:space="0" w:color="auto"/>
              <w:bottom w:val="single" w:sz="4" w:space="0" w:color="auto"/>
              <w:right w:val="single" w:sz="4" w:space="0" w:color="auto"/>
            </w:tcBorders>
          </w:tcPr>
          <w:p w14:paraId="0350E5CE" w14:textId="77777777" w:rsidR="009B1080" w:rsidRPr="00644051" w:rsidRDefault="009B1080" w:rsidP="00D41150">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8CD392" w14:textId="77777777" w:rsidR="009B1080" w:rsidRPr="00771344" w:rsidRDefault="009B1080" w:rsidP="00D41150">
            <w:pPr>
              <w:jc w:val="both"/>
              <w:rPr>
                <w:rFonts w:asciiTheme="majorHAnsi" w:hAnsiTheme="majorHAnsi"/>
                <w:sz w:val="22"/>
                <w:szCs w:val="22"/>
              </w:rPr>
            </w:pPr>
          </w:p>
        </w:tc>
      </w:tr>
      <w:tr w:rsidR="009B1080" w:rsidRPr="00771344" w14:paraId="459C7E84" w14:textId="77777777" w:rsidTr="00D41150">
        <w:tc>
          <w:tcPr>
            <w:tcW w:w="4928" w:type="dxa"/>
            <w:tcBorders>
              <w:top w:val="single" w:sz="4" w:space="0" w:color="auto"/>
              <w:left w:val="single" w:sz="4" w:space="0" w:color="auto"/>
              <w:bottom w:val="single" w:sz="4" w:space="0" w:color="auto"/>
              <w:right w:val="single" w:sz="4" w:space="0" w:color="auto"/>
            </w:tcBorders>
          </w:tcPr>
          <w:p w14:paraId="0BEBCFF7" w14:textId="77777777" w:rsidR="009B1080" w:rsidRPr="00644051" w:rsidRDefault="009B1080" w:rsidP="00D41150">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0960075" w14:textId="77777777" w:rsidR="009B1080" w:rsidRPr="00771344" w:rsidRDefault="009B1080" w:rsidP="00D41150">
            <w:pPr>
              <w:jc w:val="both"/>
              <w:rPr>
                <w:rFonts w:asciiTheme="majorHAnsi" w:hAnsiTheme="majorHAnsi"/>
                <w:sz w:val="22"/>
                <w:szCs w:val="22"/>
              </w:rPr>
            </w:pPr>
          </w:p>
        </w:tc>
      </w:tr>
      <w:tr w:rsidR="009B1080" w:rsidRPr="00771344" w14:paraId="53F41D73" w14:textId="77777777" w:rsidTr="00D41150">
        <w:tc>
          <w:tcPr>
            <w:tcW w:w="4928" w:type="dxa"/>
            <w:tcBorders>
              <w:top w:val="single" w:sz="4" w:space="0" w:color="auto"/>
              <w:left w:val="single" w:sz="4" w:space="0" w:color="auto"/>
              <w:bottom w:val="single" w:sz="4" w:space="0" w:color="auto"/>
              <w:right w:val="single" w:sz="4" w:space="0" w:color="auto"/>
            </w:tcBorders>
          </w:tcPr>
          <w:p w14:paraId="1FAE6B17" w14:textId="77777777" w:rsidR="009B1080" w:rsidRPr="00644051" w:rsidRDefault="009B1080" w:rsidP="00D41150">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14F22BB" w14:textId="77777777" w:rsidR="009B1080" w:rsidRPr="00771344" w:rsidRDefault="009B1080" w:rsidP="00D41150">
            <w:pPr>
              <w:jc w:val="both"/>
              <w:rPr>
                <w:rFonts w:asciiTheme="majorHAnsi" w:hAnsiTheme="majorHAnsi"/>
                <w:sz w:val="22"/>
                <w:szCs w:val="22"/>
              </w:rPr>
            </w:pPr>
          </w:p>
        </w:tc>
      </w:tr>
      <w:tr w:rsidR="009B1080" w:rsidRPr="00771344" w14:paraId="50506C09" w14:textId="77777777" w:rsidTr="00D41150">
        <w:tc>
          <w:tcPr>
            <w:tcW w:w="4928" w:type="dxa"/>
            <w:tcBorders>
              <w:top w:val="single" w:sz="4" w:space="0" w:color="auto"/>
              <w:left w:val="single" w:sz="4" w:space="0" w:color="auto"/>
              <w:bottom w:val="single" w:sz="4" w:space="0" w:color="auto"/>
              <w:right w:val="single" w:sz="4" w:space="0" w:color="auto"/>
            </w:tcBorders>
          </w:tcPr>
          <w:p w14:paraId="571AA37D" w14:textId="77777777" w:rsidR="009B1080" w:rsidRPr="00644051" w:rsidRDefault="009B1080" w:rsidP="00D41150">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3FEC821" w14:textId="77777777" w:rsidR="009B1080" w:rsidRPr="00771344" w:rsidRDefault="009B1080" w:rsidP="00D41150">
            <w:pPr>
              <w:jc w:val="both"/>
              <w:rPr>
                <w:rFonts w:asciiTheme="majorHAnsi" w:hAnsiTheme="majorHAnsi"/>
                <w:sz w:val="22"/>
                <w:szCs w:val="22"/>
              </w:rPr>
            </w:pPr>
          </w:p>
        </w:tc>
      </w:tr>
      <w:tr w:rsidR="009B1080" w:rsidRPr="00771344" w14:paraId="52F889A7" w14:textId="77777777" w:rsidTr="00D41150">
        <w:tc>
          <w:tcPr>
            <w:tcW w:w="4928" w:type="dxa"/>
            <w:tcBorders>
              <w:top w:val="single" w:sz="4" w:space="0" w:color="auto"/>
              <w:left w:val="single" w:sz="4" w:space="0" w:color="auto"/>
              <w:bottom w:val="single" w:sz="4" w:space="0" w:color="auto"/>
              <w:right w:val="single" w:sz="4" w:space="0" w:color="auto"/>
            </w:tcBorders>
          </w:tcPr>
          <w:p w14:paraId="384D6B23" w14:textId="77777777" w:rsidR="009B1080" w:rsidRPr="00644051" w:rsidRDefault="009B1080" w:rsidP="00D41150">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D13FDB4" w14:textId="77777777" w:rsidR="009B1080" w:rsidRPr="00771344" w:rsidRDefault="009B1080" w:rsidP="00D41150">
            <w:pPr>
              <w:jc w:val="both"/>
              <w:rPr>
                <w:rFonts w:asciiTheme="majorHAnsi" w:hAnsiTheme="majorHAnsi"/>
                <w:sz w:val="22"/>
                <w:szCs w:val="22"/>
              </w:rPr>
            </w:pPr>
          </w:p>
        </w:tc>
      </w:tr>
    </w:tbl>
    <w:p w14:paraId="23C5AC67" w14:textId="77777777" w:rsidR="009B1080" w:rsidRPr="00771344" w:rsidRDefault="009B1080" w:rsidP="009B1080">
      <w:pPr>
        <w:jc w:val="both"/>
        <w:rPr>
          <w:rFonts w:asciiTheme="majorHAnsi" w:hAnsiTheme="majorHAnsi"/>
          <w:sz w:val="22"/>
          <w:szCs w:val="22"/>
        </w:rPr>
      </w:pPr>
    </w:p>
    <w:p w14:paraId="7173B1FF" w14:textId="77777777" w:rsidR="009B1080" w:rsidRPr="00771344" w:rsidRDefault="009B1080" w:rsidP="009B1080">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7E8087E2" w14:textId="77777777" w:rsidR="009B1080" w:rsidRPr="00771344" w:rsidRDefault="009B1080" w:rsidP="009B1080">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23E9D9DF" w14:textId="77777777" w:rsidR="009B1080" w:rsidRPr="00771344" w:rsidRDefault="009B1080" w:rsidP="009B1080">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5D5801B9" w14:textId="77777777" w:rsidR="009B1080" w:rsidRPr="00771344" w:rsidRDefault="009B1080" w:rsidP="009B1080">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Pr>
          <w:rFonts w:asciiTheme="majorHAnsi" w:hAnsiTheme="majorHAnsi"/>
          <w:spacing w:val="-4"/>
          <w:sz w:val="22"/>
          <w:szCs w:val="22"/>
        </w:rPr>
        <w:t xml:space="preserve">CVP IS priemonėmis 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1446FB83" w14:textId="77777777" w:rsidR="009B1080" w:rsidRDefault="009B1080" w:rsidP="009B1080">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022B9A40" w14:textId="77777777" w:rsidR="009B1080" w:rsidRDefault="009B1080" w:rsidP="009B1080">
      <w:pPr>
        <w:jc w:val="both"/>
        <w:rPr>
          <w:rFonts w:asciiTheme="majorHAnsi" w:hAnsiTheme="majorHAnsi"/>
          <w:sz w:val="22"/>
          <w:szCs w:val="22"/>
        </w:rPr>
      </w:pPr>
    </w:p>
    <w:p w14:paraId="5DC92B91" w14:textId="77777777" w:rsidR="009B1080" w:rsidRDefault="009B1080" w:rsidP="009B1080">
      <w:pPr>
        <w:jc w:val="both"/>
        <w:rPr>
          <w:rFonts w:asciiTheme="majorHAnsi" w:hAnsiTheme="majorHAnsi"/>
          <w:sz w:val="22"/>
          <w:szCs w:val="22"/>
        </w:rPr>
      </w:pPr>
    </w:p>
    <w:p w14:paraId="09993ADD" w14:textId="77777777" w:rsidR="009B1080" w:rsidRDefault="009B1080" w:rsidP="009B1080">
      <w:pPr>
        <w:jc w:val="both"/>
        <w:rPr>
          <w:rFonts w:asciiTheme="majorHAnsi" w:hAnsiTheme="majorHAnsi"/>
          <w:sz w:val="22"/>
          <w:szCs w:val="22"/>
        </w:rPr>
      </w:pPr>
    </w:p>
    <w:p w14:paraId="38097519" w14:textId="4ECBEFB5" w:rsidR="009B1080" w:rsidRPr="00771344" w:rsidRDefault="009B1080" w:rsidP="009B1080">
      <w:pPr>
        <w:contextualSpacing/>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5DDE0D7B" w14:textId="77777777" w:rsidR="009B1080" w:rsidRPr="00771344" w:rsidRDefault="009B1080" w:rsidP="009B1080">
      <w:pPr>
        <w:ind w:left="1296" w:firstLine="1296"/>
        <w:jc w:val="center"/>
        <w:rPr>
          <w:rFonts w:asciiTheme="majorHAnsi" w:hAnsiTheme="majorHAnsi"/>
          <w:b/>
          <w:sz w:val="22"/>
          <w:szCs w:val="22"/>
        </w:rPr>
      </w:pPr>
      <w:r w:rsidRPr="00771344">
        <w:rPr>
          <w:rFonts w:asciiTheme="majorHAnsi" w:hAnsiTheme="majorHAnsi"/>
          <w:b/>
          <w:sz w:val="22"/>
          <w:szCs w:val="22"/>
        </w:rPr>
        <w:lastRenderedPageBreak/>
        <w:t>SUBTIEKĖJO REKVIZITAI</w:t>
      </w:r>
    </w:p>
    <w:p w14:paraId="2AB819E0" w14:textId="77777777" w:rsidR="009B1080" w:rsidRPr="00771344" w:rsidRDefault="009B1080" w:rsidP="009B1080">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B1080" w:rsidRPr="00771344" w14:paraId="604A6A4E" w14:textId="77777777" w:rsidTr="00D41150">
        <w:tc>
          <w:tcPr>
            <w:tcW w:w="851" w:type="dxa"/>
            <w:tcBorders>
              <w:top w:val="single" w:sz="4" w:space="0" w:color="auto"/>
              <w:left w:val="single" w:sz="4" w:space="0" w:color="auto"/>
              <w:bottom w:val="single" w:sz="4" w:space="0" w:color="auto"/>
              <w:right w:val="single" w:sz="4" w:space="0" w:color="auto"/>
            </w:tcBorders>
          </w:tcPr>
          <w:p w14:paraId="73C57951" w14:textId="77777777" w:rsidR="009B1080" w:rsidRPr="00771344" w:rsidRDefault="009B1080" w:rsidP="00D41150">
            <w:pPr>
              <w:jc w:val="center"/>
              <w:rPr>
                <w:rFonts w:asciiTheme="majorHAnsi" w:hAnsiTheme="majorHAnsi"/>
                <w:b/>
                <w:sz w:val="22"/>
                <w:szCs w:val="22"/>
              </w:rPr>
            </w:pPr>
            <w:r w:rsidRPr="00771344">
              <w:rPr>
                <w:rFonts w:asciiTheme="majorHAnsi" w:hAnsiTheme="majorHAnsi"/>
                <w:b/>
                <w:sz w:val="22"/>
                <w:szCs w:val="22"/>
              </w:rPr>
              <w:t>Eil.</w:t>
            </w:r>
          </w:p>
          <w:p w14:paraId="79CC1B8C" w14:textId="77777777" w:rsidR="009B1080" w:rsidRPr="00771344" w:rsidRDefault="009B1080" w:rsidP="00D41150">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649C545" w14:textId="77777777" w:rsidR="009B1080" w:rsidRPr="00771344" w:rsidRDefault="009B1080" w:rsidP="00D41150">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7721A1D5" w14:textId="77777777" w:rsidR="009B1080" w:rsidRPr="00771344" w:rsidRDefault="009B1080" w:rsidP="00D41150">
            <w:pPr>
              <w:jc w:val="center"/>
              <w:rPr>
                <w:rFonts w:asciiTheme="majorHAnsi" w:hAnsiTheme="majorHAnsi"/>
                <w:b/>
                <w:sz w:val="22"/>
                <w:szCs w:val="22"/>
              </w:rPr>
            </w:pPr>
          </w:p>
        </w:tc>
      </w:tr>
      <w:tr w:rsidR="009B1080" w:rsidRPr="00771344" w14:paraId="308CB6F5" w14:textId="77777777" w:rsidTr="00D41150">
        <w:tc>
          <w:tcPr>
            <w:tcW w:w="851" w:type="dxa"/>
            <w:tcBorders>
              <w:top w:val="single" w:sz="4" w:space="0" w:color="auto"/>
              <w:left w:val="single" w:sz="4" w:space="0" w:color="auto"/>
              <w:bottom w:val="single" w:sz="4" w:space="0" w:color="auto"/>
              <w:right w:val="single" w:sz="4" w:space="0" w:color="auto"/>
            </w:tcBorders>
          </w:tcPr>
          <w:p w14:paraId="21DD0AFA" w14:textId="77777777" w:rsidR="009B1080" w:rsidRPr="00771344" w:rsidRDefault="009B1080" w:rsidP="00D41150">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7FAEE17" w14:textId="77777777" w:rsidR="009B1080" w:rsidRPr="00771344" w:rsidRDefault="009B1080" w:rsidP="00D41150">
            <w:pPr>
              <w:jc w:val="both"/>
              <w:rPr>
                <w:rFonts w:asciiTheme="majorHAnsi" w:hAnsiTheme="majorHAnsi"/>
                <w:sz w:val="22"/>
                <w:szCs w:val="22"/>
              </w:rPr>
            </w:pPr>
          </w:p>
        </w:tc>
      </w:tr>
      <w:tr w:rsidR="009B1080" w:rsidRPr="00771344" w14:paraId="3923182A" w14:textId="77777777" w:rsidTr="00D41150">
        <w:tc>
          <w:tcPr>
            <w:tcW w:w="851" w:type="dxa"/>
            <w:tcBorders>
              <w:top w:val="single" w:sz="4" w:space="0" w:color="auto"/>
              <w:left w:val="single" w:sz="4" w:space="0" w:color="auto"/>
              <w:bottom w:val="single" w:sz="4" w:space="0" w:color="auto"/>
              <w:right w:val="single" w:sz="4" w:space="0" w:color="auto"/>
            </w:tcBorders>
          </w:tcPr>
          <w:p w14:paraId="21539D3D" w14:textId="77777777" w:rsidR="009B1080" w:rsidRPr="00771344" w:rsidRDefault="009B1080" w:rsidP="00D41150">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FC3E489" w14:textId="77777777" w:rsidR="009B1080" w:rsidRPr="00771344" w:rsidRDefault="009B1080" w:rsidP="00D41150">
            <w:pPr>
              <w:jc w:val="both"/>
              <w:rPr>
                <w:rFonts w:asciiTheme="majorHAnsi" w:hAnsiTheme="majorHAnsi"/>
                <w:sz w:val="22"/>
                <w:szCs w:val="22"/>
              </w:rPr>
            </w:pPr>
          </w:p>
        </w:tc>
      </w:tr>
      <w:tr w:rsidR="009B1080" w:rsidRPr="00771344" w14:paraId="652C07F5" w14:textId="77777777" w:rsidTr="00D41150">
        <w:tc>
          <w:tcPr>
            <w:tcW w:w="851" w:type="dxa"/>
            <w:tcBorders>
              <w:top w:val="single" w:sz="4" w:space="0" w:color="auto"/>
              <w:left w:val="single" w:sz="4" w:space="0" w:color="auto"/>
              <w:bottom w:val="single" w:sz="4" w:space="0" w:color="auto"/>
              <w:right w:val="single" w:sz="4" w:space="0" w:color="auto"/>
            </w:tcBorders>
          </w:tcPr>
          <w:p w14:paraId="1262C62C" w14:textId="77777777" w:rsidR="009B1080" w:rsidRPr="00771344" w:rsidRDefault="009B1080" w:rsidP="00D41150">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2594153" w14:textId="77777777" w:rsidR="009B1080" w:rsidRPr="00771344" w:rsidRDefault="009B1080" w:rsidP="00D41150">
            <w:pPr>
              <w:jc w:val="both"/>
              <w:rPr>
                <w:rFonts w:asciiTheme="majorHAnsi" w:hAnsiTheme="majorHAnsi"/>
                <w:sz w:val="22"/>
                <w:szCs w:val="22"/>
              </w:rPr>
            </w:pPr>
          </w:p>
        </w:tc>
      </w:tr>
    </w:tbl>
    <w:p w14:paraId="653A371D" w14:textId="77777777" w:rsidR="009B1080" w:rsidRPr="00771344" w:rsidRDefault="009B1080" w:rsidP="009B1080">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05615012" w14:textId="77777777" w:rsidR="009B1080" w:rsidRPr="00771344" w:rsidRDefault="009B1080" w:rsidP="009B1080">
      <w:pPr>
        <w:pStyle w:val="Header"/>
        <w:widowControl/>
        <w:tabs>
          <w:tab w:val="clear" w:pos="4153"/>
          <w:tab w:val="clear" w:pos="8306"/>
        </w:tabs>
        <w:spacing w:after="0"/>
        <w:jc w:val="left"/>
        <w:rPr>
          <w:rFonts w:asciiTheme="majorHAnsi" w:hAnsiTheme="majorHAnsi"/>
          <w:i/>
          <w:spacing w:val="-4"/>
          <w:sz w:val="22"/>
          <w:szCs w:val="22"/>
        </w:rPr>
      </w:pPr>
    </w:p>
    <w:p w14:paraId="014971AC" w14:textId="77777777" w:rsidR="009B1080" w:rsidRPr="00771344" w:rsidRDefault="009B1080" w:rsidP="009B1080">
      <w:pPr>
        <w:pStyle w:val="Header"/>
        <w:widowControl/>
        <w:tabs>
          <w:tab w:val="clear" w:pos="4153"/>
          <w:tab w:val="clear" w:pos="8306"/>
        </w:tabs>
        <w:spacing w:after="0"/>
        <w:jc w:val="left"/>
        <w:rPr>
          <w:rFonts w:asciiTheme="majorHAnsi" w:hAnsiTheme="majorHAnsi"/>
          <w:sz w:val="22"/>
          <w:szCs w:val="22"/>
        </w:rPr>
      </w:pPr>
    </w:p>
    <w:p w14:paraId="799A909F" w14:textId="77777777" w:rsidR="009B1080" w:rsidRPr="00771344" w:rsidRDefault="009B1080" w:rsidP="009B1080">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3 lentelė</w:t>
      </w:r>
    </w:p>
    <w:p w14:paraId="39AB2C5C" w14:textId="77777777" w:rsidR="009B1080" w:rsidRPr="00644051" w:rsidRDefault="009B1080" w:rsidP="009B1080">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76D18987" w14:textId="77777777" w:rsidR="009B1080" w:rsidRPr="00644051" w:rsidRDefault="009B1080" w:rsidP="009B1080">
      <w:pPr>
        <w:pStyle w:val="Header"/>
        <w:widowControl/>
        <w:tabs>
          <w:tab w:val="clear" w:pos="4153"/>
          <w:tab w:val="clear" w:pos="8306"/>
        </w:tabs>
        <w:spacing w:after="0"/>
        <w:jc w:val="center"/>
        <w:rPr>
          <w:rFonts w:asciiTheme="majorHAnsi" w:hAnsiTheme="majorHAnsi"/>
          <w:b/>
          <w:sz w:val="22"/>
          <w:szCs w:val="22"/>
          <w:lang w:eastAsia="en-US"/>
        </w:rPr>
      </w:pPr>
    </w:p>
    <w:p w14:paraId="5F960484" w14:textId="77777777" w:rsidR="009B1080" w:rsidRPr="00644051" w:rsidRDefault="009B1080" w:rsidP="009B1080">
      <w:pPr>
        <w:ind w:left="720"/>
        <w:jc w:val="both"/>
        <w:rPr>
          <w:rFonts w:asciiTheme="majorHAnsi" w:hAnsiTheme="majorHAnsi"/>
          <w:b/>
          <w:sz w:val="22"/>
          <w:szCs w:val="22"/>
        </w:rPr>
      </w:pPr>
      <w:r w:rsidRPr="00644051">
        <w:rPr>
          <w:rFonts w:asciiTheme="majorHAnsi" w:hAnsiTheme="majorHAnsi"/>
          <w:b/>
          <w:sz w:val="22"/>
          <w:szCs w:val="22"/>
        </w:rPr>
        <w:t>Pildoma lentelė „Prekių žiniaraštis“ (pirkimo sąlygų 6 priedas).</w:t>
      </w:r>
    </w:p>
    <w:p w14:paraId="19381B31" w14:textId="77777777" w:rsidR="009B1080" w:rsidRPr="00644051" w:rsidRDefault="009B1080" w:rsidP="009B1080">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r w:rsidRPr="00644051">
        <w:rPr>
          <w:rFonts w:asciiTheme="majorHAnsi" w:hAnsiTheme="majorHAnsi"/>
          <w:color w:val="FF0000"/>
          <w:sz w:val="22"/>
          <w:szCs w:val="22"/>
        </w:rPr>
        <w:tab/>
      </w:r>
    </w:p>
    <w:p w14:paraId="1877D51C" w14:textId="77777777" w:rsidR="009B1080" w:rsidRPr="00771344" w:rsidRDefault="009B1080" w:rsidP="009B1080">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48375063" w14:textId="77777777" w:rsidR="009B1080" w:rsidRPr="00771344" w:rsidRDefault="009B1080" w:rsidP="009B1080">
      <w:pPr>
        <w:ind w:left="7776"/>
        <w:jc w:val="both"/>
        <w:rPr>
          <w:rFonts w:asciiTheme="majorHAnsi" w:hAnsiTheme="majorHAnsi"/>
          <w:sz w:val="22"/>
          <w:szCs w:val="22"/>
        </w:rPr>
      </w:pPr>
      <w:r w:rsidRPr="00771344">
        <w:rPr>
          <w:rFonts w:asciiTheme="majorHAnsi" w:hAnsiTheme="majorHAnsi"/>
          <w:sz w:val="22"/>
          <w:szCs w:val="22"/>
        </w:rPr>
        <w:t xml:space="preserve">                  4 lentelė</w:t>
      </w:r>
    </w:p>
    <w:p w14:paraId="0D13CF2B" w14:textId="77777777" w:rsidR="009B1080" w:rsidRPr="00644051" w:rsidRDefault="009B1080" w:rsidP="009B1080">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9B1080" w:rsidRPr="00644051" w14:paraId="5C3C0306" w14:textId="77777777" w:rsidTr="00D41150">
        <w:tc>
          <w:tcPr>
            <w:tcW w:w="679" w:type="dxa"/>
            <w:tcBorders>
              <w:top w:val="single" w:sz="4" w:space="0" w:color="auto"/>
              <w:left w:val="single" w:sz="4" w:space="0" w:color="auto"/>
              <w:bottom w:val="single" w:sz="4" w:space="0" w:color="auto"/>
              <w:right w:val="single" w:sz="4" w:space="0" w:color="auto"/>
            </w:tcBorders>
          </w:tcPr>
          <w:p w14:paraId="4BFF58FF" w14:textId="77777777" w:rsidR="009B1080" w:rsidRPr="00644051" w:rsidRDefault="009B1080" w:rsidP="00D41150">
            <w:pPr>
              <w:jc w:val="center"/>
              <w:rPr>
                <w:rFonts w:ascii="Cambria" w:hAnsi="Cambria"/>
                <w:sz w:val="22"/>
                <w:szCs w:val="22"/>
              </w:rPr>
            </w:pPr>
            <w:r w:rsidRPr="00644051">
              <w:rPr>
                <w:rFonts w:ascii="Cambria" w:hAnsi="Cambria"/>
                <w:sz w:val="22"/>
                <w:szCs w:val="22"/>
              </w:rPr>
              <w:t>Eil.</w:t>
            </w:r>
          </w:p>
          <w:p w14:paraId="1E060734" w14:textId="77777777" w:rsidR="009B1080" w:rsidRPr="00644051" w:rsidRDefault="009B1080" w:rsidP="00D41150">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684F2430" w14:textId="77777777" w:rsidR="009B1080" w:rsidRPr="00644051" w:rsidRDefault="009B1080" w:rsidP="00D41150">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3F2C3E86" w14:textId="77777777" w:rsidR="009B1080" w:rsidRPr="00644051" w:rsidRDefault="009B1080" w:rsidP="00D41150">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F67628A" w14:textId="77777777" w:rsidR="009B1080" w:rsidRPr="00644051" w:rsidRDefault="009B1080" w:rsidP="00D41150">
            <w:pPr>
              <w:jc w:val="center"/>
              <w:rPr>
                <w:rFonts w:ascii="Cambria" w:hAnsi="Cambria"/>
                <w:sz w:val="22"/>
                <w:szCs w:val="22"/>
              </w:rPr>
            </w:pPr>
            <w:r w:rsidRPr="00644051">
              <w:rPr>
                <w:rFonts w:ascii="Cambria" w:hAnsi="Cambria"/>
                <w:sz w:val="22"/>
                <w:szCs w:val="22"/>
              </w:rPr>
              <w:t>Failo, kuriame yra dokumentas, pavadinimas</w:t>
            </w:r>
          </w:p>
        </w:tc>
      </w:tr>
      <w:tr w:rsidR="009B1080" w:rsidRPr="00644051" w14:paraId="6D41341B" w14:textId="77777777" w:rsidTr="00D41150">
        <w:trPr>
          <w:trHeight w:val="289"/>
        </w:trPr>
        <w:tc>
          <w:tcPr>
            <w:tcW w:w="679" w:type="dxa"/>
            <w:tcBorders>
              <w:top w:val="single" w:sz="4" w:space="0" w:color="auto"/>
              <w:left w:val="single" w:sz="4" w:space="0" w:color="auto"/>
              <w:bottom w:val="single" w:sz="4" w:space="0" w:color="auto"/>
              <w:right w:val="single" w:sz="4" w:space="0" w:color="auto"/>
            </w:tcBorders>
          </w:tcPr>
          <w:p w14:paraId="054CF48B" w14:textId="77777777" w:rsidR="009B1080" w:rsidRPr="00644051" w:rsidRDefault="009B1080" w:rsidP="00D41150">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44E3988" w14:textId="77777777" w:rsidR="009B1080" w:rsidRPr="00644051" w:rsidRDefault="009B1080" w:rsidP="00D41150">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780209B8" w14:textId="77777777" w:rsidR="009B1080" w:rsidRPr="00644051" w:rsidRDefault="009B1080" w:rsidP="00D41150">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013BC6AB" w14:textId="77777777" w:rsidR="009B1080" w:rsidRPr="00644051" w:rsidRDefault="009B1080" w:rsidP="00D41150">
            <w:pPr>
              <w:jc w:val="both"/>
              <w:rPr>
                <w:rFonts w:ascii="Cambria" w:hAnsi="Cambria"/>
                <w:sz w:val="22"/>
                <w:szCs w:val="22"/>
              </w:rPr>
            </w:pPr>
          </w:p>
        </w:tc>
      </w:tr>
      <w:tr w:rsidR="009B1080" w:rsidRPr="00644051" w14:paraId="6037A99B" w14:textId="77777777" w:rsidTr="00D41150">
        <w:trPr>
          <w:trHeight w:val="290"/>
        </w:trPr>
        <w:tc>
          <w:tcPr>
            <w:tcW w:w="679" w:type="dxa"/>
            <w:tcBorders>
              <w:top w:val="single" w:sz="4" w:space="0" w:color="auto"/>
              <w:left w:val="single" w:sz="4" w:space="0" w:color="auto"/>
              <w:bottom w:val="single" w:sz="4" w:space="0" w:color="auto"/>
              <w:right w:val="single" w:sz="4" w:space="0" w:color="auto"/>
            </w:tcBorders>
          </w:tcPr>
          <w:p w14:paraId="7978F388" w14:textId="77777777" w:rsidR="009B1080" w:rsidRPr="00644051" w:rsidRDefault="009B1080" w:rsidP="00D41150">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0239A39" w14:textId="77777777" w:rsidR="009B1080" w:rsidRPr="00644051" w:rsidRDefault="009B1080" w:rsidP="00D41150">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0E0533F" w14:textId="77777777" w:rsidR="009B1080" w:rsidRPr="00644051" w:rsidRDefault="009B1080" w:rsidP="00D41150">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8E69039" w14:textId="77777777" w:rsidR="009B1080" w:rsidRPr="00644051" w:rsidRDefault="009B1080" w:rsidP="00D41150">
            <w:pPr>
              <w:jc w:val="both"/>
              <w:rPr>
                <w:rFonts w:ascii="Cambria" w:hAnsi="Cambria"/>
                <w:sz w:val="22"/>
                <w:szCs w:val="22"/>
              </w:rPr>
            </w:pPr>
          </w:p>
        </w:tc>
      </w:tr>
      <w:tr w:rsidR="009B1080" w:rsidRPr="00771344" w14:paraId="276092E3" w14:textId="77777777" w:rsidTr="00D41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2728369" w14:textId="77777777" w:rsidR="009B1080" w:rsidRPr="00771344" w:rsidRDefault="009B1080" w:rsidP="00D41150">
            <w:pPr>
              <w:rPr>
                <w:rFonts w:asciiTheme="majorHAnsi" w:hAnsiTheme="majorHAnsi"/>
                <w:sz w:val="22"/>
                <w:szCs w:val="22"/>
              </w:rPr>
            </w:pPr>
          </w:p>
        </w:tc>
        <w:tc>
          <w:tcPr>
            <w:tcW w:w="9271" w:type="dxa"/>
            <w:gridSpan w:val="3"/>
            <w:tcBorders>
              <w:top w:val="single" w:sz="4" w:space="0" w:color="auto"/>
            </w:tcBorders>
          </w:tcPr>
          <w:p w14:paraId="0E2846C3" w14:textId="77777777" w:rsidR="009B1080" w:rsidRPr="00771344" w:rsidRDefault="009B1080" w:rsidP="00D41150">
            <w:pPr>
              <w:ind w:firstLine="720"/>
              <w:jc w:val="both"/>
              <w:rPr>
                <w:rFonts w:asciiTheme="majorHAnsi" w:hAnsiTheme="majorHAnsi"/>
                <w:sz w:val="22"/>
                <w:szCs w:val="22"/>
              </w:rPr>
            </w:pPr>
          </w:p>
          <w:p w14:paraId="3A2F64BB" w14:textId="77777777" w:rsidR="009B1080" w:rsidRPr="00771344" w:rsidRDefault="009B1080" w:rsidP="00D41150">
            <w:pPr>
              <w:ind w:firstLine="720"/>
              <w:jc w:val="both"/>
              <w:rPr>
                <w:rFonts w:asciiTheme="majorHAnsi" w:hAnsiTheme="majorHAnsi"/>
                <w:sz w:val="22"/>
                <w:szCs w:val="22"/>
              </w:rPr>
            </w:pPr>
          </w:p>
          <w:p w14:paraId="4738351F" w14:textId="77777777" w:rsidR="009B1080" w:rsidRPr="00771344" w:rsidRDefault="009B1080" w:rsidP="00D41150">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525AC246" w14:textId="77777777" w:rsidR="009B1080" w:rsidRPr="00771344" w:rsidRDefault="009B1080" w:rsidP="00D41150">
            <w:pPr>
              <w:ind w:firstLine="720"/>
              <w:jc w:val="both"/>
              <w:rPr>
                <w:rFonts w:asciiTheme="majorHAnsi" w:hAnsiTheme="majorHAnsi"/>
                <w:sz w:val="22"/>
                <w:szCs w:val="22"/>
              </w:rPr>
            </w:pPr>
          </w:p>
          <w:p w14:paraId="7EDBD35D" w14:textId="77777777" w:rsidR="009B1080" w:rsidRPr="00771344" w:rsidRDefault="009B1080" w:rsidP="00D41150">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248921E" w14:textId="77777777" w:rsidR="009B1080" w:rsidRPr="00771344" w:rsidRDefault="009B1080" w:rsidP="00D41150">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451A6223" w14:textId="77777777" w:rsidR="009B1080" w:rsidRPr="00771344" w:rsidRDefault="009B1080" w:rsidP="00D41150">
            <w:pPr>
              <w:pBdr>
                <w:bottom w:val="single" w:sz="4" w:space="1" w:color="auto"/>
              </w:pBdr>
              <w:ind w:firstLine="440"/>
              <w:rPr>
                <w:rFonts w:asciiTheme="majorHAnsi" w:hAnsiTheme="majorHAnsi"/>
                <w:sz w:val="22"/>
                <w:szCs w:val="22"/>
                <w:u w:val="single"/>
              </w:rPr>
            </w:pPr>
          </w:p>
          <w:p w14:paraId="2033BF5E" w14:textId="77777777" w:rsidR="009B1080" w:rsidRPr="00771344" w:rsidRDefault="009B1080" w:rsidP="00D41150">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7C414D24" w14:textId="77777777" w:rsidR="009B1080" w:rsidRPr="00771344" w:rsidRDefault="009B1080" w:rsidP="00D41150">
            <w:pPr>
              <w:ind w:firstLine="851"/>
              <w:jc w:val="both"/>
              <w:rPr>
                <w:rFonts w:asciiTheme="majorHAnsi" w:hAnsiTheme="majorHAnsi"/>
                <w:sz w:val="22"/>
                <w:szCs w:val="22"/>
              </w:rPr>
            </w:pPr>
          </w:p>
          <w:p w14:paraId="70394FAB" w14:textId="77777777" w:rsidR="009B1080" w:rsidRPr="00771344" w:rsidRDefault="009B1080" w:rsidP="00D41150">
            <w:pPr>
              <w:ind w:firstLine="851"/>
              <w:jc w:val="both"/>
              <w:rPr>
                <w:rFonts w:asciiTheme="majorHAnsi" w:hAnsiTheme="majorHAnsi"/>
                <w:sz w:val="22"/>
                <w:szCs w:val="22"/>
              </w:rPr>
            </w:pPr>
          </w:p>
          <w:p w14:paraId="61B23B0B" w14:textId="77777777" w:rsidR="009B1080" w:rsidRPr="00771344" w:rsidRDefault="009B1080" w:rsidP="00D41150">
            <w:pPr>
              <w:ind w:firstLine="851"/>
              <w:jc w:val="both"/>
              <w:rPr>
                <w:rFonts w:asciiTheme="majorHAnsi" w:hAnsiTheme="majorHAnsi"/>
                <w:sz w:val="22"/>
                <w:szCs w:val="22"/>
              </w:rPr>
            </w:pPr>
          </w:p>
          <w:p w14:paraId="0D9012CE" w14:textId="77777777" w:rsidR="009B1080" w:rsidRPr="00771344" w:rsidRDefault="009B1080" w:rsidP="00D41150">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9B1080" w:rsidRPr="00771344" w14:paraId="50156A9D" w14:textId="77777777" w:rsidTr="00D41150">
              <w:trPr>
                <w:trHeight w:val="186"/>
              </w:trPr>
              <w:tc>
                <w:tcPr>
                  <w:tcW w:w="3570" w:type="dxa"/>
                  <w:tcBorders>
                    <w:top w:val="single" w:sz="4" w:space="0" w:color="auto"/>
                    <w:left w:val="nil"/>
                    <w:bottom w:val="nil"/>
                    <w:right w:val="nil"/>
                  </w:tcBorders>
                </w:tcPr>
                <w:p w14:paraId="6B2E1B56" w14:textId="77777777" w:rsidR="009B1080" w:rsidRPr="00771344" w:rsidRDefault="009B1080" w:rsidP="00D41150">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2DB9C6A" w14:textId="77777777" w:rsidR="009B1080" w:rsidRPr="00771344" w:rsidRDefault="009B1080" w:rsidP="00D41150">
                  <w:pPr>
                    <w:rPr>
                      <w:rFonts w:asciiTheme="majorHAnsi" w:hAnsiTheme="majorHAnsi"/>
                      <w:sz w:val="22"/>
                      <w:szCs w:val="22"/>
                    </w:rPr>
                  </w:pPr>
                </w:p>
              </w:tc>
              <w:tc>
                <w:tcPr>
                  <w:tcW w:w="2153" w:type="dxa"/>
                  <w:tcBorders>
                    <w:top w:val="single" w:sz="4" w:space="0" w:color="auto"/>
                    <w:left w:val="nil"/>
                    <w:bottom w:val="nil"/>
                    <w:right w:val="nil"/>
                  </w:tcBorders>
                </w:tcPr>
                <w:p w14:paraId="1E0C772F" w14:textId="77777777" w:rsidR="009B1080" w:rsidRPr="00771344" w:rsidRDefault="009B1080" w:rsidP="00D41150">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5F451665" w14:textId="77777777" w:rsidR="009B1080" w:rsidRPr="00771344" w:rsidRDefault="009B1080" w:rsidP="00D41150">
                  <w:pPr>
                    <w:rPr>
                      <w:rFonts w:asciiTheme="majorHAnsi" w:hAnsiTheme="majorHAnsi"/>
                      <w:sz w:val="22"/>
                      <w:szCs w:val="22"/>
                    </w:rPr>
                  </w:pPr>
                </w:p>
              </w:tc>
              <w:tc>
                <w:tcPr>
                  <w:tcW w:w="2686" w:type="dxa"/>
                  <w:tcBorders>
                    <w:top w:val="single" w:sz="4" w:space="0" w:color="auto"/>
                    <w:left w:val="nil"/>
                    <w:bottom w:val="nil"/>
                    <w:right w:val="nil"/>
                  </w:tcBorders>
                </w:tcPr>
                <w:p w14:paraId="7879161A" w14:textId="77777777" w:rsidR="009B1080" w:rsidRPr="00771344" w:rsidRDefault="009B1080" w:rsidP="00D41150">
                  <w:pPr>
                    <w:rPr>
                      <w:rFonts w:asciiTheme="majorHAnsi" w:hAnsiTheme="majorHAnsi"/>
                      <w:sz w:val="22"/>
                      <w:szCs w:val="22"/>
                    </w:rPr>
                  </w:pPr>
                  <w:r w:rsidRPr="00771344">
                    <w:rPr>
                      <w:rFonts w:asciiTheme="majorHAnsi" w:hAnsiTheme="majorHAnsi"/>
                      <w:sz w:val="22"/>
                      <w:szCs w:val="22"/>
                    </w:rPr>
                    <w:t xml:space="preserve">(Vardas ir pavardė) </w:t>
                  </w:r>
                </w:p>
                <w:p w14:paraId="5851D57C" w14:textId="77777777" w:rsidR="009B1080" w:rsidRPr="00771344" w:rsidRDefault="009B1080" w:rsidP="00D41150">
                  <w:pPr>
                    <w:rPr>
                      <w:rFonts w:asciiTheme="majorHAnsi" w:hAnsiTheme="majorHAnsi"/>
                      <w:sz w:val="22"/>
                      <w:szCs w:val="22"/>
                    </w:rPr>
                  </w:pPr>
                </w:p>
                <w:p w14:paraId="5677E191" w14:textId="77777777" w:rsidR="009B1080" w:rsidRPr="00771344" w:rsidRDefault="009B1080" w:rsidP="00D41150">
                  <w:pPr>
                    <w:rPr>
                      <w:rFonts w:asciiTheme="majorHAnsi" w:hAnsiTheme="majorHAnsi"/>
                      <w:sz w:val="22"/>
                      <w:szCs w:val="22"/>
                    </w:rPr>
                  </w:pPr>
                </w:p>
              </w:tc>
            </w:tr>
          </w:tbl>
          <w:p w14:paraId="60A7FB4D" w14:textId="77777777" w:rsidR="009B1080" w:rsidRPr="00771344" w:rsidRDefault="009B1080" w:rsidP="00D41150">
            <w:pPr>
              <w:ind w:firstLine="720"/>
              <w:jc w:val="both"/>
              <w:rPr>
                <w:rFonts w:asciiTheme="majorHAnsi" w:hAnsiTheme="majorHAnsi"/>
                <w:sz w:val="22"/>
                <w:szCs w:val="22"/>
              </w:rPr>
            </w:pPr>
          </w:p>
        </w:tc>
      </w:tr>
    </w:tbl>
    <w:p w14:paraId="0D45C695" w14:textId="77777777" w:rsidR="009B1080" w:rsidRPr="00771344" w:rsidRDefault="009B1080"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387548" w:rsidRPr="00771344" w:rsidRDefault="00387548"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2DFCAD09" w14:textId="657429D6" w:rsidR="00333CB0" w:rsidRDefault="009B1080" w:rsidP="009B1080">
            <w:pPr>
              <w:ind w:left="709"/>
              <w:jc w:val="right"/>
              <w:rPr>
                <w:rFonts w:asciiTheme="majorHAnsi" w:hAnsiTheme="majorHAnsi"/>
                <w:sz w:val="22"/>
                <w:szCs w:val="22"/>
              </w:rPr>
            </w:pPr>
            <w:r>
              <w:rPr>
                <w:rFonts w:asciiTheme="majorHAnsi" w:hAnsiTheme="majorHAnsi"/>
                <w:sz w:val="22"/>
                <w:szCs w:val="22"/>
              </w:rPr>
              <w:t>2 lentelė</w:t>
            </w:r>
          </w:p>
          <w:p w14:paraId="649C257A" w14:textId="77777777" w:rsidR="00387548" w:rsidRPr="00771344" w:rsidRDefault="00387548" w:rsidP="00333CB0">
            <w:pPr>
              <w:ind w:left="709"/>
              <w:rPr>
                <w:rFonts w:asciiTheme="majorHAnsi" w:hAnsiTheme="majorHAnsi"/>
                <w:sz w:val="22"/>
                <w:szCs w:val="22"/>
              </w:rPr>
            </w:pPr>
          </w:p>
        </w:tc>
      </w:tr>
      <w:tr w:rsidR="009B1080" w:rsidRPr="00771344" w14:paraId="4B919E37" w14:textId="77777777" w:rsidTr="0003176D">
        <w:tc>
          <w:tcPr>
            <w:tcW w:w="2654" w:type="dxa"/>
          </w:tcPr>
          <w:p w14:paraId="67F20AB5" w14:textId="77777777" w:rsidR="009B1080" w:rsidRDefault="009B1080" w:rsidP="00333CB0">
            <w:pPr>
              <w:ind w:left="709"/>
              <w:rPr>
                <w:rFonts w:asciiTheme="majorHAnsi" w:hAnsiTheme="majorHAnsi"/>
                <w:sz w:val="22"/>
                <w:szCs w:val="22"/>
              </w:rPr>
            </w:pPr>
          </w:p>
        </w:tc>
      </w:tr>
    </w:tbl>
    <w:p w14:paraId="47278026" w14:textId="4C493C0F" w:rsidR="00623B65" w:rsidRPr="004908E1" w:rsidRDefault="00623B65" w:rsidP="009B1080">
      <w:pPr>
        <w:ind w:left="1296" w:right="-178" w:hanging="1296"/>
        <w:jc w:val="center"/>
        <w:rPr>
          <w:sz w:val="22"/>
          <w:szCs w:val="22"/>
        </w:rPr>
      </w:pPr>
    </w:p>
    <w:sectPr w:rsidR="00623B65" w:rsidRPr="004908E1" w:rsidSect="00794207">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ECEDF" w14:textId="77777777" w:rsidR="00275ADB" w:rsidRDefault="00275ADB" w:rsidP="00B90A76">
      <w:r>
        <w:separator/>
      </w:r>
    </w:p>
  </w:endnote>
  <w:endnote w:type="continuationSeparator" w:id="0">
    <w:p w14:paraId="7D7D10F4" w14:textId="77777777" w:rsidR="00275ADB" w:rsidRDefault="00275AD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D41150" w:rsidRDefault="00D41150">
    <w:pPr>
      <w:pStyle w:val="Footer"/>
      <w:jc w:val="right"/>
    </w:pPr>
    <w:r>
      <w:t>Sk-1 tipinė forma</w:t>
    </w:r>
  </w:p>
  <w:p w14:paraId="37A43F3C" w14:textId="77777777" w:rsidR="00D41150" w:rsidRDefault="00D411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57B9" w14:textId="77777777" w:rsidR="00275ADB" w:rsidRDefault="00275ADB" w:rsidP="00B90A76">
      <w:r>
        <w:separator/>
      </w:r>
    </w:p>
  </w:footnote>
  <w:footnote w:type="continuationSeparator" w:id="0">
    <w:p w14:paraId="50458D1A" w14:textId="77777777" w:rsidR="00275ADB" w:rsidRDefault="00275ADB" w:rsidP="00B90A76">
      <w:r>
        <w:continuationSeparator/>
      </w:r>
    </w:p>
  </w:footnote>
  <w:footnote w:id="1">
    <w:p w14:paraId="74858961" w14:textId="77777777" w:rsidR="00D41150" w:rsidRPr="00BA5459" w:rsidRDefault="00D41150"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D41150" w:rsidRPr="00BA5459" w:rsidRDefault="00D41150"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D41150" w:rsidRPr="00BA5459" w:rsidRDefault="00D41150"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D41150" w:rsidRDefault="00D41150" w:rsidP="00816BB2">
      <w:pPr>
        <w:pStyle w:val="FootnoteText"/>
      </w:pPr>
    </w:p>
  </w:footnote>
  <w:footnote w:id="2">
    <w:p w14:paraId="3AFD3B60" w14:textId="77777777" w:rsidR="00D41150" w:rsidRPr="00344E3D" w:rsidRDefault="00D41150"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D41150" w:rsidRPr="00344E3D" w:rsidRDefault="00D41150"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D41150" w:rsidRPr="00344E3D" w:rsidRDefault="00D41150"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D41150" w:rsidRDefault="00D41150" w:rsidP="00816BB2">
      <w:pPr>
        <w:pStyle w:val="FootnoteText"/>
      </w:pPr>
    </w:p>
  </w:footnote>
  <w:footnote w:id="3">
    <w:p w14:paraId="297B25AE" w14:textId="77777777" w:rsidR="00D41150" w:rsidRPr="00D76940" w:rsidRDefault="00D41150"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D41150" w:rsidRPr="00D76940" w:rsidRDefault="00D41150"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D41150" w:rsidRPr="00D76940" w:rsidRDefault="00D41150"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D41150" w:rsidRDefault="00D41150"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D41150" w:rsidRDefault="00D4115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D41150" w:rsidRDefault="00D41150">
    <w:pPr>
      <w:pStyle w:val="Header"/>
    </w:pPr>
  </w:p>
  <w:p w14:paraId="626D9BE7" w14:textId="77777777" w:rsidR="00D41150" w:rsidRDefault="00D41150"/>
  <w:p w14:paraId="2202CD5A" w14:textId="77777777" w:rsidR="00D41150" w:rsidRDefault="00D411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358"/>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8DE"/>
    <w:rsid w:val="000F0FBF"/>
    <w:rsid w:val="000F1273"/>
    <w:rsid w:val="000F17F1"/>
    <w:rsid w:val="000F7079"/>
    <w:rsid w:val="00101F70"/>
    <w:rsid w:val="00106E11"/>
    <w:rsid w:val="001071CD"/>
    <w:rsid w:val="001120F6"/>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136FB"/>
    <w:rsid w:val="002154CC"/>
    <w:rsid w:val="0021596F"/>
    <w:rsid w:val="00215BB7"/>
    <w:rsid w:val="00220139"/>
    <w:rsid w:val="002228C4"/>
    <w:rsid w:val="002257E7"/>
    <w:rsid w:val="00226043"/>
    <w:rsid w:val="00233B2F"/>
    <w:rsid w:val="00234590"/>
    <w:rsid w:val="002370D5"/>
    <w:rsid w:val="0024091D"/>
    <w:rsid w:val="0024224D"/>
    <w:rsid w:val="00242D7F"/>
    <w:rsid w:val="0024634D"/>
    <w:rsid w:val="00246696"/>
    <w:rsid w:val="00251099"/>
    <w:rsid w:val="00252814"/>
    <w:rsid w:val="00252F4A"/>
    <w:rsid w:val="0026211E"/>
    <w:rsid w:val="00262D5F"/>
    <w:rsid w:val="0027281D"/>
    <w:rsid w:val="0027558F"/>
    <w:rsid w:val="00275ADB"/>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87548"/>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1682"/>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5A74"/>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13F"/>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4A6F"/>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210"/>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C7D4A"/>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06E5"/>
    <w:rsid w:val="0075108D"/>
    <w:rsid w:val="00752256"/>
    <w:rsid w:val="00754CE3"/>
    <w:rsid w:val="00756727"/>
    <w:rsid w:val="00756A9B"/>
    <w:rsid w:val="007579A6"/>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4207"/>
    <w:rsid w:val="0079655B"/>
    <w:rsid w:val="007A1FBD"/>
    <w:rsid w:val="007A3071"/>
    <w:rsid w:val="007A47C6"/>
    <w:rsid w:val="007B0BBF"/>
    <w:rsid w:val="007B44E7"/>
    <w:rsid w:val="007B4C0D"/>
    <w:rsid w:val="007B7F58"/>
    <w:rsid w:val="007C2A50"/>
    <w:rsid w:val="007D21AD"/>
    <w:rsid w:val="007D2866"/>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2DA"/>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68CF"/>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279BF"/>
    <w:rsid w:val="009321B0"/>
    <w:rsid w:val="00935F71"/>
    <w:rsid w:val="00936A6B"/>
    <w:rsid w:val="0094173E"/>
    <w:rsid w:val="00942979"/>
    <w:rsid w:val="00942A07"/>
    <w:rsid w:val="00942CD4"/>
    <w:rsid w:val="009436CF"/>
    <w:rsid w:val="009444E7"/>
    <w:rsid w:val="0094725F"/>
    <w:rsid w:val="0094756F"/>
    <w:rsid w:val="00952842"/>
    <w:rsid w:val="00954A02"/>
    <w:rsid w:val="00964C38"/>
    <w:rsid w:val="00971992"/>
    <w:rsid w:val="00973BBA"/>
    <w:rsid w:val="009745A9"/>
    <w:rsid w:val="009746B1"/>
    <w:rsid w:val="009801C8"/>
    <w:rsid w:val="00981AD9"/>
    <w:rsid w:val="00984FAD"/>
    <w:rsid w:val="009854DD"/>
    <w:rsid w:val="00986500"/>
    <w:rsid w:val="00987055"/>
    <w:rsid w:val="009933F4"/>
    <w:rsid w:val="009935D0"/>
    <w:rsid w:val="00994EA1"/>
    <w:rsid w:val="009A20DE"/>
    <w:rsid w:val="009A2ADF"/>
    <w:rsid w:val="009A3EC9"/>
    <w:rsid w:val="009A5854"/>
    <w:rsid w:val="009A7C89"/>
    <w:rsid w:val="009B1080"/>
    <w:rsid w:val="009B79F3"/>
    <w:rsid w:val="009B7D93"/>
    <w:rsid w:val="009C009B"/>
    <w:rsid w:val="009C0D1C"/>
    <w:rsid w:val="009C2998"/>
    <w:rsid w:val="009C553E"/>
    <w:rsid w:val="009C5607"/>
    <w:rsid w:val="009C5918"/>
    <w:rsid w:val="009C7DFE"/>
    <w:rsid w:val="009D1226"/>
    <w:rsid w:val="009D1BAE"/>
    <w:rsid w:val="009D2F77"/>
    <w:rsid w:val="009D2FB2"/>
    <w:rsid w:val="009D4672"/>
    <w:rsid w:val="009D7B03"/>
    <w:rsid w:val="009E513F"/>
    <w:rsid w:val="009E57A1"/>
    <w:rsid w:val="009E5874"/>
    <w:rsid w:val="009E5FEF"/>
    <w:rsid w:val="009F0748"/>
    <w:rsid w:val="009F0784"/>
    <w:rsid w:val="009F5E89"/>
    <w:rsid w:val="009F7724"/>
    <w:rsid w:val="00A00BFA"/>
    <w:rsid w:val="00A01347"/>
    <w:rsid w:val="00A021FF"/>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1A2A"/>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32B5"/>
    <w:rsid w:val="00B14FA1"/>
    <w:rsid w:val="00B20494"/>
    <w:rsid w:val="00B209F7"/>
    <w:rsid w:val="00B20B5A"/>
    <w:rsid w:val="00B233B1"/>
    <w:rsid w:val="00B237D8"/>
    <w:rsid w:val="00B24DE4"/>
    <w:rsid w:val="00B3134A"/>
    <w:rsid w:val="00B31770"/>
    <w:rsid w:val="00B37D93"/>
    <w:rsid w:val="00B43478"/>
    <w:rsid w:val="00B44498"/>
    <w:rsid w:val="00B45D70"/>
    <w:rsid w:val="00B51623"/>
    <w:rsid w:val="00B52191"/>
    <w:rsid w:val="00B54C01"/>
    <w:rsid w:val="00B54C18"/>
    <w:rsid w:val="00B55BE6"/>
    <w:rsid w:val="00B56AF9"/>
    <w:rsid w:val="00B60D61"/>
    <w:rsid w:val="00B641B9"/>
    <w:rsid w:val="00B64BBC"/>
    <w:rsid w:val="00B75D71"/>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56"/>
    <w:rsid w:val="00BE68F8"/>
    <w:rsid w:val="00BE78C1"/>
    <w:rsid w:val="00BF1985"/>
    <w:rsid w:val="00BF5B53"/>
    <w:rsid w:val="00BF6833"/>
    <w:rsid w:val="00BF796A"/>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138B"/>
    <w:rsid w:val="00D221B1"/>
    <w:rsid w:val="00D2228E"/>
    <w:rsid w:val="00D2555D"/>
    <w:rsid w:val="00D26834"/>
    <w:rsid w:val="00D272C7"/>
    <w:rsid w:val="00D32D70"/>
    <w:rsid w:val="00D32FEB"/>
    <w:rsid w:val="00D3660D"/>
    <w:rsid w:val="00D36921"/>
    <w:rsid w:val="00D4103E"/>
    <w:rsid w:val="00D41150"/>
    <w:rsid w:val="00D45D67"/>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5E39"/>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D6262"/>
    <w:rsid w:val="00EE2BC9"/>
    <w:rsid w:val="00EE5EAD"/>
    <w:rsid w:val="00EE62A1"/>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02F5072F-2AC3-4CCB-8509-CC027EE5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41592</Words>
  <Characters>23709</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6</cp:revision>
  <cp:lastPrinted>2025-09-05T07:44:00Z</cp:lastPrinted>
  <dcterms:created xsi:type="dcterms:W3CDTF">2025-12-16T18:26:00Z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