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88"/>
        <w:gridCol w:w="4069"/>
        <w:gridCol w:w="2979"/>
        <w:gridCol w:w="5014"/>
      </w:tblGrid>
      <w:tr w:rsidR="004723FB" w:rsidRPr="003619EC" w14:paraId="3A988616" w14:textId="293F2D46" w:rsidTr="00040911">
        <w:trPr>
          <w:trHeight w:val="618"/>
        </w:trPr>
        <w:tc>
          <w:tcPr>
            <w:tcW w:w="343" w:type="pct"/>
            <w:tcMar>
              <w:top w:w="0" w:type="dxa"/>
              <w:left w:w="108" w:type="dxa"/>
              <w:bottom w:w="0" w:type="dxa"/>
              <w:right w:w="108" w:type="dxa"/>
            </w:tcMar>
            <w:hideMark/>
          </w:tcPr>
          <w:p w14:paraId="58D289A3" w14:textId="77777777" w:rsidR="004723FB" w:rsidRPr="003619EC" w:rsidRDefault="004723FB" w:rsidP="00465D88">
            <w:pPr>
              <w:jc w:val="center"/>
              <w:rPr>
                <w:b/>
                <w:bCs/>
                <w:sz w:val="22"/>
                <w:szCs w:val="22"/>
                <w:lang w:val="lt-LT"/>
              </w:rPr>
            </w:pPr>
            <w:r w:rsidRPr="003619EC">
              <w:rPr>
                <w:b/>
                <w:bCs/>
                <w:sz w:val="22"/>
                <w:szCs w:val="22"/>
                <w:lang w:val="lt-LT"/>
              </w:rPr>
              <w:t>Eil. Nr.</w:t>
            </w:r>
          </w:p>
        </w:tc>
        <w:tc>
          <w:tcPr>
            <w:tcW w:w="1571" w:type="pct"/>
            <w:tcMar>
              <w:top w:w="0" w:type="dxa"/>
              <w:left w:w="108" w:type="dxa"/>
              <w:bottom w:w="0" w:type="dxa"/>
              <w:right w:w="108" w:type="dxa"/>
            </w:tcMar>
            <w:hideMark/>
          </w:tcPr>
          <w:p w14:paraId="1FF70BE8" w14:textId="77777777" w:rsidR="004723FB" w:rsidRPr="003619EC" w:rsidRDefault="004723FB" w:rsidP="00465D88">
            <w:pPr>
              <w:jc w:val="center"/>
              <w:rPr>
                <w:b/>
                <w:bCs/>
                <w:sz w:val="22"/>
                <w:szCs w:val="22"/>
                <w:lang w:val="lt-LT"/>
              </w:rPr>
            </w:pPr>
            <w:r w:rsidRPr="003619EC">
              <w:rPr>
                <w:b/>
                <w:bCs/>
                <w:sz w:val="22"/>
                <w:szCs w:val="22"/>
                <w:lang w:val="lt-LT"/>
              </w:rPr>
              <w:t>Klausimas</w:t>
            </w:r>
          </w:p>
        </w:tc>
        <w:tc>
          <w:tcPr>
            <w:tcW w:w="1150" w:type="pct"/>
            <w:tcMar>
              <w:top w:w="0" w:type="dxa"/>
              <w:left w:w="108" w:type="dxa"/>
              <w:bottom w:w="0" w:type="dxa"/>
              <w:right w:w="108" w:type="dxa"/>
            </w:tcMar>
            <w:hideMark/>
          </w:tcPr>
          <w:p w14:paraId="63908704" w14:textId="77777777" w:rsidR="004723FB" w:rsidRPr="003619EC" w:rsidRDefault="004723FB" w:rsidP="00465D88">
            <w:pPr>
              <w:jc w:val="center"/>
              <w:rPr>
                <w:b/>
                <w:bCs/>
                <w:sz w:val="22"/>
                <w:szCs w:val="22"/>
                <w:lang w:val="lt-LT"/>
              </w:rPr>
            </w:pPr>
            <w:r w:rsidRPr="003619EC">
              <w:rPr>
                <w:b/>
                <w:bCs/>
                <w:sz w:val="22"/>
                <w:szCs w:val="22"/>
                <w:lang w:val="lt-LT"/>
              </w:rPr>
              <w:t>Atsakymas/komentaras/ pasiūlymas</w:t>
            </w:r>
          </w:p>
        </w:tc>
        <w:tc>
          <w:tcPr>
            <w:tcW w:w="1936" w:type="pct"/>
          </w:tcPr>
          <w:p w14:paraId="77B8AB52" w14:textId="28F3E214" w:rsidR="004723FB" w:rsidRPr="003619EC" w:rsidRDefault="004723FB" w:rsidP="00465D88">
            <w:pPr>
              <w:jc w:val="center"/>
              <w:rPr>
                <w:b/>
                <w:bCs/>
                <w:sz w:val="22"/>
                <w:szCs w:val="22"/>
                <w:lang w:val="lt-LT"/>
              </w:rPr>
            </w:pPr>
            <w:r w:rsidRPr="003619EC">
              <w:rPr>
                <w:b/>
                <w:bCs/>
                <w:sz w:val="22"/>
                <w:szCs w:val="22"/>
                <w:lang w:val="lt-LT"/>
              </w:rPr>
              <w:t>PO atsakymai</w:t>
            </w:r>
          </w:p>
        </w:tc>
      </w:tr>
      <w:tr w:rsidR="004723FB" w:rsidRPr="003619EC" w14:paraId="038FC367" w14:textId="2BAD3B58" w:rsidTr="003619EC">
        <w:tc>
          <w:tcPr>
            <w:tcW w:w="343" w:type="pct"/>
            <w:tcMar>
              <w:top w:w="0" w:type="dxa"/>
              <w:left w:w="108" w:type="dxa"/>
              <w:bottom w:w="0" w:type="dxa"/>
              <w:right w:w="108" w:type="dxa"/>
            </w:tcMar>
          </w:tcPr>
          <w:p w14:paraId="365C9AF8" w14:textId="0421057A" w:rsidR="004723FB" w:rsidRPr="003619EC" w:rsidRDefault="00040911" w:rsidP="00465D88">
            <w:pPr>
              <w:jc w:val="center"/>
              <w:rPr>
                <w:sz w:val="22"/>
                <w:szCs w:val="22"/>
                <w:lang w:val="lt-LT"/>
              </w:rPr>
            </w:pPr>
            <w:r w:rsidRPr="003619EC">
              <w:rPr>
                <w:sz w:val="22"/>
                <w:szCs w:val="22"/>
                <w:lang w:val="lt-LT"/>
              </w:rPr>
              <w:t>1</w:t>
            </w:r>
            <w:r w:rsidR="004723FB" w:rsidRPr="003619EC">
              <w:rPr>
                <w:sz w:val="22"/>
                <w:szCs w:val="22"/>
                <w:lang w:val="lt-LT"/>
              </w:rPr>
              <w:t>.</w:t>
            </w:r>
          </w:p>
        </w:tc>
        <w:tc>
          <w:tcPr>
            <w:tcW w:w="1571" w:type="pct"/>
            <w:tcMar>
              <w:top w:w="0" w:type="dxa"/>
              <w:left w:w="108" w:type="dxa"/>
              <w:bottom w:w="0" w:type="dxa"/>
              <w:right w:w="108" w:type="dxa"/>
            </w:tcMar>
          </w:tcPr>
          <w:p w14:paraId="19B1EEBC" w14:textId="77777777" w:rsidR="004723FB" w:rsidRPr="003619EC" w:rsidRDefault="004723FB" w:rsidP="00A47D17">
            <w:pPr>
              <w:jc w:val="both"/>
              <w:rPr>
                <w:sz w:val="22"/>
                <w:szCs w:val="22"/>
                <w:lang w:val="lt-LT"/>
              </w:rPr>
            </w:pPr>
            <w:r w:rsidRPr="003619EC">
              <w:rPr>
                <w:sz w:val="22"/>
                <w:szCs w:val="22"/>
                <w:lang w:val="lt-LT"/>
              </w:rPr>
              <w:t xml:space="preserve">Kokie nurodyti kvalifikaciniai reikalavimai, Jūsų nuomone, yra neaiškūs, dviprasmiški ar ribojantys konkurenciją? Kokie projekte nurodyti kvalifikacijos reikalavimai yra pertekliniai? Kokie kvalifikaciniai reikalavimai, Jūsų nuomone, turėtų būti keliami pirkimo procedūroje ketinantiems dalyvauti tiekėjams? </w:t>
            </w:r>
            <w:r w:rsidRPr="003619EC">
              <w:rPr>
                <w:i/>
                <w:sz w:val="22"/>
                <w:szCs w:val="22"/>
                <w:lang w:val="lt-LT"/>
              </w:rPr>
              <w:t>(jei teikiami)</w:t>
            </w:r>
          </w:p>
          <w:p w14:paraId="5A2053E6" w14:textId="77777777" w:rsidR="004723FB" w:rsidRPr="003619EC" w:rsidRDefault="004723FB" w:rsidP="00A47D17">
            <w:pPr>
              <w:jc w:val="both"/>
              <w:rPr>
                <w:color w:val="000000"/>
                <w:sz w:val="22"/>
                <w:szCs w:val="22"/>
                <w:lang w:val="lt-LT"/>
              </w:rPr>
            </w:pPr>
            <w:r w:rsidRPr="003619EC">
              <w:rPr>
                <w:sz w:val="22"/>
                <w:szCs w:val="22"/>
                <w:lang w:val="lt-LT"/>
              </w:rPr>
              <w:t>Prašome pateikti argumentuotas pastabas ir klausimus nurodant konkrečius punktus ir/ar teksto vietas.</w:t>
            </w:r>
          </w:p>
        </w:tc>
        <w:tc>
          <w:tcPr>
            <w:tcW w:w="1150" w:type="pct"/>
            <w:tcMar>
              <w:top w:w="0" w:type="dxa"/>
              <w:left w:w="108" w:type="dxa"/>
              <w:bottom w:w="0" w:type="dxa"/>
              <w:right w:w="108" w:type="dxa"/>
            </w:tcMar>
          </w:tcPr>
          <w:p w14:paraId="253F81D6" w14:textId="77777777" w:rsidR="004723FB" w:rsidRPr="003619EC" w:rsidRDefault="004723FB" w:rsidP="00A47D17">
            <w:pPr>
              <w:jc w:val="both"/>
              <w:rPr>
                <w:sz w:val="22"/>
                <w:szCs w:val="22"/>
                <w:lang w:val="lt-LT"/>
              </w:rPr>
            </w:pPr>
            <w:r w:rsidRPr="003619EC">
              <w:rPr>
                <w:sz w:val="22"/>
                <w:szCs w:val="22"/>
                <w:lang w:val="lt-LT"/>
              </w:rPr>
              <w:t xml:space="preserve">Perkamas sprendimas tik aparatinė įranga, net ir pilnas sprendimo diegimas, todėl labai svarbu, kad tiek Teikėjas turėtų patirties įgyvendinant analogiškus sprendimus, tiek turėtų kvalifikuotą personalą. Techninėje specifikacijoje pasigendame reikalavimų tiek Tiekėjo patirčiai vykdant analogiškas sutartis tiek Tiekėjo personalui. </w:t>
            </w:r>
          </w:p>
          <w:p w14:paraId="1064BC12" w14:textId="77777777" w:rsidR="004723FB" w:rsidRPr="003619EC" w:rsidRDefault="004723FB" w:rsidP="00A47D17">
            <w:pPr>
              <w:jc w:val="both"/>
              <w:rPr>
                <w:sz w:val="22"/>
                <w:szCs w:val="22"/>
                <w:lang w:val="lt-LT"/>
              </w:rPr>
            </w:pPr>
            <w:r w:rsidRPr="003619EC">
              <w:rPr>
                <w:sz w:val="22"/>
                <w:szCs w:val="22"/>
                <w:lang w:val="lt-LT"/>
              </w:rPr>
              <w:t>Rekomenduojame reikalauti, kad Tiekėjas per paskutinius trejus metus būtų įvykdęs analogiškų sutarčių, taip pat turėtų ne žemesnio kaip Optinio tankinimo sprendimų profesionalų lygmens specialistus sertifikuotus dirbti su siūlomo gamintojo įranga.</w:t>
            </w:r>
          </w:p>
        </w:tc>
        <w:tc>
          <w:tcPr>
            <w:tcW w:w="1936" w:type="pct"/>
            <w:shd w:val="clear" w:color="auto" w:fill="auto"/>
          </w:tcPr>
          <w:p w14:paraId="2FCA6B8C" w14:textId="220D942D" w:rsidR="004723FB" w:rsidRPr="003619EC" w:rsidRDefault="00BC3F3C" w:rsidP="006D67E2">
            <w:pPr>
              <w:rPr>
                <w:sz w:val="22"/>
                <w:szCs w:val="22"/>
                <w:lang w:val="lt-LT"/>
              </w:rPr>
            </w:pPr>
            <w:r w:rsidRPr="003619EC">
              <w:rPr>
                <w:color w:val="000000" w:themeColor="text1"/>
                <w:sz w:val="22"/>
                <w:szCs w:val="22"/>
                <w:lang w:val="lt-LT"/>
              </w:rPr>
              <w:t>Įvertinsime jūsų pasiūlymą</w:t>
            </w:r>
          </w:p>
        </w:tc>
      </w:tr>
      <w:tr w:rsidR="00F31476" w:rsidRPr="003619EC" w14:paraId="496ECEC2" w14:textId="69838E59" w:rsidTr="003619EC">
        <w:tc>
          <w:tcPr>
            <w:tcW w:w="343" w:type="pct"/>
            <w:tcMar>
              <w:top w:w="0" w:type="dxa"/>
              <w:left w:w="108" w:type="dxa"/>
              <w:bottom w:w="0" w:type="dxa"/>
              <w:right w:w="108" w:type="dxa"/>
            </w:tcMar>
          </w:tcPr>
          <w:p w14:paraId="4FF64F12" w14:textId="738172BB" w:rsidR="00040911" w:rsidRPr="003619EC" w:rsidRDefault="00040911" w:rsidP="00465D88">
            <w:pPr>
              <w:jc w:val="center"/>
              <w:rPr>
                <w:sz w:val="22"/>
                <w:szCs w:val="22"/>
                <w:lang w:val="lt-LT"/>
              </w:rPr>
            </w:pPr>
            <w:r w:rsidRPr="003619EC">
              <w:rPr>
                <w:sz w:val="22"/>
                <w:szCs w:val="22"/>
                <w:lang w:val="lt-LT"/>
              </w:rPr>
              <w:t xml:space="preserve">2. </w:t>
            </w:r>
          </w:p>
        </w:tc>
        <w:tc>
          <w:tcPr>
            <w:tcW w:w="2721" w:type="pct"/>
            <w:gridSpan w:val="2"/>
            <w:tcMar>
              <w:top w:w="0" w:type="dxa"/>
              <w:left w:w="108" w:type="dxa"/>
              <w:bottom w:w="0" w:type="dxa"/>
              <w:right w:w="108" w:type="dxa"/>
            </w:tcMar>
          </w:tcPr>
          <w:p w14:paraId="62F9D026" w14:textId="77777777" w:rsidR="00040911" w:rsidRPr="003619EC" w:rsidRDefault="00040911" w:rsidP="00A47D17">
            <w:pPr>
              <w:pStyle w:val="ListParagraph"/>
              <w:ind w:left="-107"/>
              <w:jc w:val="both"/>
              <w:rPr>
                <w:sz w:val="22"/>
                <w:szCs w:val="22"/>
                <w:lang w:val="lt-LT"/>
              </w:rPr>
            </w:pPr>
            <w:r w:rsidRPr="003619EC">
              <w:rPr>
                <w:sz w:val="22"/>
                <w:szCs w:val="22"/>
                <w:lang w:val="lt-LT"/>
              </w:rPr>
              <w:t>Techninės specifikacijos 1.7 punkte rašoma: Jei siūlomi skirtingų gamintojų sprendimai, turi būti pateikti siūlomos sutankinimo įrangos ir valdymo sprendimo ar simetrinių  raktų valdymo sprendimo gamintojų raštiški patvirtinimai, kad siūlomi sprendimai yra visiškai suderinami bendram darbui, bei bus teikiama gamintojo garantija be apribojimų. Raštiški patvirtinimai turi būti adresuoti konkrečiai Perkančiajai organizacijai.</w:t>
            </w:r>
          </w:p>
          <w:p w14:paraId="514E71C1" w14:textId="7A46106E" w:rsidR="00040911" w:rsidRPr="003619EC" w:rsidRDefault="00040911" w:rsidP="00A47D17">
            <w:pPr>
              <w:jc w:val="both"/>
              <w:rPr>
                <w:sz w:val="22"/>
                <w:szCs w:val="22"/>
                <w:lang w:val="lt-LT"/>
              </w:rPr>
            </w:pPr>
            <w:r w:rsidRPr="003619EC">
              <w:rPr>
                <w:sz w:val="22"/>
                <w:szCs w:val="22"/>
                <w:lang w:val="lt-LT"/>
              </w:rPr>
              <w:t>Šis reikalavimas yra perteklinis ir riboja konkurenciją, nes sąlygą, kad turi būti vieno gamintojo, atitinka tik vienas gamintojas - Nokia. Taip pat, kadangi yra rašoma, kad Tiekėjas turės įdiegti siūlomą sprendimą, tai jau patvirtina, kad siūlydami skirtingų gamintojų sutankinimo įrangą ir simetrinių raktų valdymo sprendimą, jis veiks. Gamintojai paprastai, tokių raštų neišdavinėja. Sutinkame, kad sutankinimo įrangos ir valdymo sprendimai turi būti vieno gamintojo, nes tada dažniausiai būna platesnės valdymo galimybės.</w:t>
            </w:r>
          </w:p>
        </w:tc>
        <w:tc>
          <w:tcPr>
            <w:tcW w:w="1936" w:type="pct"/>
            <w:shd w:val="clear" w:color="auto" w:fill="auto"/>
          </w:tcPr>
          <w:p w14:paraId="76F8E8EF" w14:textId="4863400A" w:rsidR="00040911" w:rsidRPr="003619EC" w:rsidRDefault="003F2AB8" w:rsidP="003619EC">
            <w:pPr>
              <w:jc w:val="both"/>
              <w:rPr>
                <w:color w:val="000000" w:themeColor="text1"/>
                <w:sz w:val="22"/>
                <w:szCs w:val="22"/>
                <w:lang w:val="lt-LT"/>
              </w:rPr>
            </w:pPr>
            <w:r w:rsidRPr="003619EC">
              <w:rPr>
                <w:color w:val="000000" w:themeColor="text1"/>
                <w:sz w:val="22"/>
                <w:szCs w:val="22"/>
                <w:lang w:val="lt-LT"/>
              </w:rPr>
              <w:t xml:space="preserve">L1 šifravimą užtikrina visi žinomi sutankinimo įrangos gamintojai, tokie kaip Packet light, Ribbon, Nokia ir kiti. </w:t>
            </w:r>
            <w:r w:rsidR="00382FAA" w:rsidRPr="003619EC">
              <w:rPr>
                <w:color w:val="000000" w:themeColor="text1"/>
                <w:sz w:val="22"/>
                <w:szCs w:val="22"/>
                <w:lang w:val="lt-LT"/>
              </w:rPr>
              <w:t>Perkančiajai</w:t>
            </w:r>
            <w:r w:rsidRPr="003619EC">
              <w:rPr>
                <w:color w:val="000000" w:themeColor="text1"/>
                <w:sz w:val="22"/>
                <w:szCs w:val="22"/>
                <w:lang w:val="lt-LT"/>
              </w:rPr>
              <w:t xml:space="preserve"> organizacijai svarbu, kad sprendimas yra visiškai suderinamas bendram darbui, šis reikalavimas neriboja konkurencijos.</w:t>
            </w:r>
          </w:p>
        </w:tc>
      </w:tr>
      <w:tr w:rsidR="004723FB" w:rsidRPr="003619EC" w14:paraId="3ECF2AFF" w14:textId="77777777" w:rsidTr="003619EC">
        <w:tc>
          <w:tcPr>
            <w:tcW w:w="343" w:type="pct"/>
            <w:tcMar>
              <w:top w:w="0" w:type="dxa"/>
              <w:left w:w="108" w:type="dxa"/>
              <w:bottom w:w="0" w:type="dxa"/>
              <w:right w:w="108" w:type="dxa"/>
            </w:tcMar>
          </w:tcPr>
          <w:p w14:paraId="447B6E5C" w14:textId="111419D9" w:rsidR="004723FB" w:rsidRPr="003619EC" w:rsidRDefault="00040911" w:rsidP="00465D88">
            <w:pPr>
              <w:jc w:val="center"/>
              <w:rPr>
                <w:sz w:val="22"/>
                <w:szCs w:val="22"/>
                <w:lang w:val="lt-LT"/>
              </w:rPr>
            </w:pPr>
            <w:r w:rsidRPr="003619EC">
              <w:rPr>
                <w:sz w:val="22"/>
                <w:szCs w:val="22"/>
                <w:lang w:val="lt-LT"/>
              </w:rPr>
              <w:lastRenderedPageBreak/>
              <w:t xml:space="preserve">3. </w:t>
            </w:r>
          </w:p>
        </w:tc>
        <w:tc>
          <w:tcPr>
            <w:tcW w:w="1571" w:type="pct"/>
            <w:tcMar>
              <w:top w:w="0" w:type="dxa"/>
              <w:left w:w="108" w:type="dxa"/>
              <w:bottom w:w="0" w:type="dxa"/>
              <w:right w:w="108" w:type="dxa"/>
            </w:tcMar>
          </w:tcPr>
          <w:p w14:paraId="4E4590CB" w14:textId="7F34A9F1" w:rsidR="004723FB" w:rsidRPr="003619EC" w:rsidRDefault="00040911" w:rsidP="00465D88">
            <w:pPr>
              <w:ind w:left="5"/>
              <w:contextualSpacing/>
              <w:jc w:val="both"/>
              <w:rPr>
                <w:color w:val="000000"/>
                <w:sz w:val="22"/>
                <w:szCs w:val="22"/>
                <w:lang w:val="lt-LT"/>
              </w:rPr>
            </w:pPr>
            <w:r w:rsidRPr="003619EC">
              <w:rPr>
                <w:color w:val="000000"/>
                <w:sz w:val="22"/>
                <w:szCs w:val="22"/>
                <w:lang w:val="lt-LT"/>
              </w:rPr>
              <w:t>Ar turite pastabų, klausimų techninei specifikacijai? Kokias konkrečias sąlygas papildomai siūlytumėte įtraukti į techninę specifikaciją arba kurių sąlygų reikėtų atsisakyti? Kartu pateikite pagrindimą.</w:t>
            </w:r>
          </w:p>
        </w:tc>
        <w:tc>
          <w:tcPr>
            <w:tcW w:w="1150" w:type="pct"/>
            <w:tcMar>
              <w:top w:w="0" w:type="dxa"/>
              <w:left w:w="108" w:type="dxa"/>
              <w:bottom w:w="0" w:type="dxa"/>
              <w:right w:w="108" w:type="dxa"/>
            </w:tcMar>
          </w:tcPr>
          <w:p w14:paraId="5DD09FA0" w14:textId="2D09090B" w:rsidR="004723FB" w:rsidRPr="003619EC" w:rsidRDefault="003669B5" w:rsidP="00A47D17">
            <w:pPr>
              <w:jc w:val="both"/>
              <w:rPr>
                <w:sz w:val="22"/>
                <w:szCs w:val="22"/>
                <w:lang w:val="lt-LT"/>
              </w:rPr>
            </w:pPr>
            <w:r w:rsidRPr="003619EC">
              <w:rPr>
                <w:sz w:val="22"/>
                <w:szCs w:val="22"/>
                <w:lang w:val="lt-LT"/>
              </w:rPr>
              <w:t xml:space="preserve">1. Techninė specifikacija, punktas 4.26. Siūlome sugedusio įrenginio pakeitimo terminą keisti į ilgesnį, pvz.: 14 d., nes punkte 4.25 jau yra reikalaujama pateikti rezervines komplektuojančias dalis. Reikalaujant ne tokio aukšto garantijos lygio, galimai sumažėtų paslaugos kaina. Ar užtektų atskiro gamintojo pasirašyto dokumento, įrodančio įrangos garantijos galiojimą, nes ne visi gamintojai turi aktyvias viešai prieinamas sistemas, kurios skelbia galiojančios garantijos terminą? 2. Techninė specifikacija, punktas 4.25. Ar reikia pateikti visų siūlomų įrenginių rezervines dalis, įskaitant ir pagrindinius DWDM įrenginius? Siūlome įvardinti, kad nereikia pateikti pagrindinių DWDM įrenginių (angl. „chasis“). 3. Siūlome įvertinti FIPS 140-3 Security Level 2 reikalavimus ir juos įtraukti į techninę specifikaciją 2 arba ekonominio vertinimo lentelę. FIPS 140-3 standartas yra esminis pagrindas, nustatytas siekiant užtikrinti jautrios ir vertingos informacijos apsaugą valstybinėse sistemose. FIPS </w:t>
            </w:r>
            <w:r w:rsidRPr="003619EC">
              <w:rPr>
                <w:sz w:val="22"/>
                <w:szCs w:val="22"/>
                <w:lang w:val="lt-LT"/>
              </w:rPr>
              <w:lastRenderedPageBreak/>
              <w:t xml:space="preserve">140-3 atitinka ISO 19790:2012 ir ISO 24759:2017 specifikacijas bei įtraukia papildomus nustatytus reikalavimus, kurie dar labiau sustiprina duomenų saugumą. Naudojant FIPS 140-3 Security Level 3 sertifikaciją, valstybinės organizacijos gali būti užtikrintos, kad jautri informacija ir kriptografiniai raktai yra efektyviai apsaugoti nuo fizinių atakų. 4. Techninė specifikacija, punktas 4.12. Šiuo metu sistemos plėtimas galimas naudojant atskirus/papildomus įrangos vienetus. Siūlome įvertinti, ar DWDM sistemos paslaugų plėtra įmanoma tik naudojant sistemos išplėtimo modulius, be papildomų atskirų šasi (angl.“chasis“) įrenginių ar galima siūlyti atskirus įrangos vienetus? 5. Pasiūlymo ir projekto skaidymas dalimis. Dokumente „Pasiūlymo forma“ pirkimo objektas skaidomas dalimis. Mes manome, kad pirkimas turėtų būti skaidomas ne pagal paslaugų kiekį, o į 2 etapus: a) įrangos pristatymas fizinis sumontavimas ir b) sistemos diegimas, konfigūravimas ir dokumentavimas, mokymai. </w:t>
            </w:r>
            <w:r w:rsidRPr="003619EC">
              <w:rPr>
                <w:sz w:val="22"/>
                <w:szCs w:val="22"/>
                <w:lang w:val="lt-LT"/>
              </w:rPr>
              <w:lastRenderedPageBreak/>
              <w:t>Argumentuojame tuo, kad: -skaidant pirkimą dalimis, sudėtingėja diegimas, nes reikės papildomų resursų kaskart, prijungiant kiekvieną tašką atskirai, kitaip tariant, centralizuoto diegimo galimybės nelieka; -Skaidant objektą dalimis, diegimas truks ilgiau; -Gamintojams sudėtinga išlaikyti kainodarą stabilią ilgam laikotarpiui, skaidomo pirkimo atveju turime įsivertinti galimo brangimo rizikas, dėl ko galutinė kaina greičiausiai bus didesnė; -Garantija. Diegiant projektą atskiromis dalimis, sudėtingėja garantijos aktyvavimo ir valdymo klausimai. Kitaip sakant, jei bus 9 atskiros dalys – garantija bus aktyvuojama 9 skirtingais laikotarpiais ir nebus vienoda visam sprendimui</w:t>
            </w:r>
          </w:p>
        </w:tc>
        <w:tc>
          <w:tcPr>
            <w:tcW w:w="1936" w:type="pct"/>
            <w:shd w:val="clear" w:color="auto" w:fill="auto"/>
          </w:tcPr>
          <w:p w14:paraId="2CD272E4" w14:textId="6C0E4FDE" w:rsidR="004723FB" w:rsidRPr="003619EC" w:rsidRDefault="00954C1E" w:rsidP="003619EC">
            <w:pPr>
              <w:jc w:val="both"/>
              <w:rPr>
                <w:color w:val="000000" w:themeColor="text1"/>
                <w:sz w:val="22"/>
                <w:szCs w:val="22"/>
                <w:lang w:val="lt-LT"/>
              </w:rPr>
            </w:pPr>
            <w:r w:rsidRPr="003619EC">
              <w:rPr>
                <w:color w:val="000000" w:themeColor="text1"/>
                <w:sz w:val="22"/>
                <w:szCs w:val="22"/>
                <w:lang w:val="lt-LT"/>
              </w:rPr>
              <w:lastRenderedPageBreak/>
              <w:t xml:space="preserve">1. </w:t>
            </w:r>
            <w:r w:rsidR="004B5081" w:rsidRPr="003619EC">
              <w:rPr>
                <w:color w:val="000000" w:themeColor="text1"/>
                <w:sz w:val="22"/>
                <w:szCs w:val="22"/>
                <w:lang w:val="lt-LT"/>
              </w:rPr>
              <w:t>Perkančioji organizacija p</w:t>
            </w:r>
            <w:r w:rsidRPr="003619EC">
              <w:rPr>
                <w:color w:val="000000" w:themeColor="text1"/>
                <w:sz w:val="22"/>
                <w:szCs w:val="22"/>
                <w:lang w:val="lt-LT"/>
              </w:rPr>
              <w:t xml:space="preserve">ritaria sugedusio įrenginio pakeitimo terminą keisti į </w:t>
            </w:r>
            <w:r w:rsidR="00943040" w:rsidRPr="003619EC">
              <w:rPr>
                <w:color w:val="000000" w:themeColor="text1"/>
                <w:sz w:val="22"/>
                <w:szCs w:val="22"/>
                <w:lang w:val="lt-LT"/>
              </w:rPr>
              <w:t>14 d.</w:t>
            </w:r>
            <w:r w:rsidRPr="003619EC">
              <w:rPr>
                <w:color w:val="000000" w:themeColor="text1"/>
                <w:sz w:val="22"/>
                <w:szCs w:val="22"/>
                <w:lang w:val="lt-LT"/>
              </w:rPr>
              <w:t>.</w:t>
            </w:r>
          </w:p>
          <w:p w14:paraId="0A648EB6" w14:textId="72E6AE94" w:rsidR="00954C1E" w:rsidRPr="003619EC" w:rsidRDefault="00954C1E" w:rsidP="003619EC">
            <w:pPr>
              <w:jc w:val="both"/>
              <w:rPr>
                <w:color w:val="000000" w:themeColor="text1"/>
                <w:sz w:val="22"/>
                <w:szCs w:val="22"/>
                <w:lang w:val="lt-LT"/>
              </w:rPr>
            </w:pPr>
            <w:r w:rsidRPr="003619EC">
              <w:rPr>
                <w:color w:val="000000" w:themeColor="text1"/>
                <w:sz w:val="22"/>
                <w:szCs w:val="22"/>
                <w:lang w:val="lt-LT"/>
              </w:rPr>
              <w:t>2.</w:t>
            </w:r>
            <w:r w:rsidR="00884961" w:rsidRPr="003619EC">
              <w:rPr>
                <w:color w:val="000000" w:themeColor="text1"/>
                <w:sz w:val="22"/>
                <w:szCs w:val="22"/>
                <w:lang w:val="lt-LT"/>
              </w:rPr>
              <w:t xml:space="preserve"> </w:t>
            </w:r>
            <w:r w:rsidR="004B5081" w:rsidRPr="003619EC">
              <w:rPr>
                <w:color w:val="000000" w:themeColor="text1"/>
                <w:sz w:val="22"/>
                <w:szCs w:val="22"/>
                <w:lang w:val="lt-LT"/>
              </w:rPr>
              <w:t>Perkančioji organizacija papildys, kad reikia pateikti po vieną pagrindinių DWDM įrenginių (angl. „chasis“) kaip rezervinę dalį.</w:t>
            </w:r>
          </w:p>
          <w:p w14:paraId="745DC8A2" w14:textId="349D00A3" w:rsidR="00BC3F3C" w:rsidRPr="003619EC" w:rsidRDefault="00954C1E" w:rsidP="003619EC">
            <w:pPr>
              <w:jc w:val="both"/>
              <w:rPr>
                <w:color w:val="000000" w:themeColor="text1"/>
                <w:sz w:val="22"/>
                <w:szCs w:val="22"/>
                <w:lang w:val="lt-LT"/>
              </w:rPr>
            </w:pPr>
            <w:r w:rsidRPr="003619EC">
              <w:rPr>
                <w:color w:val="000000" w:themeColor="text1"/>
                <w:sz w:val="22"/>
                <w:szCs w:val="22"/>
                <w:lang w:val="lt-LT"/>
              </w:rPr>
              <w:t>3.</w:t>
            </w:r>
            <w:r w:rsidR="00884961" w:rsidRPr="003619EC">
              <w:rPr>
                <w:color w:val="000000" w:themeColor="text1"/>
                <w:lang w:val="lt-LT"/>
              </w:rPr>
              <w:t xml:space="preserve"> </w:t>
            </w:r>
            <w:r w:rsidR="00BC3F3C" w:rsidRPr="003619EC">
              <w:rPr>
                <w:color w:val="000000" w:themeColor="text1"/>
                <w:sz w:val="22"/>
                <w:szCs w:val="22"/>
                <w:lang w:val="lt-LT"/>
              </w:rPr>
              <w:t>Įvertinsime jūsų pasiūlymą</w:t>
            </w:r>
            <w:r w:rsidR="00943040" w:rsidRPr="003619EC">
              <w:rPr>
                <w:color w:val="000000" w:themeColor="text1"/>
                <w:sz w:val="22"/>
                <w:szCs w:val="22"/>
                <w:lang w:val="lt-LT"/>
              </w:rPr>
              <w:t>.</w:t>
            </w:r>
          </w:p>
          <w:p w14:paraId="3EED66BB" w14:textId="4EA52D6D" w:rsidR="00954C1E" w:rsidRPr="003619EC" w:rsidRDefault="00954C1E" w:rsidP="003619EC">
            <w:pPr>
              <w:jc w:val="both"/>
              <w:rPr>
                <w:strike/>
                <w:color w:val="000000" w:themeColor="text1"/>
                <w:sz w:val="22"/>
                <w:szCs w:val="22"/>
                <w:lang w:val="lt-LT"/>
              </w:rPr>
            </w:pPr>
            <w:r w:rsidRPr="003619EC">
              <w:rPr>
                <w:color w:val="000000" w:themeColor="text1"/>
                <w:sz w:val="22"/>
                <w:szCs w:val="22"/>
                <w:lang w:val="lt-LT"/>
              </w:rPr>
              <w:t>4.</w:t>
            </w:r>
            <w:r w:rsidR="001A57BB" w:rsidRPr="003619EC">
              <w:rPr>
                <w:color w:val="000000" w:themeColor="text1"/>
                <w:lang w:val="lt-LT"/>
              </w:rPr>
              <w:t xml:space="preserve"> </w:t>
            </w:r>
            <w:r w:rsidR="002562A8" w:rsidRPr="003619EC">
              <w:rPr>
                <w:color w:val="000000" w:themeColor="text1"/>
                <w:sz w:val="22"/>
                <w:szCs w:val="22"/>
                <w:lang w:val="lt-LT"/>
              </w:rPr>
              <w:t xml:space="preserve">DWDM sistemos paslaugų plėtra įmanoma tik naudojant sistemos išplėtimo modulius, be papildomų atskirų šasi (angl.“chasis“) įrenginių. </w:t>
            </w:r>
          </w:p>
          <w:p w14:paraId="27889BD6" w14:textId="4705BC0D" w:rsidR="00954C1E" w:rsidRPr="003619EC" w:rsidRDefault="001A57BB" w:rsidP="003619EC">
            <w:pPr>
              <w:jc w:val="both"/>
              <w:rPr>
                <w:sz w:val="22"/>
                <w:szCs w:val="22"/>
                <w:lang w:val="lt-LT"/>
              </w:rPr>
            </w:pPr>
            <w:r w:rsidRPr="003619EC">
              <w:rPr>
                <w:color w:val="000000" w:themeColor="text1"/>
                <w:sz w:val="22"/>
                <w:szCs w:val="22"/>
                <w:lang w:val="lt-LT"/>
              </w:rPr>
              <w:t xml:space="preserve">5. </w:t>
            </w:r>
            <w:r w:rsidR="00BC3F3C" w:rsidRPr="003619EC">
              <w:rPr>
                <w:color w:val="000000" w:themeColor="text1"/>
                <w:sz w:val="22"/>
                <w:szCs w:val="22"/>
                <w:lang w:val="lt-LT"/>
              </w:rPr>
              <w:t>Įvertinsime jūsų pasiūlymą</w:t>
            </w:r>
            <w:r w:rsidR="00943040" w:rsidRPr="003619EC">
              <w:rPr>
                <w:color w:val="000000" w:themeColor="text1"/>
                <w:sz w:val="22"/>
                <w:szCs w:val="22"/>
                <w:lang w:val="lt-LT"/>
              </w:rPr>
              <w:t>.</w:t>
            </w:r>
          </w:p>
        </w:tc>
      </w:tr>
      <w:tr w:rsidR="004723FB" w:rsidRPr="003619EC" w14:paraId="693FE4F3" w14:textId="77777777" w:rsidTr="003619EC">
        <w:tc>
          <w:tcPr>
            <w:tcW w:w="343" w:type="pct"/>
            <w:tcMar>
              <w:top w:w="0" w:type="dxa"/>
              <w:left w:w="108" w:type="dxa"/>
              <w:bottom w:w="0" w:type="dxa"/>
              <w:right w:w="108" w:type="dxa"/>
            </w:tcMar>
          </w:tcPr>
          <w:p w14:paraId="056A4069" w14:textId="2FFFF16C" w:rsidR="004723FB" w:rsidRPr="003619EC" w:rsidRDefault="003669B5" w:rsidP="00465D88">
            <w:pPr>
              <w:jc w:val="center"/>
              <w:rPr>
                <w:sz w:val="22"/>
                <w:szCs w:val="22"/>
                <w:lang w:val="lt-LT"/>
              </w:rPr>
            </w:pPr>
            <w:r w:rsidRPr="003619EC">
              <w:rPr>
                <w:sz w:val="22"/>
                <w:szCs w:val="22"/>
                <w:lang w:val="lt-LT"/>
              </w:rPr>
              <w:lastRenderedPageBreak/>
              <w:t xml:space="preserve">4. </w:t>
            </w:r>
          </w:p>
        </w:tc>
        <w:tc>
          <w:tcPr>
            <w:tcW w:w="1571" w:type="pct"/>
            <w:tcMar>
              <w:top w:w="0" w:type="dxa"/>
              <w:left w:w="108" w:type="dxa"/>
              <w:bottom w:w="0" w:type="dxa"/>
              <w:right w:w="108" w:type="dxa"/>
            </w:tcMar>
          </w:tcPr>
          <w:p w14:paraId="5835B0D1" w14:textId="3CCB4C90" w:rsidR="004723FB" w:rsidRPr="003619EC" w:rsidRDefault="003669B5" w:rsidP="003669B5">
            <w:pPr>
              <w:tabs>
                <w:tab w:val="left" w:pos="1020"/>
              </w:tabs>
              <w:ind w:left="5"/>
              <w:contextualSpacing/>
              <w:jc w:val="both"/>
              <w:rPr>
                <w:color w:val="000000"/>
                <w:sz w:val="22"/>
                <w:szCs w:val="22"/>
                <w:lang w:val="lt-LT"/>
              </w:rPr>
            </w:pPr>
            <w:r w:rsidRPr="003619EC">
              <w:rPr>
                <w:color w:val="000000"/>
                <w:sz w:val="22"/>
                <w:szCs w:val="22"/>
                <w:lang w:val="lt-LT"/>
              </w:rPr>
              <w:t>Ar turite pastabų sutarties projektui? (jei teikiamas) Prašome pateikti argumentuotas pastabas ir klausimus nurodant konkrečius punktus ir/ar teksto vietas</w:t>
            </w:r>
          </w:p>
        </w:tc>
        <w:tc>
          <w:tcPr>
            <w:tcW w:w="1150" w:type="pct"/>
            <w:tcMar>
              <w:top w:w="0" w:type="dxa"/>
              <w:left w:w="108" w:type="dxa"/>
              <w:bottom w:w="0" w:type="dxa"/>
              <w:right w:w="108" w:type="dxa"/>
            </w:tcMar>
          </w:tcPr>
          <w:p w14:paraId="1ECD365E" w14:textId="0CF412DD" w:rsidR="004723FB" w:rsidRPr="003619EC" w:rsidRDefault="003669B5" w:rsidP="00A47D17">
            <w:pPr>
              <w:jc w:val="both"/>
              <w:rPr>
                <w:sz w:val="22"/>
                <w:szCs w:val="22"/>
                <w:lang w:val="lt-LT"/>
              </w:rPr>
            </w:pPr>
            <w:r w:rsidRPr="003619EC">
              <w:rPr>
                <w:sz w:val="22"/>
                <w:szCs w:val="22"/>
                <w:lang w:val="lt-LT"/>
              </w:rPr>
              <w:t xml:space="preserve">Sutarties specialiosios sąlygos, punktas 4.2. Siūlome leisti pratęsti pristatymo terminą ne 14, o 30 dienų. Pirkimo objektas kompleksinis, komponentų daug, </w:t>
            </w:r>
            <w:r w:rsidR="00F31476" w:rsidRPr="003619EC">
              <w:rPr>
                <w:sz w:val="22"/>
                <w:szCs w:val="22"/>
                <w:lang w:val="lt-LT"/>
              </w:rPr>
              <w:t>k</w:t>
            </w:r>
            <w:r w:rsidRPr="003619EC">
              <w:rPr>
                <w:sz w:val="22"/>
                <w:szCs w:val="22"/>
                <w:lang w:val="lt-LT"/>
              </w:rPr>
              <w:t xml:space="preserve">odėl tiekėjui garantuoti tikslų pristatymo terminą sudėtinga. Sutarties specialiosios sąlygos, punktas 4.4. Projekto apimtis didelė, siūlytume įtraukti </w:t>
            </w:r>
            <w:r w:rsidRPr="003619EC">
              <w:rPr>
                <w:sz w:val="22"/>
                <w:szCs w:val="22"/>
                <w:lang w:val="lt-LT"/>
              </w:rPr>
              <w:lastRenderedPageBreak/>
              <w:t>galimybę pristatyti įrangą dalimis, ir siūlome įtraukti dalinio atsiskaitymo už pristatytos įrangos dalį galimybę.</w:t>
            </w:r>
          </w:p>
        </w:tc>
        <w:tc>
          <w:tcPr>
            <w:tcW w:w="1936" w:type="pct"/>
            <w:shd w:val="clear" w:color="auto" w:fill="auto"/>
          </w:tcPr>
          <w:p w14:paraId="3048A3DC" w14:textId="08BE2067" w:rsidR="00382FAA" w:rsidRPr="003619EC" w:rsidRDefault="00382FAA" w:rsidP="00382FAA">
            <w:pPr>
              <w:rPr>
                <w:color w:val="000000" w:themeColor="text1"/>
                <w:sz w:val="22"/>
                <w:szCs w:val="22"/>
                <w:lang w:val="lt-LT"/>
              </w:rPr>
            </w:pPr>
            <w:r w:rsidRPr="003619EC">
              <w:rPr>
                <w:color w:val="000000" w:themeColor="text1"/>
                <w:sz w:val="22"/>
                <w:szCs w:val="22"/>
                <w:lang w:val="lt-LT"/>
              </w:rPr>
              <w:lastRenderedPageBreak/>
              <w:t xml:space="preserve">4.2. Perkančioji organizacija pritaria Prekių pristatymo terminas gali būti pratęsiamas tik minėtų aplinkybių egzistavimo laikotarpiui, bet ne ilgiau nei 30 (trisdešimt) kalendorinių dienų laikotarpiui. </w:t>
            </w:r>
          </w:p>
          <w:p w14:paraId="41AB71F7" w14:textId="32219B4C" w:rsidR="004723FB" w:rsidRPr="003619EC" w:rsidRDefault="00382FAA" w:rsidP="003619EC">
            <w:pPr>
              <w:jc w:val="both"/>
              <w:rPr>
                <w:sz w:val="22"/>
                <w:szCs w:val="22"/>
                <w:lang w:val="lt-LT"/>
              </w:rPr>
            </w:pPr>
            <w:r w:rsidRPr="003619EC">
              <w:rPr>
                <w:sz w:val="22"/>
                <w:szCs w:val="22"/>
                <w:lang w:val="lt-LT"/>
              </w:rPr>
              <w:t xml:space="preserve">4.4. </w:t>
            </w:r>
            <w:r w:rsidR="000559F2" w:rsidRPr="003619EC">
              <w:rPr>
                <w:sz w:val="22"/>
                <w:szCs w:val="22"/>
                <w:lang w:val="lt-LT"/>
              </w:rPr>
              <w:t>tai</w:t>
            </w:r>
            <w:r w:rsidR="00C64E23" w:rsidRPr="003619EC">
              <w:rPr>
                <w:sz w:val="22"/>
                <w:szCs w:val="22"/>
                <w:lang w:val="lt-LT"/>
              </w:rPr>
              <w:t xml:space="preserve"> numatyta specialiųjų pirkimo sąlygų </w:t>
            </w:r>
            <w:r w:rsidR="000559F2" w:rsidRPr="003619EC">
              <w:rPr>
                <w:sz w:val="22"/>
                <w:szCs w:val="22"/>
                <w:lang w:val="lt-LT"/>
              </w:rPr>
              <w:t xml:space="preserve">4.1. punkte: Tiekėjas </w:t>
            </w:r>
            <w:r w:rsidR="000559F2" w:rsidRPr="003619EC">
              <w:rPr>
                <w:b/>
                <w:sz w:val="22"/>
                <w:szCs w:val="22"/>
                <w:lang w:val="lt-LT"/>
              </w:rPr>
              <w:t>pagal atskirą užsakymą</w:t>
            </w:r>
            <w:r w:rsidR="000559F2" w:rsidRPr="003619EC">
              <w:rPr>
                <w:sz w:val="22"/>
                <w:szCs w:val="22"/>
                <w:lang w:val="lt-LT"/>
              </w:rPr>
              <w:t xml:space="preserve"> įsipareigoja pristatyti ir įdiegti Prekes ne vėliau kaip per 180 (šimtą aštuoniasdešimt) kalendorinių dienų nuo užsakymo pateikimo dienos į Pirkėjo nurodytas patalpas Vilniuje, Kaune, Kryžkalnyje, Klaipėdoje, Telšiuose, Šiauliuose, </w:t>
            </w:r>
            <w:r w:rsidR="000559F2" w:rsidRPr="003619EC">
              <w:rPr>
                <w:sz w:val="22"/>
                <w:szCs w:val="22"/>
                <w:lang w:val="lt-LT"/>
              </w:rPr>
              <w:lastRenderedPageBreak/>
              <w:t>Panevėžyje ir Ukmergėje, laikantis Techninėje specifikacijoje nustatytų sąlygų.</w:t>
            </w:r>
          </w:p>
        </w:tc>
      </w:tr>
      <w:tr w:rsidR="003669B5" w:rsidRPr="003619EC" w14:paraId="33CF1A69" w14:textId="77777777" w:rsidTr="003619EC">
        <w:tc>
          <w:tcPr>
            <w:tcW w:w="343" w:type="pct"/>
            <w:tcMar>
              <w:top w:w="0" w:type="dxa"/>
              <w:left w:w="108" w:type="dxa"/>
              <w:bottom w:w="0" w:type="dxa"/>
              <w:right w:w="108" w:type="dxa"/>
            </w:tcMar>
          </w:tcPr>
          <w:p w14:paraId="155764D2" w14:textId="33527F49" w:rsidR="003669B5" w:rsidRPr="003619EC" w:rsidRDefault="006E77EB" w:rsidP="00465D88">
            <w:pPr>
              <w:jc w:val="center"/>
              <w:rPr>
                <w:sz w:val="22"/>
                <w:szCs w:val="22"/>
                <w:lang w:val="lt-LT"/>
              </w:rPr>
            </w:pPr>
            <w:r>
              <w:rPr>
                <w:sz w:val="22"/>
                <w:szCs w:val="22"/>
                <w:lang w:val="lt-LT"/>
              </w:rPr>
              <w:lastRenderedPageBreak/>
              <w:t>5</w:t>
            </w:r>
            <w:r w:rsidR="003669B5" w:rsidRPr="003619EC">
              <w:rPr>
                <w:sz w:val="22"/>
                <w:szCs w:val="22"/>
                <w:lang w:val="lt-LT"/>
              </w:rPr>
              <w:t xml:space="preserve">. </w:t>
            </w:r>
          </w:p>
        </w:tc>
        <w:tc>
          <w:tcPr>
            <w:tcW w:w="1571" w:type="pct"/>
            <w:tcMar>
              <w:top w:w="0" w:type="dxa"/>
              <w:left w:w="108" w:type="dxa"/>
              <w:bottom w:w="0" w:type="dxa"/>
              <w:right w:w="108" w:type="dxa"/>
            </w:tcMar>
          </w:tcPr>
          <w:p w14:paraId="54C379D8" w14:textId="29CB1B5B" w:rsidR="003669B5" w:rsidRPr="003619EC" w:rsidRDefault="003669B5" w:rsidP="00A47D17">
            <w:pPr>
              <w:tabs>
                <w:tab w:val="left" w:pos="1020"/>
              </w:tabs>
              <w:ind w:left="5"/>
              <w:contextualSpacing/>
              <w:jc w:val="both"/>
              <w:rPr>
                <w:color w:val="000000"/>
                <w:sz w:val="22"/>
                <w:szCs w:val="22"/>
                <w:lang w:val="lt-LT"/>
              </w:rPr>
            </w:pPr>
            <w:r w:rsidRPr="003619EC">
              <w:rPr>
                <w:color w:val="000000"/>
                <w:sz w:val="22"/>
                <w:szCs w:val="22"/>
                <w:lang w:val="lt-LT"/>
              </w:rPr>
              <w:t>Kokius „žalius“ reikalavimus rekomenduotumėte taikyti pirkime?</w:t>
            </w:r>
          </w:p>
        </w:tc>
        <w:tc>
          <w:tcPr>
            <w:tcW w:w="1150" w:type="pct"/>
            <w:tcMar>
              <w:top w:w="0" w:type="dxa"/>
              <w:left w:w="108" w:type="dxa"/>
              <w:bottom w:w="0" w:type="dxa"/>
              <w:right w:w="108" w:type="dxa"/>
            </w:tcMar>
          </w:tcPr>
          <w:p w14:paraId="6A263E17" w14:textId="6A0363C1" w:rsidR="003669B5" w:rsidRPr="003619EC" w:rsidRDefault="003669B5" w:rsidP="00A47D17">
            <w:pPr>
              <w:jc w:val="both"/>
              <w:rPr>
                <w:sz w:val="22"/>
                <w:szCs w:val="22"/>
                <w:lang w:val="lt-LT"/>
              </w:rPr>
            </w:pPr>
            <w:r w:rsidRPr="003619EC">
              <w:rPr>
                <w:sz w:val="22"/>
                <w:szCs w:val="22"/>
                <w:lang w:val="lt-LT"/>
              </w:rPr>
              <w:t>Siūlome įtraukti reikalavimą, kad gamintojas turėtų galiojantį ISO 14001 sertifikatą</w:t>
            </w:r>
          </w:p>
        </w:tc>
        <w:tc>
          <w:tcPr>
            <w:tcW w:w="1936" w:type="pct"/>
            <w:shd w:val="clear" w:color="auto" w:fill="auto"/>
          </w:tcPr>
          <w:p w14:paraId="5828E467" w14:textId="7C198667" w:rsidR="003669B5" w:rsidRPr="003619EC" w:rsidRDefault="00A47D17" w:rsidP="00465D88">
            <w:pPr>
              <w:jc w:val="center"/>
              <w:rPr>
                <w:bCs/>
                <w:sz w:val="22"/>
                <w:szCs w:val="22"/>
                <w:lang w:val="lt-LT"/>
              </w:rPr>
            </w:pPr>
            <w:r w:rsidRPr="003619EC">
              <w:rPr>
                <w:bCs/>
                <w:sz w:val="22"/>
                <w:szCs w:val="22"/>
                <w:lang w:val="lt-LT"/>
              </w:rPr>
              <w:t>Įvertinsime jūsų pasiūlymą</w:t>
            </w:r>
          </w:p>
        </w:tc>
      </w:tr>
      <w:tr w:rsidR="00543149" w:rsidRPr="003619EC" w14:paraId="2D68D0E4" w14:textId="77777777" w:rsidTr="003619EC">
        <w:tc>
          <w:tcPr>
            <w:tcW w:w="343" w:type="pct"/>
            <w:tcMar>
              <w:top w:w="0" w:type="dxa"/>
              <w:left w:w="108" w:type="dxa"/>
              <w:bottom w:w="0" w:type="dxa"/>
              <w:right w:w="108" w:type="dxa"/>
            </w:tcMar>
          </w:tcPr>
          <w:p w14:paraId="743878B4" w14:textId="6C301787" w:rsidR="00543149" w:rsidRPr="003619EC" w:rsidRDefault="006E77EB" w:rsidP="00465D88">
            <w:pPr>
              <w:jc w:val="center"/>
              <w:rPr>
                <w:sz w:val="22"/>
                <w:szCs w:val="22"/>
                <w:lang w:val="lt-LT"/>
              </w:rPr>
            </w:pPr>
            <w:r>
              <w:rPr>
                <w:sz w:val="22"/>
                <w:szCs w:val="22"/>
                <w:lang w:val="lt-LT"/>
              </w:rPr>
              <w:t>6</w:t>
            </w:r>
            <w:r w:rsidR="00543149" w:rsidRPr="003619EC">
              <w:rPr>
                <w:sz w:val="22"/>
                <w:szCs w:val="22"/>
                <w:lang w:val="lt-LT"/>
              </w:rPr>
              <w:t>.</w:t>
            </w:r>
          </w:p>
        </w:tc>
        <w:tc>
          <w:tcPr>
            <w:tcW w:w="1571" w:type="pct"/>
            <w:tcMar>
              <w:top w:w="0" w:type="dxa"/>
              <w:left w:w="108" w:type="dxa"/>
              <w:bottom w:w="0" w:type="dxa"/>
              <w:right w:w="108" w:type="dxa"/>
            </w:tcMar>
          </w:tcPr>
          <w:p w14:paraId="357B8CF3" w14:textId="1F559D01" w:rsidR="00543149" w:rsidRPr="003619EC" w:rsidRDefault="00543149" w:rsidP="00A47D17">
            <w:pPr>
              <w:tabs>
                <w:tab w:val="left" w:pos="1020"/>
              </w:tabs>
              <w:ind w:left="5"/>
              <w:contextualSpacing/>
              <w:jc w:val="both"/>
              <w:rPr>
                <w:color w:val="000000"/>
                <w:sz w:val="22"/>
                <w:szCs w:val="22"/>
                <w:lang w:val="lt-LT"/>
              </w:rPr>
            </w:pPr>
            <w:r w:rsidRPr="003619EC">
              <w:rPr>
                <w:color w:val="000000"/>
                <w:sz w:val="22"/>
                <w:szCs w:val="22"/>
                <w:lang w:val="lt-LT"/>
              </w:rPr>
              <w:t>Ar turite pastabų Kokybės kriterijams ir jų vertinimui?</w:t>
            </w:r>
          </w:p>
        </w:tc>
        <w:tc>
          <w:tcPr>
            <w:tcW w:w="1150" w:type="pct"/>
            <w:tcMar>
              <w:top w:w="0" w:type="dxa"/>
              <w:left w:w="108" w:type="dxa"/>
              <w:bottom w:w="0" w:type="dxa"/>
              <w:right w:w="108" w:type="dxa"/>
            </w:tcMar>
          </w:tcPr>
          <w:p w14:paraId="5FDB0DFB" w14:textId="08565051" w:rsidR="00543149" w:rsidRPr="003619EC" w:rsidRDefault="00543149" w:rsidP="00A47D17">
            <w:pPr>
              <w:jc w:val="both"/>
              <w:rPr>
                <w:sz w:val="22"/>
                <w:szCs w:val="22"/>
                <w:lang w:val="lt-LT"/>
              </w:rPr>
            </w:pPr>
            <w:r w:rsidRPr="003619EC">
              <w:rPr>
                <w:sz w:val="22"/>
                <w:szCs w:val="22"/>
                <w:lang w:val="lt-LT"/>
              </w:rPr>
              <w:t>Kaip jau minėjome šios apklausos 3 dalyje 3 punkte, siūlome įtraukti papildomą saugumo reikalavimą FIPS 140-3 Level 2.</w:t>
            </w:r>
          </w:p>
        </w:tc>
        <w:tc>
          <w:tcPr>
            <w:tcW w:w="1936" w:type="pct"/>
            <w:shd w:val="clear" w:color="auto" w:fill="auto"/>
          </w:tcPr>
          <w:p w14:paraId="71B44FDD" w14:textId="5E02FBC3" w:rsidR="00543149" w:rsidRPr="003619EC" w:rsidRDefault="00943040" w:rsidP="00664ABB">
            <w:pPr>
              <w:jc w:val="center"/>
              <w:rPr>
                <w:sz w:val="22"/>
                <w:szCs w:val="22"/>
                <w:lang w:val="lt-LT"/>
              </w:rPr>
            </w:pPr>
            <w:r w:rsidRPr="003619EC">
              <w:rPr>
                <w:sz w:val="22"/>
                <w:szCs w:val="22"/>
                <w:lang w:val="lt-LT"/>
              </w:rPr>
              <w:t>Įvertinsime jūsų pasiūlymą</w:t>
            </w:r>
          </w:p>
        </w:tc>
      </w:tr>
    </w:tbl>
    <w:p w14:paraId="6E12CEB8" w14:textId="77777777" w:rsidR="00C3164D" w:rsidRPr="003619EC" w:rsidRDefault="00C3164D">
      <w:pPr>
        <w:rPr>
          <w:lang w:val="lt-LT"/>
        </w:rPr>
      </w:pPr>
    </w:p>
    <w:p w14:paraId="185FFE08" w14:textId="77777777" w:rsidR="004723FB" w:rsidRPr="003619EC" w:rsidRDefault="004723FB">
      <w:pPr>
        <w:rPr>
          <w:lang w:val="lt-LT"/>
        </w:rPr>
      </w:pPr>
    </w:p>
    <w:p w14:paraId="781C8555" w14:textId="77777777" w:rsidR="004723FB" w:rsidRPr="003619EC" w:rsidRDefault="004723FB">
      <w:pPr>
        <w:rPr>
          <w:lang w:val="lt-LT"/>
        </w:rPr>
      </w:pPr>
    </w:p>
    <w:sectPr w:rsidR="004723FB" w:rsidRPr="003619EC" w:rsidSect="004723FB">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95E65C2"/>
    <w:multiLevelType w:val="hybridMultilevel"/>
    <w:tmpl w:val="9376A9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9138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0E"/>
    <w:rsid w:val="00040911"/>
    <w:rsid w:val="000559F2"/>
    <w:rsid w:val="00065F19"/>
    <w:rsid w:val="001A57BB"/>
    <w:rsid w:val="002562A8"/>
    <w:rsid w:val="00325304"/>
    <w:rsid w:val="003619EC"/>
    <w:rsid w:val="003669B5"/>
    <w:rsid w:val="00382FAA"/>
    <w:rsid w:val="003F270E"/>
    <w:rsid w:val="003F2AB8"/>
    <w:rsid w:val="00441729"/>
    <w:rsid w:val="004723FB"/>
    <w:rsid w:val="004B5081"/>
    <w:rsid w:val="004C00D7"/>
    <w:rsid w:val="004F7FFA"/>
    <w:rsid w:val="005164E5"/>
    <w:rsid w:val="00543149"/>
    <w:rsid w:val="00664ABB"/>
    <w:rsid w:val="006D67E2"/>
    <w:rsid w:val="006E77EB"/>
    <w:rsid w:val="00884961"/>
    <w:rsid w:val="00943040"/>
    <w:rsid w:val="00954C1E"/>
    <w:rsid w:val="00A1212A"/>
    <w:rsid w:val="00A47D17"/>
    <w:rsid w:val="00AE345A"/>
    <w:rsid w:val="00BC3F3C"/>
    <w:rsid w:val="00BF129A"/>
    <w:rsid w:val="00C3164D"/>
    <w:rsid w:val="00C64E23"/>
    <w:rsid w:val="00D75C2C"/>
    <w:rsid w:val="00EC1B1D"/>
    <w:rsid w:val="00F31476"/>
    <w:rsid w:val="00FA6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4CC88"/>
  <w15:chartTrackingRefBased/>
  <w15:docId w15:val="{48AC80B8-B67C-44D0-BF49-F31F27AC7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E"/>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3F27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27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270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270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270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270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270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270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270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70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270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270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270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270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27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27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27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270E"/>
    <w:rPr>
      <w:rFonts w:eastAsiaTheme="majorEastAsia" w:cstheme="majorBidi"/>
      <w:color w:val="272727" w:themeColor="text1" w:themeTint="D8"/>
    </w:rPr>
  </w:style>
  <w:style w:type="paragraph" w:styleId="Title">
    <w:name w:val="Title"/>
    <w:basedOn w:val="Normal"/>
    <w:next w:val="Normal"/>
    <w:link w:val="TitleChar"/>
    <w:uiPriority w:val="10"/>
    <w:qFormat/>
    <w:rsid w:val="003F270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7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7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27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270E"/>
    <w:pPr>
      <w:spacing w:before="160"/>
      <w:jc w:val="center"/>
    </w:pPr>
    <w:rPr>
      <w:i/>
      <w:iCs/>
      <w:color w:val="404040" w:themeColor="text1" w:themeTint="BF"/>
    </w:rPr>
  </w:style>
  <w:style w:type="character" w:customStyle="1" w:styleId="QuoteChar">
    <w:name w:val="Quote Char"/>
    <w:basedOn w:val="DefaultParagraphFont"/>
    <w:link w:val="Quote"/>
    <w:uiPriority w:val="29"/>
    <w:rsid w:val="003F270E"/>
    <w:rPr>
      <w:i/>
      <w:iCs/>
      <w:color w:val="404040" w:themeColor="text1" w:themeTint="BF"/>
    </w:rPr>
  </w:style>
  <w:style w:type="paragraph" w:styleId="ListParagraph">
    <w:name w:val="List Paragraph"/>
    <w:basedOn w:val="Normal"/>
    <w:uiPriority w:val="34"/>
    <w:qFormat/>
    <w:rsid w:val="003F270E"/>
    <w:pPr>
      <w:ind w:left="720"/>
      <w:contextualSpacing/>
    </w:pPr>
  </w:style>
  <w:style w:type="character" w:styleId="IntenseEmphasis">
    <w:name w:val="Intense Emphasis"/>
    <w:basedOn w:val="DefaultParagraphFont"/>
    <w:uiPriority w:val="21"/>
    <w:qFormat/>
    <w:rsid w:val="003F270E"/>
    <w:rPr>
      <w:i/>
      <w:iCs/>
      <w:color w:val="0F4761" w:themeColor="accent1" w:themeShade="BF"/>
    </w:rPr>
  </w:style>
  <w:style w:type="paragraph" w:styleId="IntenseQuote">
    <w:name w:val="Intense Quote"/>
    <w:basedOn w:val="Normal"/>
    <w:next w:val="Normal"/>
    <w:link w:val="IntenseQuoteChar"/>
    <w:uiPriority w:val="30"/>
    <w:qFormat/>
    <w:rsid w:val="003F27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270E"/>
    <w:rPr>
      <w:i/>
      <w:iCs/>
      <w:color w:val="0F4761" w:themeColor="accent1" w:themeShade="BF"/>
    </w:rPr>
  </w:style>
  <w:style w:type="character" w:styleId="IntenseReference">
    <w:name w:val="Intense Reference"/>
    <w:basedOn w:val="DefaultParagraphFont"/>
    <w:uiPriority w:val="32"/>
    <w:qFormat/>
    <w:rsid w:val="003F270E"/>
    <w:rPr>
      <w:b/>
      <w:bCs/>
      <w:smallCaps/>
      <w:color w:val="0F4761" w:themeColor="accent1" w:themeShade="BF"/>
      <w:spacing w:val="5"/>
    </w:rPr>
  </w:style>
  <w:style w:type="paragraph" w:customStyle="1" w:styleId="Default">
    <w:name w:val="Default"/>
    <w:rsid w:val="003F270E"/>
    <w:pPr>
      <w:autoSpaceDE w:val="0"/>
      <w:autoSpaceDN w:val="0"/>
      <w:adjustRightInd w:val="0"/>
      <w:spacing w:after="0" w:line="240" w:lineRule="auto"/>
    </w:pPr>
    <w:rPr>
      <w:rFonts w:ascii="Arial" w:eastAsia="Times New Roman" w:hAnsi="Arial" w:cs="Arial"/>
      <w:color w:val="000000"/>
      <w:kern w:val="0"/>
      <w:sz w:val="24"/>
      <w:szCs w:val="24"/>
      <w:lang w:val="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Viteikienė</dc:creator>
  <cp:keywords/>
  <dc:description/>
  <cp:lastModifiedBy>Milda Viteikienė</cp:lastModifiedBy>
  <cp:revision>4</cp:revision>
  <dcterms:created xsi:type="dcterms:W3CDTF">2024-12-23T08:10:00Z</dcterms:created>
  <dcterms:modified xsi:type="dcterms:W3CDTF">2024-12-23T08:24:00Z</dcterms:modified>
</cp:coreProperties>
</file>