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5771E6"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2FF3E2E0" w:rsidR="002244B9" w:rsidRPr="00A4290E" w:rsidRDefault="002244B9" w:rsidP="00425EC9">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3FE43065"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8A5C3E">
            <w:rPr>
              <w:rStyle w:val="normaltextrun"/>
              <w:rFonts w:ascii="Calibri" w:hAnsi="Calibri" w:cs="Segoe UI"/>
              <w:lang w:val="lt-LT"/>
            </w:rPr>
            <w:t xml:space="preserve">komisijos </w:t>
          </w:r>
          <w:r w:rsidRPr="00B91035">
            <w:rPr>
              <w:rStyle w:val="normaltextrun"/>
              <w:rFonts w:ascii="Calibri" w:hAnsi="Calibri" w:cs="Segoe UI"/>
              <w:lang w:val="lt-LT"/>
            </w:rPr>
            <w:t>2025-</w:t>
          </w:r>
          <w:r w:rsidR="00B91035" w:rsidRPr="00B91035">
            <w:rPr>
              <w:rStyle w:val="normaltextrun"/>
              <w:rFonts w:ascii="Calibri" w:hAnsi="Calibri" w:cs="Segoe UI"/>
              <w:lang w:val="lt-LT"/>
            </w:rPr>
            <w:t>12-17</w:t>
          </w:r>
          <w:r w:rsidR="00425EC9" w:rsidRPr="00B91035">
            <w:rPr>
              <w:rStyle w:val="normaltextrun"/>
              <w:rFonts w:ascii="Calibri" w:hAnsi="Calibri" w:cs="Segoe UI"/>
              <w:lang w:val="lt-LT"/>
            </w:rPr>
            <w:t xml:space="preserve"> </w:t>
          </w:r>
          <w:r w:rsidRPr="00B91035">
            <w:rPr>
              <w:rStyle w:val="normaltextrun"/>
              <w:rFonts w:ascii="Calibri" w:hAnsi="Calibri" w:cs="Segoe UI"/>
              <w:lang w:val="lt-LT"/>
            </w:rPr>
            <w:t>protokolu Nr.</w:t>
          </w:r>
          <w:r w:rsidRPr="00B91035">
            <w:rPr>
              <w:rStyle w:val="eop"/>
              <w:rFonts w:ascii="Calibri" w:hAnsi="Calibri" w:cs="Segoe UI"/>
            </w:rPr>
            <w:t> </w:t>
          </w:r>
          <w:r w:rsidR="00A86FF5" w:rsidRPr="00B91035">
            <w:rPr>
              <w:rStyle w:val="eop"/>
              <w:rFonts w:ascii="Calibri" w:hAnsi="Calibri" w:cs="Segoe UI"/>
            </w:rPr>
            <w:t>64Ū-</w:t>
          </w:r>
          <w:r w:rsidR="00B91035" w:rsidRPr="00B91035">
            <w:rPr>
              <w:rStyle w:val="eop"/>
              <w:rFonts w:ascii="Calibri" w:hAnsi="Calibri" w:cs="Segoe UI"/>
            </w:rPr>
            <w:t>540</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11480097"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bookmarkStart w:id="0" w:name="_GoBack"/>
          <w:r w:rsidR="00E55875" w:rsidRPr="00E55875">
            <w:rPr>
              <w:rFonts w:cstheme="minorHAnsi"/>
              <w:b/>
              <w:bCs/>
              <w:sz w:val="28"/>
              <w:szCs w:val="28"/>
            </w:rPr>
            <w:t>KIBERNETINIŲ GRĖSMIŲ PAIEŠKOS ĮRANKIŲ PROGRAMINĖS ĮRANGOS NUOMA</w:t>
          </w:r>
          <w:bookmarkEnd w:id="0"/>
          <w:r w:rsidR="0052542C">
            <w:rPr>
              <w:rFonts w:cstheme="minorHAnsi"/>
              <w:b/>
              <w:bCs/>
              <w:sz w:val="28"/>
              <w:szCs w:val="28"/>
            </w:rPr>
            <w:t>“</w:t>
          </w:r>
        </w:p>
        <w:p w14:paraId="18ACC6AD" w14:textId="3356AD18"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52542C">
      <w:pPr>
        <w:pStyle w:val="Heading1"/>
        <w:numPr>
          <w:ilvl w:val="0"/>
          <w:numId w:val="1"/>
        </w:numPr>
        <w:ind w:left="567" w:hanging="567"/>
        <w:contextualSpacing/>
        <w:rPr>
          <w:rFonts w:asciiTheme="minorHAnsi" w:hAnsiTheme="minorHAnsi" w:cstheme="minorBidi"/>
        </w:rPr>
      </w:pPr>
      <w:bookmarkStart w:id="1" w:name="_Toc205814594"/>
      <w:bookmarkStart w:id="2" w:name="_Toc335201954"/>
      <w:bookmarkStart w:id="3" w:name="_Toc147739116"/>
      <w:r w:rsidRPr="0005FB5A">
        <w:rPr>
          <w:rFonts w:asciiTheme="minorHAnsi" w:hAnsiTheme="minorHAnsi" w:cstheme="minorBidi"/>
        </w:rPr>
        <w:lastRenderedPageBreak/>
        <w:t>Bendra informacija</w:t>
      </w:r>
      <w:bookmarkEnd w:id="1"/>
    </w:p>
    <w:p w14:paraId="16826079" w14:textId="64194113" w:rsidR="002D7F06" w:rsidRPr="004E1135" w:rsidRDefault="002244B9" w:rsidP="0052542C">
      <w:pPr>
        <w:pStyle w:val="ListParagraph"/>
        <w:numPr>
          <w:ilvl w:val="1"/>
          <w:numId w:val="1"/>
        </w:numPr>
        <w:tabs>
          <w:tab w:val="left" w:pos="851"/>
        </w:tabs>
        <w:spacing w:after="0" w:line="240" w:lineRule="auto"/>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368ACD62" w:rsidR="002244B9" w:rsidRDefault="002244B9" w:rsidP="0052542C">
      <w:pPr>
        <w:pStyle w:val="ListParagraph"/>
        <w:numPr>
          <w:ilvl w:val="1"/>
          <w:numId w:val="1"/>
        </w:numPr>
        <w:tabs>
          <w:tab w:val="left" w:pos="993"/>
        </w:tabs>
        <w:spacing w:after="0" w:line="240" w:lineRule="auto"/>
        <w:ind w:left="0" w:firstLine="426"/>
        <w:jc w:val="both"/>
        <w:rPr>
          <w:rFonts w:eastAsia="Calibri"/>
        </w:rPr>
      </w:pPr>
      <w:r w:rsidRPr="002244B9">
        <w:rPr>
          <w:rFonts w:eastAsia="Calibri"/>
        </w:rPr>
        <w:t xml:space="preserve">Pirkimas neatliekamas naudojantis centralizuotų pirkimų katalogu, nes kataloge nėra siūloma </w:t>
      </w:r>
      <w:r w:rsidR="008A5C3E">
        <w:rPr>
          <w:rFonts w:eastAsia="Calibri"/>
        </w:rPr>
        <w:t>tinklo įrangos</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52542C">
      <w:pPr>
        <w:pStyle w:val="ListParagraph"/>
        <w:numPr>
          <w:ilvl w:val="1"/>
          <w:numId w:val="1"/>
        </w:numPr>
        <w:tabs>
          <w:tab w:val="left" w:pos="851"/>
        </w:tabs>
        <w:spacing w:after="0" w:line="240" w:lineRule="auto"/>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52542C">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6F75C63D" w14:textId="3A1E7D41" w:rsidR="0052542C" w:rsidRPr="00061543" w:rsidRDefault="002244B9" w:rsidP="00061543">
      <w:pPr>
        <w:pStyle w:val="ListParagraph"/>
        <w:numPr>
          <w:ilvl w:val="1"/>
          <w:numId w:val="5"/>
        </w:numPr>
        <w:tabs>
          <w:tab w:val="left" w:pos="851"/>
          <w:tab w:val="left" w:pos="1134"/>
        </w:tabs>
        <w:ind w:left="0" w:firstLine="426"/>
        <w:jc w:val="both"/>
        <w:rPr>
          <w:rFonts w:cstheme="minorHAnsi"/>
        </w:rPr>
      </w:pPr>
      <w:r w:rsidRPr="0052542C">
        <w:rPr>
          <w:rFonts w:cstheme="minorHAnsi"/>
        </w:rPr>
        <w:t xml:space="preserve">  </w:t>
      </w:r>
      <w:r w:rsidR="00061543" w:rsidRPr="00061543">
        <w:rPr>
          <w:rFonts w:cstheme="minorHAnsi"/>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 kadangi perkama programinės įrangos nuoma.</w:t>
      </w:r>
    </w:p>
    <w:p w14:paraId="14EF0C2E" w14:textId="14430B79" w:rsidR="00E35E7C" w:rsidRPr="0052542C" w:rsidRDefault="00E35E7C" w:rsidP="0052542C">
      <w:pPr>
        <w:pStyle w:val="ListParagraph"/>
        <w:numPr>
          <w:ilvl w:val="1"/>
          <w:numId w:val="5"/>
        </w:numPr>
        <w:tabs>
          <w:tab w:val="left" w:pos="851"/>
          <w:tab w:val="left" w:pos="1134"/>
        </w:tabs>
        <w:spacing w:line="240" w:lineRule="auto"/>
        <w:ind w:left="0" w:firstLine="426"/>
        <w:jc w:val="both"/>
        <w:rPr>
          <w:rFonts w:cstheme="minorHAnsi"/>
        </w:rPr>
      </w:pPr>
      <w:r w:rsidRPr="0052542C">
        <w:rPr>
          <w:rFonts w:cstheme="minorHAnsi"/>
          <w:sz w:val="22"/>
          <w:szCs w:val="22"/>
        </w:rPr>
        <w:t xml:space="preserve">Šiame pirkime </w:t>
      </w:r>
      <w:r w:rsidR="00885360" w:rsidRPr="0052542C">
        <w:rPr>
          <w:rFonts w:cstheme="minorHAnsi"/>
          <w:sz w:val="22"/>
          <w:szCs w:val="22"/>
        </w:rPr>
        <w:t>ne</w:t>
      </w:r>
      <w:r w:rsidRPr="0052542C">
        <w:rPr>
          <w:rFonts w:cstheme="minorHAnsi"/>
          <w:sz w:val="22"/>
          <w:szCs w:val="22"/>
        </w:rPr>
        <w:t>taikomi socialiniai kriterijai</w:t>
      </w:r>
      <w:r w:rsidR="00885360" w:rsidRPr="0052542C">
        <w:rPr>
          <w:rFonts w:cstheme="minorHAnsi"/>
          <w:sz w:val="22"/>
          <w:szCs w:val="22"/>
        </w:rPr>
        <w:t>.</w:t>
      </w:r>
    </w:p>
    <w:p w14:paraId="2413C02D" w14:textId="0B58850A" w:rsidR="00E32C8E" w:rsidRPr="00885360" w:rsidRDefault="00E32C8E" w:rsidP="0052542C">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52542C">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69FAA1" w:rsidR="004D070C" w:rsidRPr="00885360" w:rsidRDefault="00885360" w:rsidP="0052542C">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52542C">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4" w:name="_Ref39426332"/>
      <w:bookmarkStart w:id="5" w:name="_Ref39426338"/>
      <w:bookmarkStart w:id="6" w:name="_Toc205814595"/>
      <w:bookmarkEnd w:id="2"/>
      <w:r w:rsidRPr="0005FB5A">
        <w:rPr>
          <w:rFonts w:ascii="Calibri" w:hAnsi="Calibri" w:cs="Calibri"/>
        </w:rPr>
        <w:t>2</w:t>
      </w:r>
      <w:r>
        <w:t xml:space="preserve">. </w:t>
      </w:r>
      <w:r w:rsidR="618BAB30" w:rsidRPr="0005FB5A">
        <w:rPr>
          <w:rFonts w:asciiTheme="minorHAnsi" w:hAnsiTheme="minorHAnsi" w:cstheme="minorBidi"/>
        </w:rPr>
        <w:t>Pirkimo objektas</w:t>
      </w:r>
      <w:bookmarkEnd w:id="4"/>
      <w:bookmarkEnd w:id="5"/>
      <w:bookmarkEnd w:id="6"/>
    </w:p>
    <w:p w14:paraId="0B7B0A50" w14:textId="348ECE37"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061543" w:rsidRPr="00061543">
        <w:rPr>
          <w:rFonts w:eastAsia="Calibri"/>
          <w:b/>
          <w:bCs/>
        </w:rPr>
        <w:t xml:space="preserve">Kibernetinių grėsmių paieškos įrankių programinės </w:t>
      </w:r>
      <w:r w:rsidR="00061543">
        <w:rPr>
          <w:rFonts w:eastAsia="Calibri"/>
          <w:b/>
          <w:bCs/>
        </w:rPr>
        <w:t>įrangos nuom1</w:t>
      </w:r>
      <w:r w:rsidR="008C49A6">
        <w:rPr>
          <w:rFonts w:eastAsia="Calibri"/>
        </w:rPr>
        <w:t>.</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061543">
        <w:rPr>
          <w:rFonts w:cstheme="minorHAnsi"/>
        </w:rPr>
        <w:t>.</w:t>
      </w:r>
    </w:p>
    <w:p w14:paraId="19E26556" w14:textId="00939F29" w:rsidR="00B2718D" w:rsidRDefault="7A7A5620" w:rsidP="00061543">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061543">
        <w:t>ne</w:t>
      </w:r>
      <w:r w:rsidR="618BAB30" w:rsidRPr="0005FB5A">
        <w:t xml:space="preserve">skaidomas į </w:t>
      </w:r>
      <w:r w:rsidR="00B2718D">
        <w:t xml:space="preserve">pirkimo </w:t>
      </w:r>
      <w:r w:rsidR="618BAB30" w:rsidRPr="0005FB5A">
        <w:t>dalis</w:t>
      </w:r>
      <w:r w:rsidR="00B2718D">
        <w:t xml:space="preserve">: </w:t>
      </w:r>
    </w:p>
    <w:p w14:paraId="49B1DD57" w14:textId="56DA1B66" w:rsidR="00E93F89" w:rsidRPr="00A4290E" w:rsidRDefault="00061543" w:rsidP="0005FB5A">
      <w:pPr>
        <w:pStyle w:val="NoSpacing"/>
        <w:spacing w:after="120"/>
        <w:ind w:firstLine="709"/>
        <w:contextualSpacing/>
        <w:jc w:val="both"/>
      </w:pPr>
      <w:r>
        <w:t>2.3</w:t>
      </w:r>
      <w:r w:rsidR="00B2718D">
        <w:t xml:space="preserve">. </w:t>
      </w:r>
      <w:r w:rsidR="286DC71A" w:rsidRPr="0005FB5A">
        <w:t xml:space="preserve"> </w:t>
      </w:r>
      <w:r w:rsidR="00B2718D">
        <w:t>A</w:t>
      </w:r>
      <w:r w:rsidR="618BAB30" w:rsidRPr="0005FB5A">
        <w:t xml:space="preserve">pimtys ir dalykas, reikalavimai </w:t>
      </w:r>
      <w:r w:rsidR="57E39581" w:rsidRPr="0005FB5A">
        <w:t xml:space="preserve">ir techninė specifikacija </w:t>
      </w:r>
      <w:r w:rsidR="618BAB30" w:rsidRPr="0005FB5A">
        <w:t xml:space="preserve">apibrėžti </w:t>
      </w:r>
      <w:bookmarkStart w:id="7"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7"/>
      <w:r>
        <w:t>.</w:t>
      </w:r>
    </w:p>
    <w:p w14:paraId="0CA81FB8" w14:textId="6075BF69"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061543">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3C4767" w:rsidR="00004521" w:rsidRDefault="00004521" w:rsidP="00DE7037">
      <w:pPr>
        <w:pStyle w:val="ListParagraph"/>
        <w:spacing w:after="0" w:line="240" w:lineRule="auto"/>
        <w:ind w:left="0" w:firstLine="567"/>
        <w:jc w:val="both"/>
        <w:rPr>
          <w:rFonts w:cstheme="minorHAnsi"/>
        </w:rPr>
      </w:pPr>
      <w:r>
        <w:rPr>
          <w:rFonts w:cstheme="minorHAnsi"/>
        </w:rPr>
        <w:t>2.</w:t>
      </w:r>
      <w:r w:rsidR="00061543">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8" w:name="_Ref39473754"/>
      <w:bookmarkStart w:id="9" w:name="_Ref39473761"/>
      <w:bookmarkStart w:id="10"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r w:rsidRPr="0099327D">
        <w:rPr>
          <w:rFonts w:ascii="Calibri" w:eastAsia="Times New Roman" w:hAnsi="Calibri" w:cs="Segoe UI"/>
          <w:color w:val="000000"/>
          <w:lang w:val="en-US" w:eastAsia="en-US"/>
        </w:rPr>
        <w:t>Perkančioji organizacija nerengs objekto apžiūros.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1" w:name="_Toc205814596"/>
      <w:r w:rsidRPr="0005FB5A">
        <w:rPr>
          <w:rFonts w:asciiTheme="minorHAnsi" w:hAnsiTheme="minorHAnsi" w:cstheme="minorBidi"/>
        </w:rPr>
        <w:lastRenderedPageBreak/>
        <w:t>4. Ti</w:t>
      </w:r>
      <w:r w:rsidR="46633311" w:rsidRPr="0005FB5A">
        <w:rPr>
          <w:rFonts w:asciiTheme="minorHAnsi" w:hAnsiTheme="minorHAnsi" w:cstheme="minorBidi"/>
        </w:rPr>
        <w:t>ekėjų pašalinimo pagrindai</w:t>
      </w:r>
      <w:bookmarkEnd w:id="8"/>
      <w:bookmarkEnd w:id="9"/>
      <w:bookmarkEnd w:id="10"/>
      <w:r w:rsidR="42B99A84" w:rsidRPr="0005FB5A">
        <w:rPr>
          <w:rFonts w:asciiTheme="minorHAnsi" w:hAnsiTheme="minorHAnsi" w:cstheme="minorBidi"/>
        </w:rPr>
        <w:t xml:space="preserve"> ir kvalifikacijos reikalavimai</w:t>
      </w:r>
      <w:bookmarkEnd w:id="11"/>
    </w:p>
    <w:p w14:paraId="280574F6" w14:textId="77777777" w:rsidR="0099327D" w:rsidRPr="0099327D" w:rsidRDefault="0C615B3B" w:rsidP="0099327D">
      <w:pPr>
        <w:spacing w:after="0" w:line="240" w:lineRule="auto"/>
        <w:ind w:firstLine="555"/>
        <w:jc w:val="both"/>
        <w:textAlignment w:val="baseline"/>
        <w:rPr>
          <w:rFonts w:ascii="Segoe UI" w:eastAsia="Times New Roman" w:hAnsi="Segoe UI" w:cs="Segoe UI"/>
          <w:sz w:val="18"/>
          <w:szCs w:val="18"/>
          <w:lang w:val="en-US" w:eastAsia="en-US"/>
        </w:rPr>
      </w:pPr>
      <w:r w:rsidRPr="0005FB5A">
        <w:rPr>
          <w:rFonts w:ascii="Calibri" w:eastAsia="Times New Roman" w:hAnsi="Calibri"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62551614" w14:textId="27E8821B" w:rsidR="005771E6" w:rsidRDefault="0099327D" w:rsidP="0099327D">
      <w:pPr>
        <w:spacing w:after="0" w:line="240" w:lineRule="auto"/>
        <w:ind w:firstLine="555"/>
        <w:jc w:val="both"/>
        <w:textAlignment w:val="baseline"/>
        <w:rPr>
          <w:rFonts w:ascii="Calibri" w:eastAsia="Times New Roman" w:hAnsi="Calibri" w:cs="Segoe UI"/>
          <w:lang w:eastAsia="en-US"/>
        </w:rPr>
      </w:pPr>
      <w:r w:rsidRPr="0099327D">
        <w:rPr>
          <w:rFonts w:ascii="Calibri" w:eastAsia="Times New Roman" w:hAnsi="Calibri" w:cs="Segoe UI"/>
          <w:lang w:eastAsia="en-US"/>
        </w:rPr>
        <w:t xml:space="preserve">4.2.Tiekėjams </w:t>
      </w:r>
      <w:r w:rsidR="00061543">
        <w:rPr>
          <w:rFonts w:ascii="Calibri" w:eastAsia="Times New Roman" w:hAnsi="Calibri" w:cs="Segoe UI"/>
          <w:lang w:eastAsia="en-US"/>
        </w:rPr>
        <w:t>ne</w:t>
      </w:r>
      <w:r w:rsidR="005771E6">
        <w:rPr>
          <w:rFonts w:ascii="Calibri" w:eastAsia="Times New Roman" w:hAnsi="Calibri" w:cs="Segoe UI"/>
          <w:lang w:eastAsia="en-US"/>
        </w:rPr>
        <w:t>kelia</w:t>
      </w:r>
      <w:r w:rsidR="00061543">
        <w:rPr>
          <w:rFonts w:ascii="Calibri" w:eastAsia="Times New Roman" w:hAnsi="Calibri" w:cs="Segoe UI"/>
          <w:lang w:eastAsia="en-US"/>
        </w:rPr>
        <w:t>mi kvalifikacijos reikalavimai.</w:t>
      </w:r>
    </w:p>
    <w:p w14:paraId="69D62E2B" w14:textId="4BCD3612" w:rsidR="00A000BE" w:rsidRPr="0037632B" w:rsidRDefault="0C615B3B" w:rsidP="0005FB5A">
      <w:pPr>
        <w:pStyle w:val="Heading1"/>
        <w:tabs>
          <w:tab w:val="left" w:pos="567"/>
        </w:tabs>
        <w:spacing w:after="0"/>
        <w:contextualSpacing/>
        <w:jc w:val="both"/>
        <w:rPr>
          <w:rFonts w:cstheme="minorBidi"/>
        </w:rPr>
      </w:pPr>
      <w:bookmarkStart w:id="12"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2"/>
      <w:r w:rsidR="4A1A92DE">
        <w:t xml:space="preserve"> </w:t>
      </w:r>
    </w:p>
    <w:p w14:paraId="761AA263"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76D4A1E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14:paraId="56550BF0" w14:textId="4DAA3548"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Perkančioji organizacija nustačiusi, kad tiekėjo pasitelktas subtiekėjas ar ūkio subjektas, kurio pajėgumais remiamasi, tenkina Reglamento 5 k straipsnyje nustatytus ribojimus, reikalaus tiekėjo juos pakeisti kitais, konkurso sąlygų reikalavimus atitinkančiais</w:t>
      </w:r>
      <w:r w:rsidR="0021641D">
        <w:rPr>
          <w:color w:val="000000" w:themeColor="text1"/>
        </w:rPr>
        <w:t xml:space="preserve">, subjektais </w:t>
      </w:r>
      <w:r w:rsidRPr="009B5101">
        <w:rPr>
          <w:color w:val="000000" w:themeColor="text1"/>
        </w:rPr>
        <w:t>(specialiųjų konkurso sąlygų 6 priedas).</w:t>
      </w:r>
      <w:r w:rsidRPr="009B5101">
        <w:rPr>
          <w:color w:val="000000" w:themeColor="text1"/>
          <w:lang w:val="en-US"/>
        </w:rPr>
        <w:t> </w:t>
      </w:r>
    </w:p>
    <w:p w14:paraId="17B7E65C"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14:paraId="050D07AE" w14:textId="5F9F894E"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Tiekėjai kartu su pasiūlymu turi pateikti Viešųjų pirkimų tarnybos nustatytos formos atitikties deklaracij</w:t>
      </w:r>
      <w:r w:rsidR="0021641D">
        <w:rPr>
          <w:color w:val="000000" w:themeColor="text1"/>
        </w:rPr>
        <w:t>ą (konkurso specialiųjų sąlygų 9</w:t>
      </w:r>
      <w:r w:rsidRPr="009B5101">
        <w:rPr>
          <w:color w:val="000000" w:themeColor="text1"/>
        </w:rPr>
        <w:t xml:space="preserve">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14:paraId="5FEC50C9" w14:textId="63B076A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w:t>
      </w:r>
      <w:r w:rsidRPr="009B5101">
        <w:rPr>
          <w:color w:val="000000" w:themeColor="text1"/>
          <w:lang w:val="en-US"/>
        </w:rPr>
        <w:t xml:space="preserve"> </w:t>
      </w:r>
      <w:r w:rsidRPr="009B5101">
        <w:rPr>
          <w:color w:val="000000" w:themeColor="text1"/>
        </w:rPr>
        <w:t xml:space="preserve">Pirkimo </w:t>
      </w:r>
      <w:r w:rsidR="00061543">
        <w:rPr>
          <w:color w:val="000000" w:themeColor="text1"/>
        </w:rPr>
        <w:t>gali būti</w:t>
      </w:r>
      <w:r w:rsidRPr="009B5101">
        <w:rPr>
          <w:color w:val="000000" w:themeColor="text1"/>
        </w:rPr>
        <w:t xml:space="preserve"> atliekama patikra:</w:t>
      </w:r>
      <w:r w:rsidRPr="009B5101">
        <w:rPr>
          <w:color w:val="000000" w:themeColor="text1"/>
          <w:lang w:val="en-US"/>
        </w:rPr>
        <w:t> </w:t>
      </w:r>
    </w:p>
    <w:p w14:paraId="07E4202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Nacionaliniam saugumui užtikrinti svarbių objektų apsaugos įstatyme nustatyta tvarka;</w:t>
      </w:r>
      <w:r w:rsidRPr="009B5101">
        <w:rPr>
          <w:color w:val="000000" w:themeColor="text1"/>
          <w:lang w:val="en-US"/>
        </w:rPr>
        <w:t> </w:t>
      </w:r>
    </w:p>
    <w:p w14:paraId="55B2A95F"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r w:rsidRPr="009B5101">
        <w:rPr>
          <w:color w:val="000000" w:themeColor="text1"/>
          <w:lang w:val="en-US"/>
        </w:rPr>
        <w:t> </w:t>
      </w:r>
    </w:p>
    <w:p w14:paraId="4218919B" w14:textId="72F164EB"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w:t>
      </w:r>
      <w:r w:rsidRPr="009B5101">
        <w:rPr>
          <w:color w:val="000000" w:themeColor="text1"/>
          <w:lang w:val="en-US"/>
        </w:rPr>
        <w:t xml:space="preserve"> </w:t>
      </w:r>
      <w:r w:rsidRPr="009B5101">
        <w:rPr>
          <w:color w:val="000000" w:themeColor="text1"/>
        </w:rPr>
        <w:t xml:space="preserve">Nustačius pasiūlymų eilę, perkančioji organizacija </w:t>
      </w:r>
      <w:r w:rsidR="00061543">
        <w:rPr>
          <w:color w:val="000000" w:themeColor="text1"/>
        </w:rPr>
        <w:t>gali prašyti</w:t>
      </w:r>
      <w:r w:rsidRPr="009B5101">
        <w:rPr>
          <w:color w:val="000000" w:themeColor="text1"/>
        </w:rPr>
        <w:t xml:space="preserve"> tiekėjo pateikti nurodytus dokumentus (išrašus) (specialiųjų konkurso sąlygų</w:t>
      </w:r>
      <w:r w:rsidR="000B30CC">
        <w:rPr>
          <w:color w:val="000000" w:themeColor="text1"/>
        </w:rPr>
        <w:t xml:space="preserve"> 8 bei 9</w:t>
      </w:r>
      <w:r w:rsidRPr="009B5101">
        <w:rPr>
          <w:color w:val="000000" w:themeColor="text1"/>
        </w:rPr>
        <w:t xml:space="preserve"> priedai) ir :</w:t>
      </w:r>
      <w:r w:rsidRPr="009B5101">
        <w:rPr>
          <w:color w:val="000000" w:themeColor="text1"/>
          <w:lang w:val="en-US"/>
        </w:rPr>
        <w:t> </w:t>
      </w:r>
    </w:p>
    <w:p w14:paraId="4396B6F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5.8.1.</w:t>
      </w:r>
      <w:r w:rsidRPr="009B5101">
        <w:rPr>
          <w:color w:val="000000" w:themeColor="text1"/>
          <w:lang w:val="en-US"/>
        </w:rPr>
        <w:t xml:space="preserve"> </w:t>
      </w:r>
      <w:r w:rsidRPr="009B5101">
        <w:rPr>
          <w:color w:val="000000" w:themeColor="text1"/>
        </w:rPr>
        <w:t>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Perkančioji organizacija įvertinus visas aplinkybes galės kreiptis ir į kitas kompetentingas institucijas;</w:t>
      </w:r>
      <w:r w:rsidRPr="009B5101">
        <w:rPr>
          <w:color w:val="000000" w:themeColor="text1"/>
          <w:lang w:val="en-US"/>
        </w:rPr>
        <w:t> </w:t>
      </w:r>
    </w:p>
    <w:p w14:paraId="07F5B212" w14:textId="44CB4264"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5.8.2.</w:t>
      </w:r>
      <w:r w:rsidRPr="009B5101">
        <w:rPr>
          <w:color w:val="000000" w:themeColor="text1"/>
          <w:lang w:val="en-US"/>
        </w:rPr>
        <w:t xml:space="preserve"> </w:t>
      </w:r>
      <w:r w:rsidRPr="009B5101">
        <w:rPr>
          <w:color w:val="000000" w:themeColor="text1"/>
        </w:rPr>
        <w:t xml:space="preserve">kaip esminis kibernetinio saugumo subjektas, dėl informacijos pateikimo,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(konkurso specialiųjų sąlygų </w:t>
      </w:r>
      <w:r w:rsidR="0021641D">
        <w:rPr>
          <w:color w:val="000000" w:themeColor="text1"/>
        </w:rPr>
        <w:t>8</w:t>
      </w:r>
      <w:r w:rsidRPr="009B5101">
        <w:rPr>
          <w:color w:val="000000" w:themeColor="text1"/>
        </w:rPr>
        <w:t xml:space="preserve"> priedas).</w:t>
      </w:r>
      <w:r w:rsidRPr="009B5101">
        <w:rPr>
          <w:color w:val="000000" w:themeColor="text1"/>
          <w:lang w:val="en-US"/>
        </w:rPr>
        <w:t> </w:t>
      </w:r>
    </w:p>
    <w:p w14:paraId="77BD0094"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5.9.</w:t>
      </w:r>
      <w:r w:rsidRPr="009B5101">
        <w:rPr>
          <w:color w:val="000000" w:themeColor="text1"/>
          <w:lang w:val="en-US"/>
        </w:rPr>
        <w:t xml:space="preserve"> </w:t>
      </w:r>
      <w:r w:rsidRPr="009B5101">
        <w:rPr>
          <w:color w:val="000000" w:themeColor="text1"/>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14:paraId="28CC15C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14:paraId="386BDE8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Tiekėjas privalės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3" w:name="_Ref39666794"/>
      <w:bookmarkStart w:id="14" w:name="_Ref39666796"/>
      <w:bookmarkStart w:id="15"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3"/>
      <w:bookmarkEnd w:id="14"/>
      <w:bookmarkEnd w:id="15"/>
    </w:p>
    <w:p w14:paraId="3D47F821" w14:textId="3FE8D5E5"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66CD330D" w:rsid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92C79FF" w14:textId="67A9D6BD" w:rsidR="009B5101" w:rsidRDefault="009B5101" w:rsidP="00DF6A09">
      <w:pPr>
        <w:spacing w:after="0" w:line="240" w:lineRule="auto"/>
        <w:ind w:firstLine="709"/>
        <w:jc w:val="both"/>
        <w:rPr>
          <w:rFonts w:ascii="Calibri" w:hAnsi="Calibri" w:cs="Calibri"/>
        </w:rPr>
      </w:pPr>
      <w:r>
        <w:rPr>
          <w:rFonts w:ascii="Calibri" w:hAnsi="Calibri" w:cs="Calibri"/>
        </w:rPr>
        <w:t xml:space="preserve">6.1.3. </w:t>
      </w:r>
      <w:r w:rsidRPr="009B5101">
        <w:rPr>
          <w:rFonts w:ascii="Calibri" w:hAnsi="Calibri" w:cs="Calibri"/>
        </w:rPr>
        <w:t xml:space="preserve">užpildyta Tiekėjo deklaracija dėl atitikties Reglamento nuostatoms (konkurso specialiųjų </w:t>
      </w:r>
      <w:r w:rsidRPr="00997E25">
        <w:rPr>
          <w:rFonts w:ascii="Calibri" w:hAnsi="Calibri" w:cs="Calibri"/>
        </w:rPr>
        <w:t>sąlygų 6</w:t>
      </w:r>
      <w:r w:rsidRPr="009B5101">
        <w:rPr>
          <w:rFonts w:ascii="Calibri" w:hAnsi="Calibri" w:cs="Calibri"/>
        </w:rPr>
        <w:t xml:space="preserve"> priedas);</w:t>
      </w:r>
    </w:p>
    <w:p w14:paraId="72C0779E" w14:textId="44EFBE80" w:rsidR="00A973A6" w:rsidRDefault="009B5101" w:rsidP="006845E4">
      <w:pPr>
        <w:spacing w:after="0" w:line="240" w:lineRule="auto"/>
        <w:ind w:firstLine="709"/>
        <w:jc w:val="both"/>
        <w:rPr>
          <w:rFonts w:ascii="Calibri" w:hAnsi="Calibri" w:cs="Calibri"/>
        </w:rPr>
      </w:pPr>
      <w:r>
        <w:rPr>
          <w:rFonts w:ascii="Calibri" w:hAnsi="Calibri" w:cs="Calibri"/>
        </w:rPr>
        <w:t xml:space="preserve">6.1.4. </w:t>
      </w:r>
      <w:r w:rsidRPr="009B5101">
        <w:rPr>
          <w:rFonts w:ascii="Calibri" w:hAnsi="Calibri" w:cs="Calibri"/>
        </w:rPr>
        <w:t xml:space="preserve">užpildyta ir pasirašyta </w:t>
      </w:r>
      <w:r w:rsidR="00932AB1">
        <w:rPr>
          <w:rFonts w:ascii="Calibri" w:hAnsi="Calibri" w:cs="Calibri"/>
        </w:rPr>
        <w:t>„</w:t>
      </w:r>
      <w:r w:rsidRPr="009B5101">
        <w:rPr>
          <w:rFonts w:ascii="Calibri" w:hAnsi="Calibri" w:cs="Calibri"/>
        </w:rPr>
        <w:t>Nacionalinio saugumo reikalavimų atitikties deklaracija</w:t>
      </w:r>
      <w:r w:rsidR="00932AB1">
        <w:rPr>
          <w:rFonts w:ascii="Calibri" w:hAnsi="Calibri" w:cs="Calibri"/>
        </w:rPr>
        <w:t>“</w:t>
      </w:r>
      <w:r w:rsidRPr="009B5101">
        <w:rPr>
          <w:rFonts w:ascii="Calibri" w:hAnsi="Calibri" w:cs="Calibri"/>
        </w:rPr>
        <w:t xml:space="preserve"> (konkurso specialiųjų sąlygų </w:t>
      </w:r>
      <w:r w:rsidR="00997E25">
        <w:rPr>
          <w:rFonts w:ascii="Calibri" w:hAnsi="Calibri" w:cs="Calibri"/>
        </w:rPr>
        <w:t>7</w:t>
      </w:r>
      <w:r w:rsidRPr="009B5101">
        <w:rPr>
          <w:rFonts w:ascii="Calibri" w:hAnsi="Calibri" w:cs="Calibri"/>
        </w:rPr>
        <w:t xml:space="preserve"> priedas);</w:t>
      </w:r>
    </w:p>
    <w:p w14:paraId="63838C40" w14:textId="5F60EE67" w:rsidR="00932AB1" w:rsidRDefault="00932AB1" w:rsidP="006845E4">
      <w:pPr>
        <w:spacing w:after="0" w:line="240" w:lineRule="auto"/>
        <w:ind w:firstLine="709"/>
        <w:jc w:val="both"/>
        <w:rPr>
          <w:rFonts w:ascii="Calibri" w:hAnsi="Calibri" w:cs="Calibri"/>
        </w:rPr>
      </w:pPr>
      <w:r>
        <w:rPr>
          <w:rFonts w:ascii="Calibri" w:hAnsi="Calibri" w:cs="Calibri"/>
        </w:rPr>
        <w:t xml:space="preserve">6.1.5. užpildyta ir pasirašyta </w:t>
      </w:r>
      <w:r w:rsidRPr="00932AB1">
        <w:rPr>
          <w:rFonts w:ascii="Calibri" w:hAnsi="Calibri" w:cs="Calibri"/>
        </w:rPr>
        <w:t>„Tiekėjo deklaracija dėl at</w:t>
      </w:r>
      <w:r>
        <w:rPr>
          <w:rFonts w:ascii="Calibri" w:hAnsi="Calibri" w:cs="Calibri"/>
        </w:rPr>
        <w:t>itikties Reglamento nuostatoms“</w:t>
      </w:r>
      <w:r w:rsidRPr="00932AB1">
        <w:rPr>
          <w:rFonts w:ascii="Calibri" w:hAnsi="Calibri" w:cs="Calibri"/>
        </w:rPr>
        <w:t xml:space="preserve"> </w:t>
      </w:r>
      <w:r w:rsidRPr="009B5101">
        <w:rPr>
          <w:rFonts w:ascii="Calibri" w:hAnsi="Calibri" w:cs="Calibri"/>
        </w:rPr>
        <w:t xml:space="preserve">(konkurso specialiųjų sąlygų </w:t>
      </w:r>
      <w:r>
        <w:rPr>
          <w:rFonts w:ascii="Calibri" w:hAnsi="Calibri" w:cs="Calibri"/>
        </w:rPr>
        <w:t>6</w:t>
      </w:r>
      <w:r w:rsidRPr="009B5101">
        <w:rPr>
          <w:rFonts w:ascii="Calibri" w:hAnsi="Calibri" w:cs="Calibri"/>
        </w:rPr>
        <w:t xml:space="preserve"> priedas);</w:t>
      </w:r>
    </w:p>
    <w:p w14:paraId="5F039083" w14:textId="5386F8DB" w:rsidR="00932AB1" w:rsidRDefault="00932AB1" w:rsidP="00932AB1">
      <w:pPr>
        <w:spacing w:after="0" w:line="240" w:lineRule="auto"/>
        <w:ind w:firstLine="709"/>
        <w:jc w:val="both"/>
        <w:rPr>
          <w:rFonts w:ascii="Calibri" w:hAnsi="Calibri" w:cs="Calibri"/>
        </w:rPr>
      </w:pPr>
      <w:r>
        <w:rPr>
          <w:rFonts w:ascii="Calibri" w:hAnsi="Calibri" w:cs="Calibri"/>
        </w:rPr>
        <w:t>6.1.6. užpildyta ir pasirašyta forma „S</w:t>
      </w:r>
      <w:r w:rsidRPr="00932AB1">
        <w:rPr>
          <w:rFonts w:ascii="Calibri" w:hAnsi="Calibri" w:cs="Calibri"/>
        </w:rPr>
        <w:t>andorio šalies ir (ar) subtiekėjo duomenys</w:t>
      </w:r>
      <w:r>
        <w:rPr>
          <w:rFonts w:ascii="Calibri" w:hAnsi="Calibri" w:cs="Calibri"/>
        </w:rPr>
        <w:t>“ (</w:t>
      </w:r>
      <w:r w:rsidRPr="009B5101">
        <w:rPr>
          <w:rFonts w:ascii="Calibri" w:hAnsi="Calibri" w:cs="Calibri"/>
        </w:rPr>
        <w:t xml:space="preserve">konkurso specialiųjų sąlygų </w:t>
      </w:r>
      <w:r>
        <w:rPr>
          <w:rFonts w:ascii="Calibri" w:hAnsi="Calibri" w:cs="Calibri"/>
        </w:rPr>
        <w:t>8</w:t>
      </w:r>
      <w:r w:rsidRPr="009B5101">
        <w:rPr>
          <w:rFonts w:ascii="Calibri" w:hAnsi="Calibri" w:cs="Calibri"/>
        </w:rPr>
        <w:t xml:space="preserve"> priedas);</w:t>
      </w:r>
    </w:p>
    <w:p w14:paraId="4290D630" w14:textId="2D0EA837" w:rsidR="00932AB1" w:rsidRPr="00932AB1" w:rsidRDefault="00932AB1" w:rsidP="00932AB1">
      <w:pPr>
        <w:spacing w:after="0" w:line="240" w:lineRule="auto"/>
        <w:ind w:firstLine="709"/>
        <w:jc w:val="both"/>
        <w:rPr>
          <w:rFonts w:ascii="Calibri" w:hAnsi="Calibri" w:cs="Calibri"/>
        </w:rPr>
      </w:pPr>
      <w:r>
        <w:rPr>
          <w:rFonts w:ascii="Calibri" w:hAnsi="Calibri" w:cs="Calibri"/>
        </w:rPr>
        <w:t>6.1.7. užpildyta ir pasirašyta forma „</w:t>
      </w:r>
      <w:r w:rsidRPr="00932AB1">
        <w:rPr>
          <w:rFonts w:ascii="Calibri" w:hAnsi="Calibri" w:cs="Calibri"/>
        </w:rPr>
        <w:t>Informacija apie tiekėją (subtiekėją, subteikėją, subrangovą, kitą sutartinai veikiantį ūkio subjektą, kurio pajėgumais remiasi, gamintoją ar juos kontroliuojantį asmenį)</w:t>
      </w:r>
      <w:r>
        <w:rPr>
          <w:rFonts w:ascii="Calibri" w:hAnsi="Calibri" w:cs="Calibri"/>
        </w:rPr>
        <w:t>“</w:t>
      </w:r>
      <w:r w:rsidRPr="00932AB1">
        <w:rPr>
          <w:rFonts w:ascii="Calibri" w:hAnsi="Calibri" w:cs="Calibri"/>
        </w:rPr>
        <w:t xml:space="preserve"> (konkurso specialiųjų sąlygų 9 priedas)</w:t>
      </w:r>
      <w:r>
        <w:rPr>
          <w:rFonts w:ascii="Calibri" w:hAnsi="Calibri" w:cs="Calibri"/>
        </w:rPr>
        <w:t>;</w:t>
      </w:r>
    </w:p>
    <w:p w14:paraId="6179E7AD" w14:textId="22CE7CA3" w:rsidR="00E101B8" w:rsidRPr="00516043" w:rsidRDefault="00A973A6" w:rsidP="00DF6A09">
      <w:pPr>
        <w:spacing w:after="0" w:line="240" w:lineRule="auto"/>
        <w:ind w:firstLine="709"/>
        <w:jc w:val="both"/>
        <w:rPr>
          <w:rFonts w:ascii="Calibri" w:hAnsi="Calibri" w:cs="Calibri"/>
        </w:rPr>
      </w:pPr>
      <w:r>
        <w:rPr>
          <w:rFonts w:ascii="Calibri" w:hAnsi="Calibri" w:cs="Calibri"/>
        </w:rPr>
        <w:t>6</w:t>
      </w:r>
      <w:r w:rsidR="006845E4">
        <w:rPr>
          <w:rFonts w:ascii="Calibri" w:hAnsi="Calibri" w:cs="Calibri"/>
        </w:rPr>
        <w:t>.1.</w:t>
      </w:r>
      <w:r w:rsidR="00932AB1">
        <w:rPr>
          <w:rFonts w:ascii="Calibri" w:hAnsi="Calibri" w:cs="Calibri"/>
        </w:rPr>
        <w:t>8</w:t>
      </w:r>
      <w:r w:rsidR="00E101B8" w:rsidRPr="00E101B8">
        <w:rPr>
          <w:rFonts w:ascii="Calibri" w:hAnsi="Calibri" w:cs="Calibri"/>
        </w:rPr>
        <w:t>. jungtinės veiklos sutarties kopija</w:t>
      </w:r>
      <w:r w:rsidR="00516043">
        <w:rPr>
          <w:rFonts w:ascii="Calibri" w:hAnsi="Calibri" w:cs="Calibri"/>
        </w:rPr>
        <w:t xml:space="preserve"> </w:t>
      </w:r>
      <w:r w:rsidR="00E101B8"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00E101B8" w:rsidRPr="00E101B8">
        <w:rPr>
          <w:rFonts w:ascii="Calibri" w:hAnsi="Calibri" w:cs="Calibri"/>
        </w:rPr>
        <w:t xml:space="preserve">dalyvauja </w:t>
      </w:r>
      <w:r w:rsidR="00090F9B">
        <w:rPr>
          <w:rFonts w:ascii="Calibri" w:hAnsi="Calibri" w:cs="Calibri"/>
        </w:rPr>
        <w:t>ūkio subjektų</w:t>
      </w:r>
      <w:r w:rsidR="00E101B8"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00E101B8" w:rsidRPr="005F152B">
        <w:rPr>
          <w:rFonts w:ascii="Calibri" w:hAnsi="Calibri" w:cs="Calibri"/>
        </w:rPr>
        <w:t>);</w:t>
      </w:r>
    </w:p>
    <w:p w14:paraId="1CB9BDD4" w14:textId="0C5D12C3" w:rsidR="00E101B8" w:rsidRPr="00E101B8" w:rsidRDefault="00932AB1" w:rsidP="00DF6A09">
      <w:pPr>
        <w:spacing w:after="0" w:line="240" w:lineRule="auto"/>
        <w:ind w:firstLine="709"/>
        <w:jc w:val="both"/>
        <w:rPr>
          <w:rFonts w:ascii="Calibri" w:hAnsi="Calibri" w:cs="Calibri"/>
        </w:rPr>
      </w:pPr>
      <w:r>
        <w:rPr>
          <w:rFonts w:ascii="Calibri" w:hAnsi="Calibri" w:cs="Calibri"/>
        </w:rPr>
        <w:t>6.1.9</w:t>
      </w:r>
      <w:r w:rsidR="00E101B8" w:rsidRPr="00E101B8">
        <w:rPr>
          <w:rFonts w:ascii="Calibri" w:hAnsi="Calibri" w:cs="Calibri"/>
        </w:rPr>
        <w:t xml:space="preserve">. dokumentas, patvirtinantis, kad asmuo, kuris pasirašė </w:t>
      </w:r>
      <w:r w:rsidR="005F152B">
        <w:rPr>
          <w:rFonts w:ascii="Calibri" w:hAnsi="Calibri" w:cs="Calibri"/>
        </w:rPr>
        <w:t>p</w:t>
      </w:r>
      <w:r w:rsidR="00E101B8" w:rsidRPr="00E101B8">
        <w:rPr>
          <w:rFonts w:ascii="Calibri" w:hAnsi="Calibri" w:cs="Calibri"/>
        </w:rPr>
        <w:t xml:space="preserve">asiūlymą (jei jis ne tiekėjo vadovas), turėjo teisę </w:t>
      </w:r>
      <w:r w:rsidR="005647FE">
        <w:rPr>
          <w:rFonts w:ascii="Calibri" w:hAnsi="Calibri" w:cs="Calibri"/>
        </w:rPr>
        <w:t xml:space="preserve">jį </w:t>
      </w:r>
      <w:r w:rsidR="00E101B8" w:rsidRPr="00E101B8">
        <w:rPr>
          <w:rFonts w:ascii="Calibri" w:hAnsi="Calibri" w:cs="Calibri"/>
        </w:rPr>
        <w:t>pasirašyti;</w:t>
      </w:r>
    </w:p>
    <w:p w14:paraId="46AF0259" w14:textId="433CE237"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00932AB1">
        <w:rPr>
          <w:rFonts w:ascii="Calibri" w:hAnsi="Calibri" w:cs="Calibri"/>
        </w:rPr>
        <w:t>10</w:t>
      </w:r>
      <w:r w:rsidR="299B3878" w:rsidRPr="0005FB5A">
        <w:rPr>
          <w:rFonts w:ascii="Calibri" w:hAnsi="Calibri" w:cs="Calibri"/>
        </w:rPr>
        <w:t>. jei tiekėjas pasitelkia ūkio subjektus, kurių pajėgumais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76F48C0F" w:rsid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0932AB1">
        <w:rPr>
          <w:rFonts w:ascii="Calibri" w:hAnsi="Calibri" w:cs="Calibri"/>
        </w:rPr>
        <w:t>11</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1A190BCA" w14:textId="1CAEFC04"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00061543">
        <w:rPr>
          <w:rFonts w:ascii="Calibri" w:hAnsi="Calibri" w:cs="Calibri"/>
        </w:rPr>
        <w:t>12</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009B5101">
        <w:rPr>
          <w:rFonts w:ascii="Calibri" w:hAnsi="Calibri" w:cs="Calibri"/>
        </w:rPr>
        <w:t xml:space="preserve"> (pagal atskiras pirkimo dalis)</w:t>
      </w:r>
      <w:r w:rsidRPr="57D981F2">
        <w:rPr>
          <w:rFonts w:ascii="Calibri" w:hAnsi="Calibri" w:cs="Calibri"/>
          <w:i/>
          <w:iCs/>
        </w:rPr>
        <w:t>;</w:t>
      </w:r>
    </w:p>
    <w:p w14:paraId="632C3830" w14:textId="3F99EA0E" w:rsidR="00CE407D" w:rsidRDefault="00061543" w:rsidP="00CE407D">
      <w:pPr>
        <w:spacing w:after="0" w:line="240" w:lineRule="auto"/>
        <w:ind w:firstLine="709"/>
        <w:jc w:val="both"/>
        <w:rPr>
          <w:rFonts w:cs="Times New Roman"/>
          <w:color w:val="000000" w:themeColor="text1"/>
          <w:sz w:val="20"/>
          <w:szCs w:val="20"/>
        </w:rPr>
      </w:pPr>
      <w:r>
        <w:rPr>
          <w:rFonts w:ascii="Calibri" w:hAnsi="Calibri" w:cs="Calibri"/>
          <w:iCs/>
        </w:rPr>
        <w:t>6.1.13</w:t>
      </w:r>
      <w:r w:rsidR="39EF6F96" w:rsidRPr="009B5101">
        <w:rPr>
          <w:rFonts w:ascii="Calibri" w:hAnsi="Calibri" w:cs="Calibri"/>
          <w:i/>
          <w:iCs/>
        </w:rPr>
        <w:t xml:space="preserve">. </w:t>
      </w:r>
      <w:r w:rsidR="00CE407D" w:rsidRPr="009B5101">
        <w:rPr>
          <w:rFonts w:cs="Times New Roman"/>
          <w:color w:val="000000" w:themeColor="text1"/>
        </w:rPr>
        <w:t>pasiūlytų prekių atitiktį techninės specifikacijos reikalav</w:t>
      </w:r>
      <w:r w:rsidR="005771E6">
        <w:rPr>
          <w:rFonts w:cs="Times New Roman"/>
          <w:color w:val="000000" w:themeColor="text1"/>
        </w:rPr>
        <w:t>imams pagrindžiantys dokumentai</w:t>
      </w:r>
      <w:r>
        <w:rPr>
          <w:rFonts w:cs="Times New Roman"/>
          <w:color w:val="000000" w:themeColor="text1"/>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205814599"/>
      <w:bookmarkEnd w:id="16"/>
      <w:bookmarkEnd w:id="17"/>
      <w:bookmarkEnd w:id="18"/>
      <w:bookmarkEnd w:id="19"/>
      <w:bookmarkEnd w:id="20"/>
      <w:r w:rsidRPr="0005FB5A">
        <w:rPr>
          <w:rFonts w:asciiTheme="minorHAnsi" w:hAnsiTheme="minorHAnsi" w:cstheme="minorBidi"/>
        </w:rPr>
        <w:t>Pasiūlymo galiojimo užtikrinimas</w:t>
      </w:r>
      <w:bookmarkEnd w:id="21"/>
      <w:bookmarkEnd w:id="22"/>
      <w:bookmarkEnd w:id="23"/>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4" w:name="_Ref39658218"/>
      <w:bookmarkStart w:id="25" w:name="_Ref39658226"/>
      <w:bookmarkStart w:id="26" w:name="_Ref39658248"/>
      <w:bookmarkStart w:id="27" w:name="_Ref39658251"/>
      <w:bookmarkStart w:id="28" w:name="_Toc205814600"/>
      <w:bookmarkStart w:id="29" w:name="_Ref39485250"/>
      <w:bookmarkStart w:id="30" w:name="_Ref39485258"/>
      <w:r w:rsidRPr="0005FB5A">
        <w:rPr>
          <w:rFonts w:asciiTheme="minorHAnsi" w:hAnsiTheme="minorHAnsi" w:cstheme="minorBidi"/>
        </w:rPr>
        <w:t>Elektroninis aukcionas</w:t>
      </w:r>
      <w:bookmarkEnd w:id="24"/>
      <w:bookmarkEnd w:id="25"/>
      <w:bookmarkEnd w:id="26"/>
      <w:bookmarkEnd w:id="27"/>
      <w:bookmarkEnd w:id="28"/>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1" w:name="_Ref39667303"/>
      <w:bookmarkStart w:id="32" w:name="_Ref39667308"/>
      <w:bookmarkStart w:id="33"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9"/>
      <w:bookmarkEnd w:id="30"/>
      <w:bookmarkEnd w:id="31"/>
      <w:bookmarkEnd w:id="32"/>
      <w:bookmarkEnd w:id="33"/>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4"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4"/>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5" w:name="_Ref39425999"/>
      <w:bookmarkStart w:id="36" w:name="_Ref39426005"/>
      <w:bookmarkStart w:id="37"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5"/>
      <w:bookmarkEnd w:id="36"/>
      <w:bookmarkEnd w:id="37"/>
    </w:p>
    <w:p w14:paraId="27CAEFF7" w14:textId="6FC07CBD"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6E76A9">
        <w:t>10</w:t>
      </w:r>
      <w:r w:rsidR="001644C0" w:rsidRPr="0019186C">
        <w:t xml:space="preserve"> </w:t>
      </w:r>
      <w:r w:rsidR="00D86901" w:rsidRPr="0019186C">
        <w:t xml:space="preserve">priede </w:t>
      </w:r>
      <w:r w:rsidR="001644C0" w:rsidRPr="0019186C">
        <w:t>„Specialiosios pirkimo sutarties sąlygos".</w:t>
      </w:r>
    </w:p>
    <w:bookmarkEnd w:id="3"/>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8" w:name="_Toc205814603"/>
      <w:r w:rsidRPr="000C13F9">
        <w:rPr>
          <w:rFonts w:asciiTheme="minorHAnsi" w:hAnsiTheme="minorHAnsi" w:cstheme="minorBidi"/>
          <w:color w:val="auto"/>
          <w:sz w:val="21"/>
          <w:szCs w:val="21"/>
        </w:rPr>
        <w:t>P</w:t>
      </w:r>
      <w:r w:rsidR="5CF246DC" w:rsidRPr="000C13F9">
        <w:rPr>
          <w:rFonts w:asciiTheme="minorHAnsi" w:hAnsiTheme="minorHAnsi" w:cstheme="minorBidi"/>
          <w:color w:val="auto"/>
          <w:sz w:val="21"/>
          <w:szCs w:val="21"/>
        </w:rPr>
        <w:t>irkimo sąlygų 1 priedas „Terminai“</w:t>
      </w:r>
      <w:bookmarkEnd w:id="3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D030F" w:rsidRPr="002D030F" w14:paraId="7B116549" w14:textId="77777777" w:rsidTr="00061543">
        <w:trPr>
          <w:trHeight w:val="20"/>
        </w:trPr>
        <w:tc>
          <w:tcPr>
            <w:tcW w:w="726" w:type="dxa"/>
            <w:shd w:val="clear" w:color="auto" w:fill="D9D9D9" w:themeFill="background1" w:themeFillShade="D9"/>
            <w:tcMar>
              <w:top w:w="0" w:type="dxa"/>
              <w:left w:w="108" w:type="dxa"/>
              <w:bottom w:w="0" w:type="dxa"/>
              <w:right w:w="108" w:type="dxa"/>
            </w:tcMar>
          </w:tcPr>
          <w:p w14:paraId="395B905E" w14:textId="77777777" w:rsidR="002D030F" w:rsidRPr="002D030F" w:rsidRDefault="002D030F" w:rsidP="002D030F">
            <w:pPr>
              <w:jc w:val="center"/>
              <w:rPr>
                <w:rFonts w:cstheme="minorHAnsi"/>
                <w:b/>
                <w:bCs/>
              </w:rPr>
            </w:pPr>
            <w:r w:rsidRPr="002D030F">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8BE2FF5" w14:textId="77777777" w:rsidR="002D030F" w:rsidRPr="002D030F" w:rsidRDefault="002D030F" w:rsidP="002D030F">
            <w:pPr>
              <w:jc w:val="center"/>
              <w:rPr>
                <w:rFonts w:cstheme="minorHAnsi"/>
                <w:b/>
                <w:bCs/>
              </w:rPr>
            </w:pPr>
            <w:r w:rsidRPr="002D030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3427A43" w14:textId="77777777" w:rsidR="002D030F" w:rsidRPr="002D030F" w:rsidRDefault="002D030F" w:rsidP="002D030F">
            <w:pPr>
              <w:spacing w:after="0"/>
              <w:jc w:val="center"/>
              <w:rPr>
                <w:rFonts w:cstheme="minorHAnsi"/>
                <w:b/>
              </w:rPr>
            </w:pPr>
            <w:r w:rsidRPr="002D030F">
              <w:rPr>
                <w:rFonts w:cstheme="minorHAnsi"/>
                <w:b/>
              </w:rPr>
              <w:t>DATA/DIENŲ SKAIČIUS/ LAIKAS</w:t>
            </w:r>
          </w:p>
          <w:p w14:paraId="28590EEB" w14:textId="77777777" w:rsidR="002D030F" w:rsidRPr="002D030F" w:rsidRDefault="002D030F" w:rsidP="002D030F">
            <w:pPr>
              <w:spacing w:after="0"/>
              <w:jc w:val="center"/>
              <w:rPr>
                <w:rFonts w:cstheme="minorHAnsi"/>
              </w:rPr>
            </w:pPr>
            <w:r w:rsidRPr="002D030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B9E1826" w14:textId="77777777" w:rsidR="002D030F" w:rsidRPr="002D030F" w:rsidRDefault="002D030F" w:rsidP="002D030F">
            <w:pPr>
              <w:jc w:val="center"/>
              <w:rPr>
                <w:rFonts w:cstheme="minorHAnsi"/>
                <w:b/>
              </w:rPr>
            </w:pPr>
            <w:r w:rsidRPr="002D030F">
              <w:rPr>
                <w:rFonts w:cstheme="minorHAnsi"/>
                <w:b/>
              </w:rPr>
              <w:t>PASTABOS</w:t>
            </w:r>
          </w:p>
        </w:tc>
      </w:tr>
      <w:tr w:rsidR="002D030F" w:rsidRPr="002D030F" w14:paraId="57D269F4" w14:textId="77777777" w:rsidTr="00061543">
        <w:trPr>
          <w:trHeight w:val="20"/>
        </w:trPr>
        <w:tc>
          <w:tcPr>
            <w:tcW w:w="726" w:type="dxa"/>
            <w:tcMar>
              <w:top w:w="0" w:type="dxa"/>
              <w:left w:w="108" w:type="dxa"/>
              <w:bottom w:w="0" w:type="dxa"/>
              <w:right w:w="108" w:type="dxa"/>
            </w:tcMar>
          </w:tcPr>
          <w:p w14:paraId="6567888B" w14:textId="77777777" w:rsidR="002D030F" w:rsidRPr="002D030F" w:rsidRDefault="002D030F" w:rsidP="002D030F">
            <w:pPr>
              <w:keepNext/>
              <w:spacing w:after="0" w:line="240" w:lineRule="auto"/>
              <w:rPr>
                <w:rFonts w:cstheme="minorHAnsi"/>
                <w:bCs/>
              </w:rPr>
            </w:pPr>
            <w:r w:rsidRPr="002D030F">
              <w:rPr>
                <w:rFonts w:cstheme="minorHAnsi"/>
                <w:bCs/>
              </w:rPr>
              <w:t>1.</w:t>
            </w:r>
          </w:p>
        </w:tc>
        <w:tc>
          <w:tcPr>
            <w:tcW w:w="2531" w:type="dxa"/>
            <w:tcMar>
              <w:top w:w="0" w:type="dxa"/>
              <w:left w:w="108" w:type="dxa"/>
              <w:bottom w:w="0" w:type="dxa"/>
              <w:right w:w="108" w:type="dxa"/>
            </w:tcMar>
          </w:tcPr>
          <w:p w14:paraId="4FEE3368" w14:textId="77777777" w:rsidR="002D030F" w:rsidRPr="002D030F" w:rsidRDefault="002D030F" w:rsidP="002D030F">
            <w:pPr>
              <w:keepNext/>
              <w:spacing w:after="0" w:line="240" w:lineRule="auto"/>
              <w:rPr>
                <w:rFonts w:cstheme="minorHAnsi"/>
                <w:sz w:val="22"/>
                <w:szCs w:val="22"/>
              </w:rPr>
            </w:pPr>
            <w:r w:rsidRPr="002D030F">
              <w:rPr>
                <w:rFonts w:cstheme="minorHAnsi"/>
                <w:bCs/>
              </w:rPr>
              <w:t>Pasiūlymų pateikimo terminas</w:t>
            </w:r>
          </w:p>
        </w:tc>
        <w:tc>
          <w:tcPr>
            <w:tcW w:w="3643" w:type="dxa"/>
            <w:tcMar>
              <w:top w:w="0" w:type="dxa"/>
              <w:left w:w="108" w:type="dxa"/>
              <w:bottom w:w="0" w:type="dxa"/>
              <w:right w:w="108" w:type="dxa"/>
            </w:tcMar>
          </w:tcPr>
          <w:p w14:paraId="003700BD" w14:textId="77777777" w:rsidR="002D030F" w:rsidRPr="002D030F" w:rsidRDefault="002D030F" w:rsidP="002D030F">
            <w:pPr>
              <w:spacing w:after="0" w:line="240" w:lineRule="auto"/>
              <w:rPr>
                <w:rFonts w:cstheme="minorHAnsi"/>
              </w:rPr>
            </w:pPr>
            <w:r w:rsidRPr="002D030F">
              <w:rPr>
                <w:rFonts w:cs="Times New Roman"/>
              </w:rPr>
              <w:t xml:space="preserve">nurodytas skelbime </w:t>
            </w:r>
          </w:p>
        </w:tc>
        <w:tc>
          <w:tcPr>
            <w:tcW w:w="2954" w:type="dxa"/>
            <w:tcMar>
              <w:top w:w="0" w:type="dxa"/>
              <w:left w:w="108" w:type="dxa"/>
              <w:bottom w:w="0" w:type="dxa"/>
              <w:right w:w="108" w:type="dxa"/>
            </w:tcMar>
          </w:tcPr>
          <w:p w14:paraId="592411F9" w14:textId="77777777" w:rsidR="002D030F" w:rsidRPr="002D030F" w:rsidRDefault="002D030F" w:rsidP="002D030F">
            <w:pPr>
              <w:spacing w:after="0" w:line="240" w:lineRule="auto"/>
              <w:rPr>
                <w:rFonts w:cstheme="minorHAnsi"/>
                <w:iCs/>
              </w:rPr>
            </w:pPr>
            <w:r w:rsidRPr="002D030F">
              <w:rPr>
                <w:rFonts w:cstheme="minorHAnsi"/>
              </w:rPr>
              <w:t>Perkančioji organizacija turi teisę pratęsti pasiūlymų pateikimo terminą.</w:t>
            </w:r>
          </w:p>
        </w:tc>
      </w:tr>
      <w:tr w:rsidR="002D030F" w:rsidRPr="002D030F" w14:paraId="28F610CA" w14:textId="77777777" w:rsidTr="00061543">
        <w:trPr>
          <w:trHeight w:val="20"/>
        </w:trPr>
        <w:tc>
          <w:tcPr>
            <w:tcW w:w="726" w:type="dxa"/>
            <w:tcMar>
              <w:top w:w="0" w:type="dxa"/>
              <w:left w:w="108" w:type="dxa"/>
              <w:bottom w:w="0" w:type="dxa"/>
              <w:right w:w="108" w:type="dxa"/>
            </w:tcMar>
          </w:tcPr>
          <w:p w14:paraId="3E379E77" w14:textId="77777777" w:rsidR="002D030F" w:rsidRPr="002D030F" w:rsidRDefault="002D030F" w:rsidP="002D030F">
            <w:pPr>
              <w:keepNext/>
              <w:spacing w:after="0" w:line="240" w:lineRule="auto"/>
              <w:rPr>
                <w:rFonts w:cstheme="minorHAnsi"/>
                <w:bCs/>
              </w:rPr>
            </w:pPr>
            <w:r w:rsidRPr="002D030F">
              <w:rPr>
                <w:rFonts w:cstheme="minorHAnsi"/>
                <w:bCs/>
              </w:rPr>
              <w:t>2.</w:t>
            </w:r>
          </w:p>
        </w:tc>
        <w:tc>
          <w:tcPr>
            <w:tcW w:w="2531" w:type="dxa"/>
            <w:tcMar>
              <w:top w:w="0" w:type="dxa"/>
              <w:left w:w="108" w:type="dxa"/>
              <w:bottom w:w="0" w:type="dxa"/>
              <w:right w:w="108" w:type="dxa"/>
            </w:tcMar>
          </w:tcPr>
          <w:p w14:paraId="76C7197D" w14:textId="77777777" w:rsidR="002D030F" w:rsidRPr="002D030F" w:rsidRDefault="002D030F" w:rsidP="002D030F">
            <w:pPr>
              <w:keepNext/>
              <w:spacing w:after="0" w:line="240" w:lineRule="auto"/>
              <w:rPr>
                <w:rFonts w:cstheme="minorHAnsi"/>
                <w:sz w:val="22"/>
                <w:szCs w:val="22"/>
              </w:rPr>
            </w:pPr>
            <w:r w:rsidRPr="002D030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4F29BD95" w14:textId="77777777" w:rsidR="002D030F" w:rsidRPr="002D030F" w:rsidRDefault="002D030F" w:rsidP="002D030F">
            <w:pPr>
              <w:spacing w:after="0" w:line="240" w:lineRule="auto"/>
              <w:rPr>
                <w:rFonts w:cstheme="minorHAnsi"/>
              </w:rPr>
            </w:pPr>
            <w:r w:rsidRPr="002D030F">
              <w:rPr>
                <w:rFonts w:cstheme="minorHAnsi"/>
              </w:rPr>
              <w:t xml:space="preserve">Pradedamas ne anksčiau nei </w:t>
            </w:r>
            <w:r w:rsidRPr="002D030F">
              <w:rPr>
                <w:rFonts w:cstheme="minorHAnsi"/>
                <w:color w:val="000000" w:themeColor="text1"/>
              </w:rPr>
              <w:t>po 30 minučių</w:t>
            </w:r>
            <w:r w:rsidRPr="002D030F">
              <w:rPr>
                <w:rFonts w:cstheme="minorHAnsi"/>
              </w:rPr>
              <w:t xml:space="preserve"> po pasiūlymų pateikimo termino pabaigos</w:t>
            </w:r>
          </w:p>
        </w:tc>
        <w:tc>
          <w:tcPr>
            <w:tcW w:w="2954" w:type="dxa"/>
            <w:tcMar>
              <w:top w:w="0" w:type="dxa"/>
              <w:left w:w="108" w:type="dxa"/>
              <w:bottom w:w="0" w:type="dxa"/>
              <w:right w:w="108" w:type="dxa"/>
            </w:tcMar>
          </w:tcPr>
          <w:p w14:paraId="0F5AC9A2" w14:textId="77777777" w:rsidR="002D030F" w:rsidRPr="002D030F" w:rsidRDefault="002D030F" w:rsidP="002D030F">
            <w:pPr>
              <w:spacing w:after="0" w:line="240" w:lineRule="auto"/>
              <w:rPr>
                <w:rFonts w:cstheme="minorHAnsi"/>
                <w:iCs/>
              </w:rPr>
            </w:pPr>
          </w:p>
        </w:tc>
      </w:tr>
      <w:tr w:rsidR="002D030F" w:rsidRPr="002D030F" w14:paraId="112FCCDA" w14:textId="77777777" w:rsidTr="00061543">
        <w:trPr>
          <w:trHeight w:val="20"/>
        </w:trPr>
        <w:tc>
          <w:tcPr>
            <w:tcW w:w="726" w:type="dxa"/>
            <w:tcMar>
              <w:top w:w="0" w:type="dxa"/>
              <w:left w:w="108" w:type="dxa"/>
              <w:bottom w:w="0" w:type="dxa"/>
              <w:right w:w="108" w:type="dxa"/>
            </w:tcMar>
          </w:tcPr>
          <w:p w14:paraId="02EECD0F" w14:textId="77777777" w:rsidR="002D030F" w:rsidRPr="002D030F" w:rsidRDefault="002D030F" w:rsidP="002D030F">
            <w:pPr>
              <w:keepNext/>
              <w:spacing w:after="0" w:line="240" w:lineRule="auto"/>
              <w:rPr>
                <w:rFonts w:cstheme="minorHAnsi"/>
                <w:bCs/>
              </w:rPr>
            </w:pPr>
            <w:r w:rsidRPr="002D030F">
              <w:rPr>
                <w:rFonts w:cstheme="minorHAnsi"/>
                <w:bCs/>
              </w:rPr>
              <w:t>3.</w:t>
            </w:r>
          </w:p>
        </w:tc>
        <w:tc>
          <w:tcPr>
            <w:tcW w:w="2531" w:type="dxa"/>
            <w:tcMar>
              <w:top w:w="0" w:type="dxa"/>
              <w:left w:w="108" w:type="dxa"/>
              <w:bottom w:w="0" w:type="dxa"/>
              <w:right w:w="108" w:type="dxa"/>
            </w:tcMar>
          </w:tcPr>
          <w:p w14:paraId="1E3D6A5B" w14:textId="77777777" w:rsidR="002D030F" w:rsidRPr="002D030F" w:rsidRDefault="002D030F" w:rsidP="002D030F">
            <w:pPr>
              <w:keepNext/>
              <w:spacing w:after="0" w:line="240" w:lineRule="auto"/>
              <w:rPr>
                <w:rFonts w:cstheme="minorHAnsi"/>
                <w:bCs/>
              </w:rPr>
            </w:pPr>
            <w:r w:rsidRPr="002D030F">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3525D77D" w14:textId="205AF77C" w:rsidR="002D030F" w:rsidRPr="002D030F" w:rsidRDefault="00830866" w:rsidP="002D030F">
            <w:pPr>
              <w:spacing w:after="0" w:line="240" w:lineRule="auto"/>
              <w:rPr>
                <w:rFonts w:cstheme="minorHAnsi"/>
              </w:rPr>
            </w:pPr>
            <w:r w:rsidRPr="00830866">
              <w:rPr>
                <w:rFonts w:cstheme="minorHAnsi"/>
              </w:rPr>
              <w:t xml:space="preserve">10 (dešimt)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56E458CE" w14:textId="45AD9F31" w:rsidR="002D030F" w:rsidRPr="002D030F" w:rsidRDefault="002D030F" w:rsidP="002D030F">
            <w:pPr>
              <w:spacing w:after="0" w:line="240" w:lineRule="auto"/>
              <w:rPr>
                <w:rFonts w:cstheme="minorHAnsi"/>
                <w:iCs/>
              </w:rPr>
            </w:pPr>
          </w:p>
        </w:tc>
      </w:tr>
      <w:tr w:rsidR="002D030F" w:rsidRPr="002D030F" w14:paraId="0A689EF7" w14:textId="77777777" w:rsidTr="00061543">
        <w:trPr>
          <w:trHeight w:val="20"/>
        </w:trPr>
        <w:tc>
          <w:tcPr>
            <w:tcW w:w="726" w:type="dxa"/>
            <w:tcMar>
              <w:top w:w="0" w:type="dxa"/>
              <w:left w:w="108" w:type="dxa"/>
              <w:bottom w:w="0" w:type="dxa"/>
              <w:right w:w="108" w:type="dxa"/>
            </w:tcMar>
          </w:tcPr>
          <w:p w14:paraId="71D27DE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3348499" w14:textId="77777777" w:rsidR="002D030F" w:rsidRPr="002D030F" w:rsidRDefault="002D030F" w:rsidP="002D030F">
            <w:pPr>
              <w:spacing w:after="0" w:line="240" w:lineRule="auto"/>
              <w:rPr>
                <w:rFonts w:cstheme="minorHAnsi"/>
              </w:rPr>
            </w:pPr>
            <w:r w:rsidRPr="002D030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0CFA34C" w14:textId="75F41F99" w:rsidR="002D030F" w:rsidRPr="002D030F" w:rsidRDefault="00830866" w:rsidP="002D030F">
            <w:pPr>
              <w:spacing w:after="0" w:line="240" w:lineRule="auto"/>
              <w:rPr>
                <w:rFonts w:cstheme="minorHAnsi"/>
              </w:rPr>
            </w:pPr>
            <w:r w:rsidRPr="00830866">
              <w:rPr>
                <w:rFonts w:cstheme="minorHAnsi"/>
              </w:rPr>
              <w:t xml:space="preserve">6 (šešios)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13A3B522" w14:textId="6C1CAE50" w:rsidR="002D030F" w:rsidRPr="002D030F" w:rsidRDefault="002D030F" w:rsidP="002D030F">
            <w:pPr>
              <w:spacing w:after="0" w:line="240" w:lineRule="auto"/>
              <w:rPr>
                <w:rFonts w:cstheme="minorHAnsi"/>
              </w:rPr>
            </w:pPr>
          </w:p>
        </w:tc>
      </w:tr>
      <w:tr w:rsidR="002D030F" w:rsidRPr="002D030F" w14:paraId="671908C5" w14:textId="77777777" w:rsidTr="00061543">
        <w:trPr>
          <w:trHeight w:val="20"/>
        </w:trPr>
        <w:tc>
          <w:tcPr>
            <w:tcW w:w="726" w:type="dxa"/>
            <w:tcMar>
              <w:top w:w="0" w:type="dxa"/>
              <w:left w:w="108" w:type="dxa"/>
              <w:bottom w:w="0" w:type="dxa"/>
              <w:right w:w="108" w:type="dxa"/>
            </w:tcMar>
          </w:tcPr>
          <w:p w14:paraId="6AA7136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69FBCDF" w14:textId="77777777" w:rsidR="002D030F" w:rsidRPr="002D030F" w:rsidRDefault="002D030F" w:rsidP="002D030F">
            <w:pPr>
              <w:spacing w:after="0" w:line="240" w:lineRule="auto"/>
              <w:rPr>
                <w:rFonts w:cstheme="minorHAnsi"/>
                <w:sz w:val="22"/>
                <w:szCs w:val="22"/>
              </w:rPr>
            </w:pPr>
            <w:r w:rsidRPr="002D030F">
              <w:rPr>
                <w:rFonts w:cstheme="minorHAnsi"/>
                <w:sz w:val="22"/>
                <w:szCs w:val="22"/>
              </w:rPr>
              <w:t>Objekto apžiūra bus vykdoma:</w:t>
            </w:r>
          </w:p>
        </w:tc>
        <w:tc>
          <w:tcPr>
            <w:tcW w:w="3643" w:type="dxa"/>
            <w:tcMar>
              <w:top w:w="0" w:type="dxa"/>
              <w:left w:w="108" w:type="dxa"/>
              <w:bottom w:w="0" w:type="dxa"/>
              <w:right w:w="108" w:type="dxa"/>
            </w:tcMar>
          </w:tcPr>
          <w:p w14:paraId="1CAC433E" w14:textId="140B5D29"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179C6D47" w14:textId="5964D75F" w:rsidR="002D030F" w:rsidRPr="002D030F" w:rsidRDefault="002D030F" w:rsidP="002D030F">
            <w:pPr>
              <w:spacing w:after="0" w:line="240" w:lineRule="auto"/>
              <w:rPr>
                <w:rFonts w:cstheme="minorHAnsi"/>
              </w:rPr>
            </w:pPr>
          </w:p>
        </w:tc>
      </w:tr>
      <w:tr w:rsidR="002D030F" w:rsidRPr="002D030F" w14:paraId="78017C01" w14:textId="77777777" w:rsidTr="00061543">
        <w:trPr>
          <w:trHeight w:val="20"/>
        </w:trPr>
        <w:tc>
          <w:tcPr>
            <w:tcW w:w="726" w:type="dxa"/>
            <w:tcMar>
              <w:top w:w="0" w:type="dxa"/>
              <w:left w:w="108" w:type="dxa"/>
              <w:bottom w:w="0" w:type="dxa"/>
              <w:right w:w="108" w:type="dxa"/>
            </w:tcMar>
          </w:tcPr>
          <w:p w14:paraId="46724E7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A38664C" w14:textId="77777777" w:rsidR="002D030F" w:rsidRPr="002D030F" w:rsidRDefault="002D030F" w:rsidP="002D030F">
            <w:pPr>
              <w:spacing w:after="0" w:line="240" w:lineRule="auto"/>
              <w:rPr>
                <w:rFonts w:cstheme="minorHAnsi"/>
              </w:rPr>
            </w:pPr>
            <w:r w:rsidRPr="002D030F">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70087EB" w14:textId="77777777"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2CEC157F" w14:textId="1301A412" w:rsidR="002D030F" w:rsidRPr="002D030F" w:rsidRDefault="002D030F" w:rsidP="002D030F">
            <w:pPr>
              <w:spacing w:after="0" w:line="240" w:lineRule="auto"/>
              <w:rPr>
                <w:rFonts w:cstheme="minorHAnsi"/>
              </w:rPr>
            </w:pPr>
          </w:p>
        </w:tc>
      </w:tr>
      <w:tr w:rsidR="002D030F" w:rsidRPr="002D030F" w14:paraId="24CA8E87" w14:textId="77777777" w:rsidTr="00061543">
        <w:trPr>
          <w:trHeight w:val="20"/>
        </w:trPr>
        <w:tc>
          <w:tcPr>
            <w:tcW w:w="726" w:type="dxa"/>
            <w:tcMar>
              <w:top w:w="0" w:type="dxa"/>
              <w:left w:w="108" w:type="dxa"/>
              <w:bottom w:w="0" w:type="dxa"/>
              <w:right w:w="108" w:type="dxa"/>
            </w:tcMar>
          </w:tcPr>
          <w:p w14:paraId="6BFF2E8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7A87D68" w14:textId="77777777" w:rsidR="002D030F" w:rsidRPr="002D030F" w:rsidRDefault="002D030F" w:rsidP="002D030F">
            <w:pPr>
              <w:spacing w:after="0" w:line="240" w:lineRule="auto"/>
            </w:pPr>
            <w:r w:rsidRPr="002D030F">
              <w:t>Tiekėjai turi pateikti prekių pavyzdžius</w:t>
            </w:r>
          </w:p>
        </w:tc>
        <w:tc>
          <w:tcPr>
            <w:tcW w:w="3643" w:type="dxa"/>
            <w:tcMar>
              <w:top w:w="0" w:type="dxa"/>
              <w:left w:w="108" w:type="dxa"/>
              <w:bottom w:w="0" w:type="dxa"/>
              <w:right w:w="108" w:type="dxa"/>
            </w:tcMar>
          </w:tcPr>
          <w:p w14:paraId="075DDF3F" w14:textId="77777777" w:rsidR="002D030F" w:rsidRPr="002D030F" w:rsidRDefault="002D030F" w:rsidP="002D030F">
            <w:pPr>
              <w:suppressAutoHyphens/>
              <w:spacing w:after="0" w:line="240" w:lineRule="auto"/>
              <w:jc w:val="both"/>
              <w:rPr>
                <w:rFonts w:eastAsia="Arial Unicode MS" w:cstheme="minorHAnsi"/>
                <w:lang w:eastAsia="en-US"/>
              </w:rPr>
            </w:pPr>
            <w:r w:rsidRPr="002D030F">
              <w:rPr>
                <w:rFonts w:eastAsia="Arial Unicode MS" w:cstheme="minorHAnsi"/>
                <w:lang w:eastAsia="en-US"/>
              </w:rPr>
              <w:t>NETAIKOMA</w:t>
            </w:r>
          </w:p>
          <w:p w14:paraId="66269B83" w14:textId="6027C317" w:rsidR="002D030F" w:rsidRPr="002D030F" w:rsidRDefault="002D030F" w:rsidP="002D030F">
            <w:pPr>
              <w:spacing w:after="0" w:line="240" w:lineRule="auto"/>
              <w:rPr>
                <w:rFonts w:cstheme="minorHAnsi"/>
                <w:iCs/>
              </w:rPr>
            </w:pPr>
            <w:r w:rsidRPr="002D030F">
              <w:rPr>
                <w:rFonts w:cstheme="minorHAnsi"/>
                <w:i/>
                <w:iCs/>
              </w:rPr>
              <w:t xml:space="preserve"> </w:t>
            </w:r>
          </w:p>
        </w:tc>
        <w:tc>
          <w:tcPr>
            <w:tcW w:w="2954" w:type="dxa"/>
            <w:tcMar>
              <w:top w:w="0" w:type="dxa"/>
              <w:left w:w="108" w:type="dxa"/>
              <w:bottom w:w="0" w:type="dxa"/>
              <w:right w:w="108" w:type="dxa"/>
            </w:tcMar>
          </w:tcPr>
          <w:p w14:paraId="7228DD9C" w14:textId="77777777" w:rsidR="002D030F" w:rsidRPr="002D030F" w:rsidRDefault="002D030F" w:rsidP="002D030F">
            <w:pPr>
              <w:spacing w:after="0" w:line="240" w:lineRule="auto"/>
              <w:rPr>
                <w:rFonts w:cstheme="minorHAnsi"/>
              </w:rPr>
            </w:pPr>
          </w:p>
        </w:tc>
      </w:tr>
      <w:tr w:rsidR="002D030F" w:rsidRPr="002D030F" w14:paraId="6B700344" w14:textId="77777777" w:rsidTr="00061543">
        <w:trPr>
          <w:trHeight w:val="20"/>
        </w:trPr>
        <w:tc>
          <w:tcPr>
            <w:tcW w:w="726" w:type="dxa"/>
            <w:tcMar>
              <w:top w:w="0" w:type="dxa"/>
              <w:left w:w="108" w:type="dxa"/>
              <w:bottom w:w="0" w:type="dxa"/>
              <w:right w:w="108" w:type="dxa"/>
            </w:tcMar>
          </w:tcPr>
          <w:p w14:paraId="09CA976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C1F1366" w14:textId="77777777" w:rsidR="002D030F" w:rsidRPr="002D030F" w:rsidRDefault="002D030F" w:rsidP="002D030F">
            <w:pPr>
              <w:spacing w:after="0" w:line="240" w:lineRule="auto"/>
              <w:rPr>
                <w:rFonts w:cstheme="minorHAnsi"/>
                <w:bCs/>
              </w:rPr>
            </w:pPr>
            <w:r w:rsidRPr="002D030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F3806C0" w14:textId="77777777" w:rsidR="002D030F" w:rsidRPr="002D030F" w:rsidRDefault="002D030F" w:rsidP="002D030F">
            <w:pPr>
              <w:spacing w:after="0" w:line="240" w:lineRule="auto"/>
              <w:rPr>
                <w:rFonts w:cstheme="minorHAnsi"/>
                <w:iCs/>
              </w:rPr>
            </w:pPr>
            <w:r w:rsidRPr="002D030F">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7367AD4B" w14:textId="77777777" w:rsidR="002D030F" w:rsidRPr="002D030F" w:rsidRDefault="002D030F" w:rsidP="002D030F">
            <w:pPr>
              <w:spacing w:after="0" w:line="240" w:lineRule="auto"/>
              <w:rPr>
                <w:rFonts w:cstheme="minorHAnsi"/>
              </w:rPr>
            </w:pPr>
          </w:p>
        </w:tc>
      </w:tr>
      <w:tr w:rsidR="002D030F" w:rsidRPr="002D030F" w14:paraId="44089C36" w14:textId="77777777" w:rsidTr="00061543">
        <w:trPr>
          <w:trHeight w:val="20"/>
        </w:trPr>
        <w:tc>
          <w:tcPr>
            <w:tcW w:w="726" w:type="dxa"/>
            <w:tcMar>
              <w:top w:w="0" w:type="dxa"/>
              <w:left w:w="108" w:type="dxa"/>
              <w:bottom w:w="0" w:type="dxa"/>
              <w:right w:w="108" w:type="dxa"/>
            </w:tcMar>
          </w:tcPr>
          <w:p w14:paraId="433A2CA2" w14:textId="77777777" w:rsidR="002D030F" w:rsidRPr="002D030F" w:rsidRDefault="002D030F" w:rsidP="002D030F">
            <w:pPr>
              <w:numPr>
                <w:ilvl w:val="0"/>
                <w:numId w:val="33"/>
              </w:numPr>
              <w:spacing w:after="0" w:line="240" w:lineRule="auto"/>
              <w:contextualSpacing/>
            </w:pPr>
          </w:p>
        </w:tc>
        <w:tc>
          <w:tcPr>
            <w:tcW w:w="2531" w:type="dxa"/>
            <w:tcMar>
              <w:top w:w="0" w:type="dxa"/>
              <w:left w:w="108" w:type="dxa"/>
              <w:bottom w:w="0" w:type="dxa"/>
              <w:right w:w="108" w:type="dxa"/>
            </w:tcMar>
          </w:tcPr>
          <w:p w14:paraId="29CF101B" w14:textId="77777777" w:rsidR="002D030F" w:rsidRPr="002D030F" w:rsidRDefault="002D030F" w:rsidP="002D030F">
            <w:pPr>
              <w:spacing w:after="0" w:line="240" w:lineRule="auto"/>
              <w:rPr>
                <w:rFonts w:cstheme="minorHAnsi"/>
                <w:bCs/>
              </w:rPr>
            </w:pPr>
            <w:r w:rsidRPr="002D030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7A999B4" w14:textId="77777777" w:rsidR="002D030F" w:rsidRPr="002D030F" w:rsidRDefault="002D030F" w:rsidP="002D030F">
            <w:pPr>
              <w:spacing w:after="0" w:line="240" w:lineRule="auto"/>
              <w:rPr>
                <w:rFonts w:cstheme="minorHAnsi"/>
              </w:rPr>
            </w:pPr>
            <w:r w:rsidRPr="002D030F">
              <w:rPr>
                <w:rFonts w:cstheme="minorHAnsi"/>
                <w:iCs/>
              </w:rPr>
              <w:t xml:space="preserve">3 (tris) darbo dienas </w:t>
            </w:r>
            <w:r w:rsidRPr="002D030F">
              <w:rPr>
                <w:rFonts w:cstheme="minorHAnsi"/>
              </w:rPr>
              <w:t>nuo prašymo gavimo dienos</w:t>
            </w:r>
          </w:p>
          <w:p w14:paraId="107A4338" w14:textId="77777777" w:rsidR="002D030F" w:rsidRPr="002D030F" w:rsidRDefault="002D030F" w:rsidP="002D030F">
            <w:pPr>
              <w:spacing w:after="0" w:line="240" w:lineRule="auto"/>
              <w:rPr>
                <w:rFonts w:cstheme="minorHAnsi"/>
                <w:iCs/>
              </w:rPr>
            </w:pPr>
          </w:p>
        </w:tc>
        <w:tc>
          <w:tcPr>
            <w:tcW w:w="2954" w:type="dxa"/>
            <w:tcMar>
              <w:top w:w="0" w:type="dxa"/>
              <w:left w:w="108" w:type="dxa"/>
              <w:bottom w:w="0" w:type="dxa"/>
              <w:right w:w="108" w:type="dxa"/>
            </w:tcMar>
          </w:tcPr>
          <w:p w14:paraId="3D7170FE"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7137A966" w14:textId="77777777" w:rsidTr="00061543">
        <w:trPr>
          <w:trHeight w:val="20"/>
        </w:trPr>
        <w:tc>
          <w:tcPr>
            <w:tcW w:w="726" w:type="dxa"/>
            <w:tcMar>
              <w:top w:w="0" w:type="dxa"/>
              <w:left w:w="108" w:type="dxa"/>
              <w:bottom w:w="0" w:type="dxa"/>
              <w:right w:w="108" w:type="dxa"/>
            </w:tcMar>
          </w:tcPr>
          <w:p w14:paraId="195D989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6B38B95" w14:textId="77777777" w:rsidR="002D030F" w:rsidRPr="002D030F" w:rsidRDefault="002D030F" w:rsidP="002D030F">
            <w:pPr>
              <w:spacing w:after="0" w:line="240" w:lineRule="auto"/>
              <w:rPr>
                <w:rFonts w:cstheme="minorHAnsi"/>
                <w:bCs/>
              </w:rPr>
            </w:pPr>
            <w:r w:rsidRPr="002D030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0FEABD9" w14:textId="77777777" w:rsidR="002D030F" w:rsidRPr="002D030F" w:rsidRDefault="002D030F" w:rsidP="002D030F">
            <w:pPr>
              <w:spacing w:after="0" w:line="240" w:lineRule="auto"/>
              <w:jc w:val="both"/>
              <w:rPr>
                <w:rFonts w:cstheme="minorHAnsi"/>
              </w:rPr>
            </w:pPr>
            <w:r w:rsidRPr="002D030F">
              <w:rPr>
                <w:rFonts w:cstheme="minorHAnsi"/>
              </w:rPr>
              <w:t>5 (penkias) darbo dienas nuo prašymo gavimo dienos</w:t>
            </w:r>
          </w:p>
          <w:p w14:paraId="651359B4" w14:textId="77777777"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32653F3C"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3B33BF51" w14:textId="77777777" w:rsidTr="00061543">
        <w:trPr>
          <w:trHeight w:val="20"/>
        </w:trPr>
        <w:tc>
          <w:tcPr>
            <w:tcW w:w="726" w:type="dxa"/>
            <w:tcMar>
              <w:top w:w="0" w:type="dxa"/>
              <w:left w:w="108" w:type="dxa"/>
              <w:bottom w:w="0" w:type="dxa"/>
              <w:right w:w="108" w:type="dxa"/>
            </w:tcMar>
          </w:tcPr>
          <w:p w14:paraId="7F6AAEA1"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ABA4B01" w14:textId="77777777" w:rsidR="002D030F" w:rsidRPr="002D030F" w:rsidRDefault="002D030F" w:rsidP="002D030F">
            <w:pPr>
              <w:spacing w:after="0" w:line="240" w:lineRule="auto"/>
              <w:rPr>
                <w:rFonts w:cstheme="minorHAnsi"/>
                <w:bCs/>
              </w:rPr>
            </w:pPr>
            <w:r w:rsidRPr="002D030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17DC2A3A" w14:textId="77777777" w:rsidR="002D030F" w:rsidRPr="002D030F" w:rsidRDefault="002D030F" w:rsidP="002D030F">
            <w:pPr>
              <w:spacing w:after="0" w:line="240" w:lineRule="auto"/>
              <w:rPr>
                <w:rFonts w:cstheme="minorHAnsi"/>
                <w:bCs/>
              </w:rPr>
            </w:pPr>
            <w:r w:rsidRPr="002D030F">
              <w:rPr>
                <w:rFonts w:cstheme="minorHAnsi"/>
                <w:bCs/>
              </w:rPr>
              <w:t>3 (tris) darbo dienas nuo sprendimo priėmimo dienos</w:t>
            </w:r>
          </w:p>
        </w:tc>
        <w:tc>
          <w:tcPr>
            <w:tcW w:w="2954" w:type="dxa"/>
            <w:tcMar>
              <w:top w:w="0" w:type="dxa"/>
              <w:left w:w="108" w:type="dxa"/>
              <w:bottom w:w="0" w:type="dxa"/>
              <w:right w:w="108" w:type="dxa"/>
            </w:tcMar>
          </w:tcPr>
          <w:p w14:paraId="744CA3C5" w14:textId="77777777" w:rsidR="002D030F" w:rsidRPr="002D030F" w:rsidRDefault="002D030F" w:rsidP="002D030F">
            <w:pPr>
              <w:spacing w:after="0" w:line="240" w:lineRule="auto"/>
              <w:rPr>
                <w:rFonts w:cstheme="minorHAnsi"/>
                <w:bCs/>
              </w:rPr>
            </w:pPr>
          </w:p>
        </w:tc>
      </w:tr>
      <w:tr w:rsidR="002D030F" w:rsidRPr="002D030F" w14:paraId="21FE1D93" w14:textId="77777777" w:rsidTr="00061543">
        <w:trPr>
          <w:trHeight w:val="20"/>
        </w:trPr>
        <w:tc>
          <w:tcPr>
            <w:tcW w:w="726" w:type="dxa"/>
            <w:tcMar>
              <w:top w:w="0" w:type="dxa"/>
              <w:left w:w="108" w:type="dxa"/>
              <w:bottom w:w="0" w:type="dxa"/>
              <w:right w:w="108" w:type="dxa"/>
            </w:tcMar>
          </w:tcPr>
          <w:p w14:paraId="4B3F5EEA"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592924B4"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pirkimo dalyviams praneša apie priimtą sprendimą nustatyti laimėjusį pasiūlymą, </w:t>
            </w:r>
            <w:r w:rsidRPr="002D030F">
              <w:rPr>
                <w:rFonts w:cstheme="minorHAnsi"/>
              </w:rPr>
              <w:t>dėl kurio bus sudaroma</w:t>
            </w:r>
            <w:r w:rsidRPr="002D030F">
              <w:rPr>
                <w:rFonts w:cstheme="minorHAnsi"/>
                <w:bCs/>
              </w:rPr>
              <w:t xml:space="preserve"> sutartis ne vėliau kaip per</w:t>
            </w:r>
          </w:p>
        </w:tc>
        <w:tc>
          <w:tcPr>
            <w:tcW w:w="3643" w:type="dxa"/>
            <w:tcMar>
              <w:top w:w="0" w:type="dxa"/>
              <w:left w:w="108" w:type="dxa"/>
              <w:bottom w:w="0" w:type="dxa"/>
              <w:right w:w="108" w:type="dxa"/>
            </w:tcMar>
          </w:tcPr>
          <w:p w14:paraId="1A71E43C" w14:textId="77777777" w:rsidR="002D030F" w:rsidRPr="002D030F" w:rsidRDefault="002D030F" w:rsidP="002D030F">
            <w:pPr>
              <w:spacing w:after="0" w:line="240" w:lineRule="auto"/>
              <w:rPr>
                <w:rFonts w:cstheme="minorHAnsi"/>
                <w:bCs/>
              </w:rPr>
            </w:pPr>
            <w:r w:rsidRPr="002D030F">
              <w:rPr>
                <w:rFonts w:cstheme="minorHAnsi"/>
                <w:bCs/>
              </w:rPr>
              <w:t>3 (tris) darbo dienas nuo sprendimo priėmimo dienos</w:t>
            </w:r>
          </w:p>
        </w:tc>
        <w:tc>
          <w:tcPr>
            <w:tcW w:w="2954" w:type="dxa"/>
            <w:tcMar>
              <w:top w:w="0" w:type="dxa"/>
              <w:left w:w="108" w:type="dxa"/>
              <w:bottom w:w="0" w:type="dxa"/>
              <w:right w:w="108" w:type="dxa"/>
            </w:tcMar>
          </w:tcPr>
          <w:p w14:paraId="1E4D9948" w14:textId="77777777" w:rsidR="002D030F" w:rsidRPr="002D030F" w:rsidRDefault="002D030F" w:rsidP="002D030F">
            <w:pPr>
              <w:spacing w:after="0" w:line="240" w:lineRule="auto"/>
              <w:rPr>
                <w:rFonts w:cstheme="minorHAnsi"/>
              </w:rPr>
            </w:pPr>
          </w:p>
        </w:tc>
      </w:tr>
      <w:tr w:rsidR="002D030F" w:rsidRPr="002D030F" w14:paraId="01B05553" w14:textId="77777777" w:rsidTr="00061543">
        <w:trPr>
          <w:trHeight w:val="20"/>
        </w:trPr>
        <w:tc>
          <w:tcPr>
            <w:tcW w:w="726" w:type="dxa"/>
            <w:tcMar>
              <w:top w:w="0" w:type="dxa"/>
              <w:left w:w="108" w:type="dxa"/>
              <w:bottom w:w="0" w:type="dxa"/>
              <w:right w:w="108" w:type="dxa"/>
            </w:tcMar>
          </w:tcPr>
          <w:p w14:paraId="2CC14FA5"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0F192C1C" w14:textId="77777777" w:rsidR="002D030F" w:rsidRPr="002D030F" w:rsidRDefault="002D030F" w:rsidP="002D030F">
            <w:pPr>
              <w:spacing w:after="0" w:line="240" w:lineRule="auto"/>
              <w:rPr>
                <w:rFonts w:cstheme="minorHAnsi"/>
                <w:bCs/>
              </w:rPr>
            </w:pPr>
            <w:r w:rsidRPr="002D030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3BDE65E" w14:textId="77777777" w:rsidR="002D030F" w:rsidRPr="002D030F" w:rsidRDefault="002D030F" w:rsidP="002D030F">
            <w:pPr>
              <w:spacing w:after="0" w:line="240" w:lineRule="auto"/>
              <w:rPr>
                <w:rFonts w:cstheme="minorHAnsi"/>
                <w:bCs/>
              </w:rPr>
            </w:pPr>
            <w:r w:rsidRPr="002D030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373B86D4" w14:textId="77777777" w:rsidR="002D030F" w:rsidRPr="002D030F" w:rsidRDefault="002D030F" w:rsidP="002D030F">
            <w:pPr>
              <w:shd w:val="clear" w:color="auto" w:fill="FFFFFF"/>
              <w:spacing w:after="0" w:line="240" w:lineRule="auto"/>
              <w:ind w:firstLine="313"/>
              <w:rPr>
                <w:rFonts w:eastAsia="Times New Roman" w:cstheme="minorHAnsi"/>
                <w:sz w:val="20"/>
                <w:szCs w:val="20"/>
              </w:rPr>
            </w:pPr>
          </w:p>
        </w:tc>
      </w:tr>
      <w:tr w:rsidR="002D030F" w:rsidRPr="002D030F" w14:paraId="2A5449A0" w14:textId="77777777" w:rsidTr="00061543">
        <w:trPr>
          <w:trHeight w:val="20"/>
        </w:trPr>
        <w:tc>
          <w:tcPr>
            <w:tcW w:w="726" w:type="dxa"/>
            <w:tcMar>
              <w:top w:w="0" w:type="dxa"/>
              <w:left w:w="108" w:type="dxa"/>
              <w:bottom w:w="0" w:type="dxa"/>
              <w:right w:w="108" w:type="dxa"/>
            </w:tcMar>
          </w:tcPr>
          <w:p w14:paraId="64C6109D"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1D785179" w14:textId="77777777" w:rsidR="002D030F" w:rsidRPr="002D030F" w:rsidRDefault="002D030F" w:rsidP="002D030F">
            <w:pPr>
              <w:spacing w:after="0" w:line="240" w:lineRule="auto"/>
              <w:rPr>
                <w:rFonts w:cstheme="minorHAnsi"/>
                <w:bCs/>
              </w:rPr>
            </w:pPr>
            <w:r w:rsidRPr="002D030F">
              <w:rPr>
                <w:rFonts w:cstheme="minorHAnsi"/>
                <w:color w:val="000000"/>
                <w:shd w:val="clear" w:color="auto" w:fill="FFFFFF"/>
              </w:rPr>
              <w:t xml:space="preserve">Tiekėjas turi teisę pateikti pretenziją perkančiajai organizacijai, pateikti prašymą ar pareikšti ieškinį teismui </w:t>
            </w:r>
            <w:r w:rsidRPr="002D030F">
              <w:rPr>
                <w:rFonts w:cstheme="minorHAnsi"/>
                <w:bCs/>
              </w:rPr>
              <w:t>ne vėliau kaip per</w:t>
            </w:r>
          </w:p>
        </w:tc>
        <w:tc>
          <w:tcPr>
            <w:tcW w:w="3643" w:type="dxa"/>
            <w:tcMar>
              <w:top w:w="0" w:type="dxa"/>
              <w:left w:w="108" w:type="dxa"/>
              <w:bottom w:w="0" w:type="dxa"/>
              <w:right w:w="108" w:type="dxa"/>
            </w:tcMar>
          </w:tcPr>
          <w:p w14:paraId="6C1A413D" w14:textId="5394A140" w:rsidR="002D030F" w:rsidRPr="002D030F" w:rsidRDefault="002D030F" w:rsidP="00830866">
            <w:pPr>
              <w:spacing w:after="0" w:line="240" w:lineRule="auto"/>
              <w:rPr>
                <w:rFonts w:cstheme="minorHAnsi"/>
              </w:rPr>
            </w:pPr>
            <w:r w:rsidRPr="002D030F">
              <w:rPr>
                <w:rFonts w:cstheme="minorHAnsi"/>
              </w:rPr>
              <w:t>10 (dešimt) dienų</w:t>
            </w:r>
            <w:r w:rsidR="00830866">
              <w:rPr>
                <w:rFonts w:cstheme="minorHAnsi"/>
              </w:rPr>
              <w:t xml:space="preserve"> </w:t>
            </w:r>
            <w:r w:rsidRPr="002D030F">
              <w:rPr>
                <w:rFonts w:cstheme="minorHAnsi"/>
              </w:rPr>
              <w:t xml:space="preserve">nuo </w:t>
            </w:r>
            <w:r w:rsidRPr="002D030F">
              <w:rPr>
                <w:rFonts w:eastAsia="Arial" w:cstheme="minorHAnsi"/>
              </w:rPr>
              <w:t>perkančiosios organizacijos</w:t>
            </w:r>
            <w:r w:rsidRPr="002D030F">
              <w:rPr>
                <w:rFonts w:cstheme="minorHAnsi"/>
              </w:rPr>
              <w:t xml:space="preserve"> pranešimo raštu apie jos priimtą sprendimą išsiuntimo tiekėjams dienos arba nuo paskelbimo apie </w:t>
            </w:r>
            <w:r w:rsidRPr="002D030F">
              <w:rPr>
                <w:rFonts w:eastAsia="Arial" w:cstheme="minorHAnsi"/>
              </w:rPr>
              <w:t>perkančiosios organizacijos</w:t>
            </w:r>
            <w:r w:rsidRPr="002D030F">
              <w:rPr>
                <w:rFonts w:cstheme="minorHAnsi"/>
              </w:rPr>
              <w:t xml:space="preserve"> priimtus sprendimus dienos, jei VPĮ nenumato reikalavimo raštu informuoti tiekėjus apie </w:t>
            </w:r>
            <w:r w:rsidRPr="002D030F">
              <w:rPr>
                <w:rFonts w:eastAsia="Arial" w:cstheme="minorHAnsi"/>
              </w:rPr>
              <w:t xml:space="preserve"> perkančiosios organizacijos</w:t>
            </w:r>
            <w:r w:rsidRPr="002D030F">
              <w:rPr>
                <w:rFonts w:cstheme="minorHAnsi"/>
              </w:rPr>
              <w:t xml:space="preserve"> priimtus sprendimus;</w:t>
            </w:r>
          </w:p>
          <w:p w14:paraId="46459F32" w14:textId="77777777" w:rsidR="002D030F" w:rsidRPr="002D030F" w:rsidRDefault="002D030F" w:rsidP="002D030F">
            <w:pPr>
              <w:spacing w:after="0" w:line="240" w:lineRule="auto"/>
              <w:jc w:val="both"/>
              <w:rPr>
                <w:rFonts w:cstheme="minorHAnsi"/>
              </w:rPr>
            </w:pPr>
            <w:r w:rsidRPr="002D030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7F91980" w14:textId="77777777" w:rsidR="002D030F" w:rsidRPr="002D030F" w:rsidRDefault="002D030F" w:rsidP="002D030F">
            <w:pPr>
              <w:spacing w:after="0" w:line="240" w:lineRule="auto"/>
              <w:rPr>
                <w:rFonts w:cstheme="minorHAnsi"/>
                <w:bCs/>
              </w:rPr>
            </w:pPr>
          </w:p>
        </w:tc>
      </w:tr>
      <w:tr w:rsidR="002D030F" w:rsidRPr="002D030F" w14:paraId="68CBFAC5" w14:textId="77777777" w:rsidTr="00061543">
        <w:trPr>
          <w:trHeight w:val="20"/>
        </w:trPr>
        <w:tc>
          <w:tcPr>
            <w:tcW w:w="726" w:type="dxa"/>
            <w:tcMar>
              <w:top w:w="0" w:type="dxa"/>
              <w:left w:w="108" w:type="dxa"/>
              <w:bottom w:w="0" w:type="dxa"/>
              <w:right w:w="108" w:type="dxa"/>
            </w:tcMar>
          </w:tcPr>
          <w:p w14:paraId="7E9937FE"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5706064E" w14:textId="77777777" w:rsidR="002D030F" w:rsidRPr="002D030F" w:rsidRDefault="002D030F" w:rsidP="002D030F">
            <w:pPr>
              <w:spacing w:after="0" w:line="240" w:lineRule="auto"/>
              <w:rPr>
                <w:rFonts w:cstheme="minorHAnsi"/>
              </w:rPr>
            </w:pPr>
            <w:r w:rsidRPr="002D030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D2CC211" w14:textId="77777777" w:rsidR="002D030F" w:rsidRPr="002D030F" w:rsidRDefault="002D030F" w:rsidP="002D030F">
            <w:pPr>
              <w:spacing w:after="0" w:line="240" w:lineRule="auto"/>
              <w:rPr>
                <w:rFonts w:cstheme="minorHAnsi"/>
              </w:rPr>
            </w:pPr>
            <w:r w:rsidRPr="002D030F">
              <w:rPr>
                <w:rFonts w:cstheme="minorHAnsi"/>
              </w:rPr>
              <w:t>6 (šešias) darbo dienas nuo pretenzijos gavimo dienos</w:t>
            </w:r>
          </w:p>
        </w:tc>
        <w:tc>
          <w:tcPr>
            <w:tcW w:w="2954" w:type="dxa"/>
            <w:tcMar>
              <w:top w:w="0" w:type="dxa"/>
              <w:left w:w="108" w:type="dxa"/>
              <w:bottom w:w="0" w:type="dxa"/>
              <w:right w:w="108" w:type="dxa"/>
            </w:tcMar>
          </w:tcPr>
          <w:p w14:paraId="591DD6F3" w14:textId="77777777" w:rsidR="002D030F" w:rsidRPr="002D030F" w:rsidRDefault="002D030F" w:rsidP="002D030F">
            <w:pPr>
              <w:spacing w:after="0" w:line="240" w:lineRule="auto"/>
              <w:rPr>
                <w:rFonts w:cstheme="minorHAnsi"/>
              </w:rPr>
            </w:pPr>
          </w:p>
        </w:tc>
      </w:tr>
      <w:tr w:rsidR="002D030F" w:rsidRPr="002D030F" w14:paraId="794CBFD6" w14:textId="77777777" w:rsidTr="00061543">
        <w:trPr>
          <w:trHeight w:val="20"/>
        </w:trPr>
        <w:tc>
          <w:tcPr>
            <w:tcW w:w="726" w:type="dxa"/>
            <w:tcMar>
              <w:top w:w="0" w:type="dxa"/>
              <w:left w:w="108" w:type="dxa"/>
              <w:bottom w:w="0" w:type="dxa"/>
              <w:right w:w="108" w:type="dxa"/>
            </w:tcMar>
          </w:tcPr>
          <w:p w14:paraId="7460573E"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EFFD325" w14:textId="77777777" w:rsidR="002D030F" w:rsidRPr="002D030F" w:rsidRDefault="002D030F" w:rsidP="002D030F">
            <w:pPr>
              <w:spacing w:after="0" w:line="240" w:lineRule="auto"/>
              <w:rPr>
                <w:rFonts w:cstheme="minorHAnsi"/>
                <w:bCs/>
              </w:rPr>
            </w:pPr>
            <w:r w:rsidRPr="002D030F">
              <w:rPr>
                <w:rFonts w:cstheme="minorHAnsi"/>
              </w:rPr>
              <w:t>Jeigu perkančioji organizacija per nustatytą terminą neišnagrinėja jai pateiktos pretenzijos, tiekėjas turi teisę pateikti prašymą ar pareikšti ieškinį teismui per</w:t>
            </w:r>
            <w:r w:rsidRPr="002D030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27540264" w14:textId="77777777" w:rsidR="002D030F" w:rsidRPr="002D030F" w:rsidRDefault="002D030F" w:rsidP="002D030F">
            <w:pPr>
              <w:spacing w:after="0" w:line="240" w:lineRule="auto"/>
              <w:rPr>
                <w:rFonts w:cstheme="minorHAnsi"/>
              </w:rPr>
            </w:pPr>
            <w:r w:rsidRPr="002D030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CEC88E6" w14:textId="77777777" w:rsidR="002D030F" w:rsidRPr="002D030F" w:rsidRDefault="002D030F" w:rsidP="002D030F">
            <w:pPr>
              <w:spacing w:after="0" w:line="240" w:lineRule="auto"/>
              <w:rPr>
                <w:rFonts w:cstheme="minorHAnsi"/>
              </w:rPr>
            </w:pPr>
          </w:p>
        </w:tc>
      </w:tr>
      <w:tr w:rsidR="002D030F" w:rsidRPr="002D030F" w14:paraId="520DA76E" w14:textId="77777777" w:rsidTr="00061543">
        <w:trPr>
          <w:trHeight w:val="20"/>
        </w:trPr>
        <w:tc>
          <w:tcPr>
            <w:tcW w:w="726" w:type="dxa"/>
            <w:tcMar>
              <w:top w:w="0" w:type="dxa"/>
              <w:left w:w="108" w:type="dxa"/>
              <w:bottom w:w="0" w:type="dxa"/>
              <w:right w:w="108" w:type="dxa"/>
            </w:tcMar>
          </w:tcPr>
          <w:p w14:paraId="10685E3F"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0EF440C6" w14:textId="77777777" w:rsidR="002D030F" w:rsidRPr="002D030F" w:rsidRDefault="002D030F" w:rsidP="002D030F">
            <w:pPr>
              <w:spacing w:after="0" w:line="240" w:lineRule="auto"/>
              <w:rPr>
                <w:rFonts w:cstheme="minorHAnsi"/>
              </w:rPr>
            </w:pPr>
            <w:r w:rsidRPr="002D030F">
              <w:rPr>
                <w:rFonts w:cstheme="minorHAnsi"/>
              </w:rPr>
              <w:t>Perkančioji organizacija negali sudaryti sutarties anksčiau kaip po</w:t>
            </w:r>
          </w:p>
        </w:tc>
        <w:tc>
          <w:tcPr>
            <w:tcW w:w="3643" w:type="dxa"/>
            <w:tcMar>
              <w:top w:w="0" w:type="dxa"/>
              <w:left w:w="108" w:type="dxa"/>
              <w:bottom w:w="0" w:type="dxa"/>
              <w:right w:w="108" w:type="dxa"/>
            </w:tcMar>
          </w:tcPr>
          <w:p w14:paraId="17B7A6E4" w14:textId="77777777" w:rsidR="002D030F" w:rsidRPr="002D030F" w:rsidRDefault="002D030F" w:rsidP="002D030F">
            <w:pPr>
              <w:spacing w:after="0" w:line="240" w:lineRule="auto"/>
              <w:rPr>
                <w:rFonts w:cstheme="minorHAnsi"/>
              </w:rPr>
            </w:pPr>
            <w:r w:rsidRPr="002D030F">
              <w:rPr>
                <w:rFonts w:cstheme="minorHAnsi"/>
                <w:bCs/>
              </w:rPr>
              <w:t>10 (dešimt) dienų,</w:t>
            </w:r>
            <w:r w:rsidRPr="002D030F">
              <w:rPr>
                <w:rFonts w:cstheme="minorHAnsi"/>
              </w:rPr>
              <w:t xml:space="preserve"> nuo pranešimo apie sprendimą sudaryti sutartį (o jei buvo gauta pretenzija – </w:t>
            </w:r>
            <w:r w:rsidRPr="002D030F">
              <w:t xml:space="preserve">nuo pranešimo raštu apie jos priimtą sprendimą </w:t>
            </w:r>
            <w:r w:rsidRPr="002D030F">
              <w:rPr>
                <w:rFonts w:cstheme="minorHAnsi"/>
              </w:rPr>
              <w:t>dėl pretenzijos) išsiuntimo iš perkančiosios organizacijos pirkimo dalyviams dienos, o jeigu šis pranešimas nebuvo siunčiamas elektroninėmis priemonėmis, – ne anksčiau kaip po 15 (penkiolikos) dienų.</w:t>
            </w:r>
          </w:p>
          <w:p w14:paraId="0164C065" w14:textId="1CB7E154"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1135A528" w14:textId="77777777" w:rsidR="002D030F" w:rsidRPr="002D030F" w:rsidRDefault="002D030F" w:rsidP="002D030F">
            <w:pPr>
              <w:spacing w:after="0" w:line="240" w:lineRule="auto"/>
              <w:rPr>
                <w:rFonts w:cstheme="minorHAnsi"/>
              </w:rPr>
            </w:pPr>
          </w:p>
        </w:tc>
      </w:tr>
      <w:tr w:rsidR="002D030F" w:rsidRPr="002D030F" w14:paraId="5613261E" w14:textId="77777777" w:rsidTr="00061543">
        <w:trPr>
          <w:trHeight w:val="20"/>
        </w:trPr>
        <w:tc>
          <w:tcPr>
            <w:tcW w:w="726" w:type="dxa"/>
            <w:tcMar>
              <w:top w:w="0" w:type="dxa"/>
              <w:left w:w="108" w:type="dxa"/>
              <w:bottom w:w="0" w:type="dxa"/>
              <w:right w:w="108" w:type="dxa"/>
            </w:tcMar>
          </w:tcPr>
          <w:p w14:paraId="70DCF944"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6853A72D" w14:textId="77777777" w:rsidR="002D030F" w:rsidRPr="002D030F" w:rsidRDefault="002D030F" w:rsidP="002D030F">
            <w:pPr>
              <w:spacing w:after="0" w:line="240" w:lineRule="auto"/>
              <w:rPr>
                <w:rFonts w:cstheme="minorHAnsi"/>
              </w:rPr>
            </w:pPr>
            <w:r w:rsidRPr="002D030F">
              <w:rPr>
                <w:rFonts w:cstheme="minorHAnsi"/>
              </w:rPr>
              <w:t xml:space="preserve">Jeigu </w:t>
            </w:r>
            <w:r w:rsidRPr="002D030F">
              <w:rPr>
                <w:iCs/>
              </w:rPr>
              <w:t>suinteresuotas dalyvis paprašys perkančiosios organizacijos pateikti laimėjusį pasiūlymą</w:t>
            </w:r>
          </w:p>
        </w:tc>
        <w:tc>
          <w:tcPr>
            <w:tcW w:w="3643" w:type="dxa"/>
            <w:tcMar>
              <w:top w:w="0" w:type="dxa"/>
              <w:left w:w="108" w:type="dxa"/>
              <w:bottom w:w="0" w:type="dxa"/>
              <w:right w:w="108" w:type="dxa"/>
            </w:tcMar>
          </w:tcPr>
          <w:p w14:paraId="6C4164C1" w14:textId="77777777" w:rsidR="002D030F" w:rsidRPr="002D030F" w:rsidRDefault="002D030F" w:rsidP="002D030F">
            <w:pPr>
              <w:spacing w:after="0" w:line="240" w:lineRule="auto"/>
              <w:jc w:val="both"/>
              <w:rPr>
                <w:rFonts w:cstheme="minorHAnsi"/>
                <w:i/>
                <w:iCs/>
              </w:rPr>
            </w:pPr>
            <w:r w:rsidRPr="002D030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3C3202C" w14:textId="77777777" w:rsidR="002D030F" w:rsidRPr="002D030F" w:rsidRDefault="002D030F" w:rsidP="002D030F">
            <w:pPr>
              <w:spacing w:after="0" w:line="240" w:lineRule="auto"/>
              <w:jc w:val="both"/>
              <w:rPr>
                <w:rFonts w:cstheme="minorHAnsi"/>
                <w:i/>
                <w:iCs/>
                <w:color w:val="FF0000"/>
              </w:rPr>
            </w:pPr>
          </w:p>
        </w:tc>
        <w:tc>
          <w:tcPr>
            <w:tcW w:w="2954" w:type="dxa"/>
            <w:tcMar>
              <w:top w:w="0" w:type="dxa"/>
              <w:left w:w="108" w:type="dxa"/>
              <w:bottom w:w="0" w:type="dxa"/>
              <w:right w:w="108" w:type="dxa"/>
            </w:tcMar>
          </w:tcPr>
          <w:p w14:paraId="0FB60CBB" w14:textId="77777777" w:rsidR="002D030F" w:rsidRPr="002D030F" w:rsidRDefault="002D030F" w:rsidP="002D030F">
            <w:pPr>
              <w:spacing w:after="0" w:line="240" w:lineRule="auto"/>
              <w:rPr>
                <w:rFonts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2B959674" w14:textId="77777777" w:rsidR="000B30CC"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9" w:name="_Ref38539939"/>
      <w:bookmarkStart w:id="40" w:name="_Ref38541068"/>
      <w:bookmarkStart w:id="41" w:name="_Ref38885053"/>
      <w:bookmarkStart w:id="42" w:name="_Ref38899023"/>
    </w:p>
    <w:p w14:paraId="26D8BFB7" w14:textId="77777777" w:rsidR="000B30CC" w:rsidRDefault="000B30CC" w:rsidP="0019186C">
      <w:pPr>
        <w:rPr>
          <w:rFonts w:eastAsia="Calibri" w:cstheme="minorHAnsi"/>
        </w:rPr>
      </w:pPr>
    </w:p>
    <w:p w14:paraId="01D56E47" w14:textId="24B997AA" w:rsidR="008D704D" w:rsidRPr="00F0499F" w:rsidRDefault="2E1FFA04" w:rsidP="000B30CC">
      <w:pPr>
        <w:jc w:val="right"/>
      </w:pPr>
      <w:r w:rsidRPr="0005FB5A">
        <w:t xml:space="preserve">Pirkimo sąlygų </w:t>
      </w:r>
      <w:r w:rsidR="3B9584ED" w:rsidRPr="0005FB5A">
        <w:t>2</w:t>
      </w:r>
      <w:r w:rsidRPr="0005FB5A">
        <w:t xml:space="preserve"> priedas „Techninė specifikacija“</w:t>
      </w:r>
      <w:bookmarkEnd w:id="39"/>
      <w:bookmarkEnd w:id="40"/>
      <w:bookmarkEnd w:id="41"/>
      <w:bookmarkEnd w:id="42"/>
    </w:p>
    <w:p w14:paraId="5869BBFA" w14:textId="5DE093CA"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46FABE66" w14:textId="77777777" w:rsidR="001D49CB" w:rsidRDefault="001D49CB" w:rsidP="001D49CB">
      <w:pPr>
        <w:spacing w:after="0" w:line="240" w:lineRule="auto"/>
        <w:rPr>
          <w:rFonts w:ascii="Times New Roman" w:eastAsia="Calibri" w:hAnsi="Times New Roman" w:cs="Times New Roman"/>
          <w:b/>
          <w:sz w:val="24"/>
          <w:szCs w:val="24"/>
          <w:lang w:eastAsia="en-US"/>
        </w:rPr>
      </w:pPr>
    </w:p>
    <w:tbl>
      <w:tblPr>
        <w:tblW w:w="10020"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8885"/>
      </w:tblGrid>
      <w:tr w:rsidR="00061543" w:rsidRPr="001209F5" w14:paraId="54EF4833" w14:textId="77777777" w:rsidTr="005421B4">
        <w:trPr>
          <w:trHeight w:val="345"/>
        </w:trPr>
        <w:tc>
          <w:tcPr>
            <w:tcW w:w="1135" w:type="dxa"/>
            <w:tcBorders>
              <w:top w:val="single" w:sz="6" w:space="0" w:color="auto"/>
              <w:left w:val="single" w:sz="6" w:space="0" w:color="auto"/>
              <w:bottom w:val="single" w:sz="6" w:space="0" w:color="auto"/>
              <w:right w:val="single" w:sz="6" w:space="0" w:color="auto"/>
            </w:tcBorders>
            <w:shd w:val="clear" w:color="auto" w:fill="auto"/>
            <w:hideMark/>
          </w:tcPr>
          <w:p w14:paraId="0A5C2A9C" w14:textId="77777777" w:rsidR="00061543" w:rsidRPr="005421B4" w:rsidRDefault="00061543" w:rsidP="00061543">
            <w:pPr>
              <w:spacing w:line="240" w:lineRule="auto"/>
              <w:rPr>
                <w:rFonts w:cs="Times New Roman"/>
                <w:b/>
                <w:sz w:val="24"/>
                <w:szCs w:val="24"/>
              </w:rPr>
            </w:pPr>
            <w:r w:rsidRPr="005421B4">
              <w:rPr>
                <w:rFonts w:eastAsia="Times New Roman" w:cs="Times New Roman"/>
                <w:sz w:val="24"/>
                <w:szCs w:val="24"/>
                <w:lang w:eastAsia="ar-SA"/>
              </w:rPr>
              <w:br w:type="page"/>
            </w:r>
            <w:r w:rsidRPr="005421B4">
              <w:rPr>
                <w:rFonts w:cs="Times New Roman"/>
                <w:b/>
                <w:sz w:val="24"/>
                <w:szCs w:val="24"/>
              </w:rPr>
              <w:t>Pirkimo objektas </w:t>
            </w:r>
          </w:p>
        </w:tc>
        <w:tc>
          <w:tcPr>
            <w:tcW w:w="8885" w:type="dxa"/>
            <w:tcBorders>
              <w:top w:val="single" w:sz="6" w:space="0" w:color="auto"/>
              <w:left w:val="single" w:sz="6" w:space="0" w:color="auto"/>
              <w:bottom w:val="single" w:sz="6" w:space="0" w:color="auto"/>
              <w:right w:val="single" w:sz="6" w:space="0" w:color="auto"/>
            </w:tcBorders>
            <w:shd w:val="clear" w:color="auto" w:fill="auto"/>
            <w:hideMark/>
          </w:tcPr>
          <w:p w14:paraId="0CDB5241" w14:textId="77777777" w:rsidR="00061543" w:rsidRPr="005421B4" w:rsidRDefault="00061543" w:rsidP="00061543">
            <w:pPr>
              <w:spacing w:line="240" w:lineRule="auto"/>
              <w:jc w:val="both"/>
              <w:rPr>
                <w:rFonts w:cs="Times New Roman"/>
                <w:b/>
                <w:sz w:val="24"/>
                <w:szCs w:val="24"/>
              </w:rPr>
            </w:pPr>
            <w:r w:rsidRPr="005421B4">
              <w:rPr>
                <w:rFonts w:cs="Times New Roman"/>
                <w:b/>
                <w:caps/>
                <w:sz w:val="24"/>
                <w:szCs w:val="24"/>
              </w:rPr>
              <w:t>Kibernetinių grėsmių paieškos įrankių programinės įrangos nuoma</w:t>
            </w:r>
          </w:p>
        </w:tc>
      </w:tr>
      <w:tr w:rsidR="00061543" w:rsidRPr="001209F5" w14:paraId="6E232E88" w14:textId="77777777" w:rsidTr="005421B4">
        <w:trPr>
          <w:trHeight w:val="345"/>
        </w:trPr>
        <w:tc>
          <w:tcPr>
            <w:tcW w:w="1135" w:type="dxa"/>
            <w:tcBorders>
              <w:top w:val="single" w:sz="6" w:space="0" w:color="auto"/>
              <w:left w:val="single" w:sz="6" w:space="0" w:color="auto"/>
              <w:bottom w:val="single" w:sz="6" w:space="0" w:color="auto"/>
              <w:right w:val="single" w:sz="6" w:space="0" w:color="auto"/>
            </w:tcBorders>
            <w:shd w:val="clear" w:color="auto" w:fill="auto"/>
            <w:hideMark/>
          </w:tcPr>
          <w:p w14:paraId="7AB1BC64" w14:textId="77777777" w:rsidR="00061543" w:rsidRPr="005421B4" w:rsidRDefault="00061543" w:rsidP="00061543">
            <w:pPr>
              <w:spacing w:line="240" w:lineRule="auto"/>
              <w:rPr>
                <w:rFonts w:cs="Times New Roman"/>
                <w:sz w:val="24"/>
                <w:szCs w:val="24"/>
              </w:rPr>
            </w:pPr>
            <w:r w:rsidRPr="005421B4">
              <w:rPr>
                <w:rFonts w:cs="Times New Roman"/>
                <w:sz w:val="24"/>
                <w:szCs w:val="24"/>
              </w:rPr>
              <w:t>Pirkimo tikslas  </w:t>
            </w:r>
          </w:p>
        </w:tc>
        <w:tc>
          <w:tcPr>
            <w:tcW w:w="8885" w:type="dxa"/>
            <w:tcBorders>
              <w:top w:val="single" w:sz="6" w:space="0" w:color="auto"/>
              <w:left w:val="single" w:sz="6" w:space="0" w:color="auto"/>
              <w:bottom w:val="single" w:sz="6" w:space="0" w:color="auto"/>
              <w:right w:val="single" w:sz="6" w:space="0" w:color="auto"/>
            </w:tcBorders>
            <w:shd w:val="clear" w:color="auto" w:fill="auto"/>
            <w:hideMark/>
          </w:tcPr>
          <w:p w14:paraId="0F954FCD" w14:textId="77777777" w:rsidR="00061543" w:rsidRPr="005421B4" w:rsidRDefault="00061543" w:rsidP="00061543">
            <w:pPr>
              <w:spacing w:line="240" w:lineRule="auto"/>
              <w:jc w:val="both"/>
              <w:rPr>
                <w:rFonts w:cs="Times New Roman"/>
                <w:sz w:val="24"/>
                <w:szCs w:val="24"/>
              </w:rPr>
            </w:pPr>
            <w:r w:rsidRPr="005421B4">
              <w:rPr>
                <w:rFonts w:cs="Times New Roman"/>
                <w:sz w:val="24"/>
                <w:szCs w:val="24"/>
              </w:rPr>
              <w:t>Kibernetinių grėsmių paieškos įrankių programinė įranga (toliau – prekė) privalo suteikti galimybę Nacionalinio kibernetinio saugumo centro prie Krašto apsaugos ministerijos (toliau – NKSC) kibernetinio saugumo specialistams (toliau – specialistai) prieigą prie analizės platformos, kurioje specialistai galėtų atlikti domenų paiešką, randant detalią informaciją apie juos.</w:t>
            </w:r>
          </w:p>
        </w:tc>
      </w:tr>
      <w:tr w:rsidR="00061543" w:rsidRPr="001209F5" w14:paraId="015A9844" w14:textId="77777777" w:rsidTr="005421B4">
        <w:trPr>
          <w:trHeight w:val="345"/>
        </w:trPr>
        <w:tc>
          <w:tcPr>
            <w:tcW w:w="1135" w:type="dxa"/>
            <w:tcBorders>
              <w:top w:val="single" w:sz="6" w:space="0" w:color="auto"/>
              <w:left w:val="single" w:sz="6" w:space="0" w:color="auto"/>
              <w:bottom w:val="single" w:sz="6" w:space="0" w:color="auto"/>
              <w:right w:val="single" w:sz="6" w:space="0" w:color="auto"/>
            </w:tcBorders>
            <w:shd w:val="clear" w:color="auto" w:fill="auto"/>
            <w:hideMark/>
          </w:tcPr>
          <w:p w14:paraId="56BD070C" w14:textId="77777777" w:rsidR="00061543" w:rsidRPr="005421B4" w:rsidRDefault="00061543" w:rsidP="00061543">
            <w:pPr>
              <w:spacing w:line="240" w:lineRule="auto"/>
              <w:rPr>
                <w:rFonts w:cs="Times New Roman"/>
                <w:sz w:val="24"/>
                <w:szCs w:val="24"/>
              </w:rPr>
            </w:pPr>
            <w:r w:rsidRPr="005421B4">
              <w:rPr>
                <w:rFonts w:cs="Times New Roman"/>
                <w:sz w:val="24"/>
                <w:szCs w:val="24"/>
              </w:rPr>
              <w:t>Siekiamas pirkimo rezultatas </w:t>
            </w:r>
          </w:p>
        </w:tc>
        <w:tc>
          <w:tcPr>
            <w:tcW w:w="8885" w:type="dxa"/>
            <w:tcBorders>
              <w:top w:val="single" w:sz="6" w:space="0" w:color="auto"/>
              <w:left w:val="single" w:sz="6" w:space="0" w:color="auto"/>
              <w:bottom w:val="single" w:sz="6" w:space="0" w:color="auto"/>
              <w:right w:val="single" w:sz="6" w:space="0" w:color="auto"/>
            </w:tcBorders>
            <w:shd w:val="clear" w:color="auto" w:fill="auto"/>
            <w:hideMark/>
          </w:tcPr>
          <w:p w14:paraId="2CC44A13" w14:textId="77777777" w:rsidR="00061543" w:rsidRPr="005421B4" w:rsidRDefault="00061543" w:rsidP="00061543">
            <w:pPr>
              <w:spacing w:line="240" w:lineRule="auto"/>
              <w:jc w:val="both"/>
              <w:rPr>
                <w:rFonts w:cs="Times New Roman"/>
                <w:color w:val="FF0000"/>
                <w:sz w:val="24"/>
                <w:szCs w:val="24"/>
              </w:rPr>
            </w:pPr>
            <w:r w:rsidRPr="005421B4">
              <w:rPr>
                <w:rFonts w:cs="Times New Roman"/>
                <w:sz w:val="24"/>
                <w:szCs w:val="24"/>
              </w:rPr>
              <w:t>Gaunama atnaujinta informacija apie naujai registruotus domenus, atitinkančius paieškos kriterijus. Taip pat NKSC specialistai, naudodamiesi gauta preke gali vykdyti detalesnius tyrimus apie skirtingus domenus ir jų registruotojus.</w:t>
            </w:r>
          </w:p>
        </w:tc>
      </w:tr>
    </w:tbl>
    <w:p w14:paraId="332AFB57" w14:textId="321185FC" w:rsidR="001D49CB" w:rsidRDefault="001D49CB" w:rsidP="007B4895">
      <w:pPr>
        <w:spacing w:after="0" w:line="240" w:lineRule="auto"/>
        <w:jc w:val="center"/>
        <w:rPr>
          <w:rFonts w:ascii="Times New Roman" w:eastAsia="Calibri" w:hAnsi="Times New Roman" w:cs="Times New Roman"/>
          <w:b/>
          <w:sz w:val="24"/>
          <w:szCs w:val="24"/>
          <w:lang w:eastAsia="en-US"/>
        </w:rPr>
      </w:pPr>
    </w:p>
    <w:tbl>
      <w:tblPr>
        <w:tblStyle w:val="TableGrid"/>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F25CE1" w:rsidRPr="00EE6A00" w14:paraId="1A2BE283" w14:textId="77777777" w:rsidTr="005421B4">
        <w:trPr>
          <w:trHeight w:val="85"/>
        </w:trPr>
        <w:tc>
          <w:tcPr>
            <w:tcW w:w="9781" w:type="dxa"/>
          </w:tcPr>
          <w:p w14:paraId="762C02F4" w14:textId="77777777" w:rsidR="00F25CE1" w:rsidRPr="00EE6A00" w:rsidRDefault="00F25CE1" w:rsidP="004734A9">
            <w:pPr>
              <w:ind w:left="-105"/>
              <w:jc w:val="both"/>
              <w:rPr>
                <w:rFonts w:hAnsi="Times New Roman" w:cs="Times New Roman"/>
                <w:sz w:val="24"/>
                <w:szCs w:val="24"/>
              </w:rPr>
            </w:pPr>
          </w:p>
          <w:p w14:paraId="117A4168" w14:textId="101E766D" w:rsidR="00F25CE1" w:rsidRPr="00803156" w:rsidRDefault="00F25CE1" w:rsidP="004734A9">
            <w:pPr>
              <w:ind w:left="-105"/>
              <w:jc w:val="both"/>
              <w:rPr>
                <w:rFonts w:hAnsi="Times New Roman" w:cs="Times New Roman"/>
                <w:lang w:val="en-US" w:eastAsia="lt-LT"/>
              </w:rPr>
            </w:pPr>
          </w:p>
        </w:tc>
      </w:tr>
    </w:tbl>
    <w:tbl>
      <w:tblPr>
        <w:tblStyle w:val="TableGrid6"/>
        <w:tblW w:w="0" w:type="auto"/>
        <w:tblInd w:w="-289" w:type="dxa"/>
        <w:tblLook w:val="04A0" w:firstRow="1" w:lastRow="0" w:firstColumn="1" w:lastColumn="0" w:noHBand="0" w:noVBand="1"/>
      </w:tblPr>
      <w:tblGrid>
        <w:gridCol w:w="774"/>
        <w:gridCol w:w="4839"/>
        <w:gridCol w:w="4638"/>
      </w:tblGrid>
      <w:tr w:rsidR="005421B4" w:rsidRPr="001947C9" w14:paraId="646AEFDF" w14:textId="61960222" w:rsidTr="00F6375C">
        <w:trPr>
          <w:trHeight w:val="580"/>
        </w:trPr>
        <w:tc>
          <w:tcPr>
            <w:tcW w:w="774" w:type="dxa"/>
          </w:tcPr>
          <w:p w14:paraId="25A274E3" w14:textId="78A7452C" w:rsidR="005421B4" w:rsidRPr="00F6375C" w:rsidRDefault="005421B4" w:rsidP="004734A9">
            <w:pPr>
              <w:rPr>
                <w:b/>
                <w:bCs/>
              </w:rPr>
            </w:pPr>
            <w:r w:rsidRPr="00F6375C">
              <w:rPr>
                <w:b/>
                <w:bCs/>
              </w:rPr>
              <w:t>Eil.Nr.</w:t>
            </w:r>
          </w:p>
        </w:tc>
        <w:tc>
          <w:tcPr>
            <w:tcW w:w="4839" w:type="dxa"/>
          </w:tcPr>
          <w:p w14:paraId="7CB359F4" w14:textId="77777777" w:rsidR="00F6375C" w:rsidRPr="00F6375C" w:rsidRDefault="00F6375C" w:rsidP="00F6375C">
            <w:pPr>
              <w:ind w:left="262"/>
              <w:rPr>
                <w:b/>
                <w:bCs/>
              </w:rPr>
            </w:pPr>
            <w:r w:rsidRPr="00F6375C">
              <w:rPr>
                <w:b/>
                <w:bCs/>
              </w:rPr>
              <w:t>1. Bendrieji reikalavimai</w:t>
            </w:r>
          </w:p>
          <w:p w14:paraId="3BDF20FF" w14:textId="77777777" w:rsidR="005421B4" w:rsidRPr="00F6375C" w:rsidRDefault="005421B4" w:rsidP="004734A9">
            <w:pPr>
              <w:rPr>
                <w:b/>
                <w:bCs/>
              </w:rPr>
            </w:pPr>
          </w:p>
        </w:tc>
        <w:tc>
          <w:tcPr>
            <w:tcW w:w="4638" w:type="dxa"/>
          </w:tcPr>
          <w:p w14:paraId="52DCCCA2" w14:textId="20489891" w:rsidR="005421B4" w:rsidRPr="00F6375C" w:rsidRDefault="00F6375C" w:rsidP="004734A9">
            <w:pPr>
              <w:rPr>
                <w:b/>
                <w:bCs/>
              </w:rPr>
            </w:pPr>
            <w:r w:rsidRPr="00F6375C">
              <w:rPr>
                <w:b/>
                <w:bCs/>
              </w:rPr>
              <w:t>Tiekėjo siūlomos įrangos aprašymas, parametrai, gamintojo informacija</w:t>
            </w:r>
          </w:p>
        </w:tc>
      </w:tr>
      <w:tr w:rsidR="005421B4" w:rsidRPr="001947C9" w14:paraId="704D2213" w14:textId="77777777" w:rsidTr="005421B4">
        <w:trPr>
          <w:trHeight w:val="290"/>
        </w:trPr>
        <w:tc>
          <w:tcPr>
            <w:tcW w:w="774" w:type="dxa"/>
            <w:hideMark/>
          </w:tcPr>
          <w:p w14:paraId="31C452BF" w14:textId="77777777" w:rsidR="005421B4" w:rsidRPr="001947C9" w:rsidRDefault="005421B4" w:rsidP="004734A9">
            <w:r w:rsidRPr="001947C9">
              <w:t>1.1</w:t>
            </w:r>
          </w:p>
        </w:tc>
        <w:tc>
          <w:tcPr>
            <w:tcW w:w="4839" w:type="dxa"/>
            <w:noWrap/>
            <w:hideMark/>
          </w:tcPr>
          <w:p w14:paraId="53A736A4" w14:textId="77777777" w:rsidR="005421B4" w:rsidRPr="001947C9" w:rsidRDefault="005421B4" w:rsidP="004734A9">
            <w:r w:rsidRPr="001947C9">
              <w:t>  Programinė įranga, suteikianti prieigą prie kibernetinių grėsmių žvalgybos duomenų bazės analizės platformos (toliau – platforma), turi būti pateikta gamintojo arba gamintojo įgalioto asmens</w:t>
            </w:r>
          </w:p>
        </w:tc>
        <w:tc>
          <w:tcPr>
            <w:tcW w:w="4638" w:type="dxa"/>
          </w:tcPr>
          <w:p w14:paraId="50E80679" w14:textId="77777777" w:rsidR="005421B4" w:rsidRPr="001947C9" w:rsidRDefault="005421B4" w:rsidP="004734A9"/>
        </w:tc>
      </w:tr>
      <w:tr w:rsidR="005421B4" w:rsidRPr="001947C9" w14:paraId="5E344521" w14:textId="77777777" w:rsidTr="005421B4">
        <w:trPr>
          <w:trHeight w:val="290"/>
        </w:trPr>
        <w:tc>
          <w:tcPr>
            <w:tcW w:w="774" w:type="dxa"/>
            <w:hideMark/>
          </w:tcPr>
          <w:p w14:paraId="5A21361A" w14:textId="77777777" w:rsidR="005421B4" w:rsidRPr="001947C9" w:rsidRDefault="005421B4" w:rsidP="004734A9">
            <w:r w:rsidRPr="001947C9">
              <w:t>1.2</w:t>
            </w:r>
          </w:p>
        </w:tc>
        <w:tc>
          <w:tcPr>
            <w:tcW w:w="4839" w:type="dxa"/>
            <w:noWrap/>
            <w:hideMark/>
          </w:tcPr>
          <w:p w14:paraId="47255F62" w14:textId="77777777" w:rsidR="005421B4" w:rsidRPr="001947C9" w:rsidRDefault="005421B4" w:rsidP="004734A9">
            <w:r w:rsidRPr="001947C9">
              <w:t>  Tiekėjas turi pateikti nuorodą ar nuorodas į gamintojo interneto puslapį, kuriame yra tiksli pasiūlymą atitinkančios prekės techninė specifikacija arba pateikti gamintojo parengtą prekės aprašymą</w:t>
            </w:r>
          </w:p>
        </w:tc>
        <w:tc>
          <w:tcPr>
            <w:tcW w:w="4638" w:type="dxa"/>
          </w:tcPr>
          <w:p w14:paraId="7FC90791" w14:textId="77777777" w:rsidR="005421B4" w:rsidRPr="001947C9" w:rsidRDefault="005421B4" w:rsidP="004734A9"/>
        </w:tc>
      </w:tr>
      <w:tr w:rsidR="005421B4" w:rsidRPr="001947C9" w14:paraId="16C2C8E8" w14:textId="77777777" w:rsidTr="005421B4">
        <w:trPr>
          <w:trHeight w:val="290"/>
        </w:trPr>
        <w:tc>
          <w:tcPr>
            <w:tcW w:w="774" w:type="dxa"/>
            <w:hideMark/>
          </w:tcPr>
          <w:p w14:paraId="164CDBC8" w14:textId="77777777" w:rsidR="005421B4" w:rsidRPr="001947C9" w:rsidRDefault="005421B4" w:rsidP="004734A9">
            <w:r w:rsidRPr="001947C9">
              <w:t>1.3</w:t>
            </w:r>
          </w:p>
        </w:tc>
        <w:tc>
          <w:tcPr>
            <w:tcW w:w="4839" w:type="dxa"/>
            <w:noWrap/>
            <w:hideMark/>
          </w:tcPr>
          <w:p w14:paraId="1D984480" w14:textId="77777777" w:rsidR="005421B4" w:rsidRPr="001947C9" w:rsidRDefault="005421B4" w:rsidP="004734A9">
            <w:r w:rsidRPr="001947C9">
              <w:t>  Tiekėjas turi užtikrinti, kad gamintojas nėra paskelbęs žinios apie platformos, prie kurios bus suteikta prieiga, gamybos arba tobulinimo nutraukimą (pvz. angl end of life time arba Discontinued)</w:t>
            </w:r>
          </w:p>
        </w:tc>
        <w:tc>
          <w:tcPr>
            <w:tcW w:w="4638" w:type="dxa"/>
          </w:tcPr>
          <w:p w14:paraId="7588A8DB" w14:textId="77777777" w:rsidR="005421B4" w:rsidRPr="001947C9" w:rsidRDefault="005421B4" w:rsidP="004734A9"/>
        </w:tc>
      </w:tr>
      <w:tr w:rsidR="005421B4" w:rsidRPr="001947C9" w14:paraId="3020E25B" w14:textId="77777777" w:rsidTr="005421B4">
        <w:trPr>
          <w:trHeight w:val="290"/>
        </w:trPr>
        <w:tc>
          <w:tcPr>
            <w:tcW w:w="774" w:type="dxa"/>
            <w:hideMark/>
          </w:tcPr>
          <w:p w14:paraId="49A21CC2" w14:textId="77777777" w:rsidR="005421B4" w:rsidRPr="001947C9" w:rsidRDefault="005421B4" w:rsidP="004734A9">
            <w:r w:rsidRPr="001947C9">
              <w:t>1.4</w:t>
            </w:r>
          </w:p>
        </w:tc>
        <w:tc>
          <w:tcPr>
            <w:tcW w:w="4839" w:type="dxa"/>
            <w:noWrap/>
            <w:hideMark/>
          </w:tcPr>
          <w:p w14:paraId="6B362C52" w14:textId="77777777" w:rsidR="005421B4" w:rsidRPr="001947C9" w:rsidRDefault="005421B4" w:rsidP="004734A9">
            <w:r w:rsidRPr="001947C9">
              <w:t>  Tiekėjas turi užtikrinti, kad įsigyjamoje platformoje nebūtų įdiegta jokios papildomos programinės įrangos, kuri nėra būtina tokios įrangos funkcionalumui užtikrinti</w:t>
            </w:r>
          </w:p>
        </w:tc>
        <w:tc>
          <w:tcPr>
            <w:tcW w:w="4638" w:type="dxa"/>
          </w:tcPr>
          <w:p w14:paraId="184F2A92" w14:textId="77777777" w:rsidR="005421B4" w:rsidRPr="001947C9" w:rsidRDefault="005421B4" w:rsidP="004734A9"/>
        </w:tc>
      </w:tr>
      <w:tr w:rsidR="005421B4" w:rsidRPr="001947C9" w14:paraId="2B3A58A3" w14:textId="77777777" w:rsidTr="005421B4">
        <w:trPr>
          <w:trHeight w:val="290"/>
        </w:trPr>
        <w:tc>
          <w:tcPr>
            <w:tcW w:w="774" w:type="dxa"/>
            <w:hideMark/>
          </w:tcPr>
          <w:p w14:paraId="78988330" w14:textId="77777777" w:rsidR="005421B4" w:rsidRPr="001947C9" w:rsidRDefault="005421B4" w:rsidP="004734A9">
            <w:r w:rsidRPr="001947C9">
              <w:t>1.5</w:t>
            </w:r>
          </w:p>
        </w:tc>
        <w:tc>
          <w:tcPr>
            <w:tcW w:w="4839" w:type="dxa"/>
            <w:noWrap/>
            <w:hideMark/>
          </w:tcPr>
          <w:p w14:paraId="0DEDC93E" w14:textId="77777777" w:rsidR="005421B4" w:rsidRPr="001947C9" w:rsidRDefault="005421B4" w:rsidP="004734A9">
            <w:r w:rsidRPr="001947C9">
              <w:t>  Platforma turi būti licencijuojama suteikiant prieigą ne mažiau kaip 1 metams, pradedant nuo 2026-04-10</w:t>
            </w:r>
          </w:p>
        </w:tc>
        <w:tc>
          <w:tcPr>
            <w:tcW w:w="4638" w:type="dxa"/>
          </w:tcPr>
          <w:p w14:paraId="764E0C4A" w14:textId="77777777" w:rsidR="005421B4" w:rsidRPr="001947C9" w:rsidRDefault="005421B4" w:rsidP="004734A9"/>
        </w:tc>
      </w:tr>
      <w:tr w:rsidR="005421B4" w:rsidRPr="001947C9" w14:paraId="4FEF848D" w14:textId="77777777" w:rsidTr="005421B4">
        <w:trPr>
          <w:trHeight w:val="290"/>
        </w:trPr>
        <w:tc>
          <w:tcPr>
            <w:tcW w:w="774" w:type="dxa"/>
            <w:hideMark/>
          </w:tcPr>
          <w:p w14:paraId="78673276" w14:textId="77777777" w:rsidR="005421B4" w:rsidRPr="001947C9" w:rsidRDefault="005421B4" w:rsidP="004734A9">
            <w:r w:rsidRPr="001947C9">
              <w:t>1.6</w:t>
            </w:r>
          </w:p>
        </w:tc>
        <w:tc>
          <w:tcPr>
            <w:tcW w:w="4839" w:type="dxa"/>
            <w:noWrap/>
            <w:hideMark/>
          </w:tcPr>
          <w:p w14:paraId="2A07E37C" w14:textId="77777777" w:rsidR="005421B4" w:rsidRPr="001947C9" w:rsidRDefault="005421B4" w:rsidP="004734A9">
            <w:r w:rsidRPr="001947C9">
              <w:t>  Platformos dokumentai turi būti lietuvių arba anglų kalba. Gamintojo interneto svetainėje dokumentų paieška atliekama anglų arba lietuvių kalba</w:t>
            </w:r>
          </w:p>
        </w:tc>
        <w:tc>
          <w:tcPr>
            <w:tcW w:w="4638" w:type="dxa"/>
          </w:tcPr>
          <w:p w14:paraId="0BAEE763" w14:textId="77777777" w:rsidR="005421B4" w:rsidRPr="001947C9" w:rsidRDefault="005421B4" w:rsidP="004734A9"/>
        </w:tc>
      </w:tr>
      <w:tr w:rsidR="00F6375C" w:rsidRPr="001947C9" w14:paraId="030D2568" w14:textId="245E037C" w:rsidTr="00F6375C">
        <w:trPr>
          <w:trHeight w:val="551"/>
        </w:trPr>
        <w:tc>
          <w:tcPr>
            <w:tcW w:w="774" w:type="dxa"/>
            <w:hideMark/>
          </w:tcPr>
          <w:p w14:paraId="15BE2C55" w14:textId="3D16FE19" w:rsidR="00F6375C" w:rsidRDefault="00F6375C" w:rsidP="004734A9">
            <w:pPr>
              <w:rPr>
                <w:b/>
                <w:bCs/>
              </w:rPr>
            </w:pPr>
            <w:r>
              <w:rPr>
                <w:b/>
                <w:bCs/>
              </w:rPr>
              <w:t>2.</w:t>
            </w:r>
          </w:p>
          <w:p w14:paraId="14405518" w14:textId="77777777" w:rsidR="00F6375C" w:rsidRPr="001947C9" w:rsidRDefault="00F6375C" w:rsidP="004734A9">
            <w:pPr>
              <w:rPr>
                <w:b/>
                <w:bCs/>
              </w:rPr>
            </w:pPr>
            <w:r w:rsidRPr="001947C9">
              <w:t> </w:t>
            </w:r>
          </w:p>
        </w:tc>
        <w:tc>
          <w:tcPr>
            <w:tcW w:w="4839" w:type="dxa"/>
          </w:tcPr>
          <w:p w14:paraId="0A87A569" w14:textId="288EC1D7" w:rsidR="00F6375C" w:rsidRPr="001947C9" w:rsidRDefault="00F6375C" w:rsidP="00F6375C">
            <w:pPr>
              <w:ind w:left="22"/>
              <w:rPr>
                <w:b/>
                <w:bCs/>
              </w:rPr>
            </w:pPr>
            <w:r w:rsidRPr="001947C9">
              <w:rPr>
                <w:b/>
                <w:bCs/>
              </w:rPr>
              <w:t>Prekėms keliami reikalavimai: Prekė turi atitikti žemiau pateiktus reikalavimus</w:t>
            </w:r>
          </w:p>
          <w:p w14:paraId="5AA5635D" w14:textId="77777777" w:rsidR="00F6375C" w:rsidRPr="001947C9" w:rsidRDefault="00F6375C" w:rsidP="004734A9">
            <w:pPr>
              <w:rPr>
                <w:b/>
                <w:bCs/>
              </w:rPr>
            </w:pPr>
          </w:p>
        </w:tc>
        <w:tc>
          <w:tcPr>
            <w:tcW w:w="4638" w:type="dxa"/>
          </w:tcPr>
          <w:p w14:paraId="45B86238" w14:textId="76F9545C" w:rsidR="00F6375C" w:rsidRPr="001947C9" w:rsidRDefault="00F6375C" w:rsidP="004734A9">
            <w:pPr>
              <w:rPr>
                <w:b/>
                <w:bCs/>
              </w:rPr>
            </w:pPr>
            <w:r w:rsidRPr="00F6375C">
              <w:rPr>
                <w:b/>
                <w:bCs/>
              </w:rPr>
              <w:t>Tiekėjo siūlomos įrangos aprašymas, parametrai, gamintojo informacija</w:t>
            </w:r>
          </w:p>
        </w:tc>
      </w:tr>
      <w:tr w:rsidR="005421B4" w:rsidRPr="001947C9" w14:paraId="71F3AF7D" w14:textId="77777777" w:rsidTr="005421B4">
        <w:trPr>
          <w:trHeight w:val="300"/>
        </w:trPr>
        <w:tc>
          <w:tcPr>
            <w:tcW w:w="774" w:type="dxa"/>
            <w:hideMark/>
          </w:tcPr>
          <w:p w14:paraId="2A60B64A" w14:textId="77777777" w:rsidR="005421B4" w:rsidRPr="001947C9" w:rsidRDefault="005421B4" w:rsidP="004734A9">
            <w:pPr>
              <w:rPr>
                <w:b/>
                <w:bCs/>
              </w:rPr>
            </w:pPr>
            <w:r w:rsidRPr="001947C9">
              <w:rPr>
                <w:b/>
                <w:bCs/>
              </w:rPr>
              <w:t>2.1</w:t>
            </w:r>
          </w:p>
        </w:tc>
        <w:tc>
          <w:tcPr>
            <w:tcW w:w="9477" w:type="dxa"/>
            <w:gridSpan w:val="2"/>
            <w:hideMark/>
          </w:tcPr>
          <w:p w14:paraId="5B3DEE81" w14:textId="77777777" w:rsidR="005421B4" w:rsidRPr="001947C9" w:rsidRDefault="005421B4" w:rsidP="004734A9">
            <w:pPr>
              <w:rPr>
                <w:b/>
                <w:bCs/>
              </w:rPr>
            </w:pPr>
            <w:r w:rsidRPr="001947C9">
              <w:rPr>
                <w:b/>
                <w:bCs/>
              </w:rPr>
              <w:t xml:space="preserve">Platforma turi turėti domenų vardų kibernetinių grėsmių žvalgybos duomenų bazę, kurios funkcionalumas turi susidėti iš: </w:t>
            </w:r>
          </w:p>
        </w:tc>
      </w:tr>
      <w:tr w:rsidR="005421B4" w:rsidRPr="001947C9" w14:paraId="17082A92" w14:textId="77777777" w:rsidTr="005421B4">
        <w:trPr>
          <w:trHeight w:val="620"/>
        </w:trPr>
        <w:tc>
          <w:tcPr>
            <w:tcW w:w="774" w:type="dxa"/>
            <w:hideMark/>
          </w:tcPr>
          <w:p w14:paraId="2CA04C71" w14:textId="77777777" w:rsidR="005421B4" w:rsidRPr="001947C9" w:rsidRDefault="005421B4" w:rsidP="004734A9">
            <w:r w:rsidRPr="001947C9">
              <w:t>2.1.1</w:t>
            </w:r>
          </w:p>
        </w:tc>
        <w:tc>
          <w:tcPr>
            <w:tcW w:w="4839" w:type="dxa"/>
            <w:hideMark/>
          </w:tcPr>
          <w:p w14:paraId="1CA1529C" w14:textId="77777777" w:rsidR="005421B4" w:rsidRPr="001947C9" w:rsidRDefault="005421B4" w:rsidP="004734A9">
            <w:r w:rsidRPr="001947C9">
              <w:t>Dinaminės kibernetinių grėsmių žvalgybos duomenų bazės. Turi turėti išsamias, reguliariai (ne rečiau, kaip kartą per 24 val.) atnaujinamas duomenų bazes, kuriose pateikiami domenų vardų, IP adresų informacijos įrašai bei registruotojų (domenų savininkų) duomenys (el. pašto, registravimo vietos, sertifikato duomenys) Šioje duomenų bazėje turi būti istoriniai ir dabartiniai duomenys, leidžiantys atlikti galimų kibernetinių grėsmių analizę.</w:t>
            </w:r>
          </w:p>
        </w:tc>
        <w:tc>
          <w:tcPr>
            <w:tcW w:w="4638" w:type="dxa"/>
          </w:tcPr>
          <w:p w14:paraId="73EAF00D" w14:textId="77777777" w:rsidR="005421B4" w:rsidRPr="001947C9" w:rsidRDefault="005421B4" w:rsidP="004734A9"/>
        </w:tc>
      </w:tr>
      <w:tr w:rsidR="005421B4" w:rsidRPr="001947C9" w14:paraId="67884D06" w14:textId="77777777" w:rsidTr="005421B4">
        <w:trPr>
          <w:trHeight w:val="620"/>
        </w:trPr>
        <w:tc>
          <w:tcPr>
            <w:tcW w:w="774" w:type="dxa"/>
            <w:hideMark/>
          </w:tcPr>
          <w:p w14:paraId="2F55E2A8" w14:textId="77777777" w:rsidR="005421B4" w:rsidRPr="001947C9" w:rsidRDefault="005421B4" w:rsidP="004734A9">
            <w:r w:rsidRPr="001947C9">
              <w:t>2.1.2</w:t>
            </w:r>
          </w:p>
        </w:tc>
        <w:tc>
          <w:tcPr>
            <w:tcW w:w="4839" w:type="dxa"/>
            <w:hideMark/>
          </w:tcPr>
          <w:p w14:paraId="0CE502AD" w14:textId="77777777" w:rsidR="005421B4" w:rsidRPr="001947C9" w:rsidRDefault="005421B4" w:rsidP="004734A9">
            <w:r w:rsidRPr="001947C9">
              <w:t>Tyrimo ir analizės priemonių: platformos sprendime turi būti tyrimo įrankių rinkinys, skirtas analizuoti domenų vardų kibernetinių grėsmių žvalgybos duomenų bazę. Šios priemonės turi palaikyti  užklausas, t. y. leidžiančias tirti skaitmeninių subjektų ryšius, aptikti modelius ir atskleisti grėsmę keliančių subjektų infrastruktūras.</w:t>
            </w:r>
          </w:p>
        </w:tc>
        <w:tc>
          <w:tcPr>
            <w:tcW w:w="4638" w:type="dxa"/>
          </w:tcPr>
          <w:p w14:paraId="48A470CD" w14:textId="77777777" w:rsidR="005421B4" w:rsidRPr="001947C9" w:rsidRDefault="005421B4" w:rsidP="004734A9"/>
        </w:tc>
      </w:tr>
      <w:tr w:rsidR="005421B4" w:rsidRPr="001947C9" w14:paraId="1F18EFC7" w14:textId="77777777" w:rsidTr="005421B4">
        <w:trPr>
          <w:trHeight w:val="620"/>
        </w:trPr>
        <w:tc>
          <w:tcPr>
            <w:tcW w:w="774" w:type="dxa"/>
            <w:hideMark/>
          </w:tcPr>
          <w:p w14:paraId="72FFD63D" w14:textId="77777777" w:rsidR="005421B4" w:rsidRPr="001947C9" w:rsidRDefault="005421B4" w:rsidP="004734A9">
            <w:r w:rsidRPr="001947C9">
              <w:t>2.1.3</w:t>
            </w:r>
          </w:p>
        </w:tc>
        <w:tc>
          <w:tcPr>
            <w:tcW w:w="4839" w:type="dxa"/>
            <w:hideMark/>
          </w:tcPr>
          <w:p w14:paraId="5BCAD40D" w14:textId="77777777" w:rsidR="005421B4" w:rsidRPr="001947C9" w:rsidRDefault="005421B4" w:rsidP="004734A9">
            <w:r w:rsidRPr="001947C9">
              <w:t>Pritaikomos naudotojo sąsajos. Naudotojo sąsaja turi būti pritaikyta tyrimo poreikiams, leidžianti naršyti, ieškoti ir analizuoti. Sąsaja turi palaikyti pasirinktines konfigūracijas, kad duomenys būtų rodomi taip, kaip tinka naudotojo analitiniams procesams.</w:t>
            </w:r>
          </w:p>
        </w:tc>
        <w:tc>
          <w:tcPr>
            <w:tcW w:w="4638" w:type="dxa"/>
          </w:tcPr>
          <w:p w14:paraId="0F35D429" w14:textId="77777777" w:rsidR="005421B4" w:rsidRPr="001947C9" w:rsidRDefault="005421B4" w:rsidP="004734A9"/>
        </w:tc>
      </w:tr>
      <w:tr w:rsidR="005421B4" w:rsidRPr="001947C9" w14:paraId="5C6455E6" w14:textId="77777777" w:rsidTr="005421B4">
        <w:trPr>
          <w:trHeight w:val="620"/>
        </w:trPr>
        <w:tc>
          <w:tcPr>
            <w:tcW w:w="774" w:type="dxa"/>
            <w:hideMark/>
          </w:tcPr>
          <w:p w14:paraId="1AB378B1" w14:textId="77777777" w:rsidR="005421B4" w:rsidRPr="001947C9" w:rsidRDefault="005421B4" w:rsidP="004734A9">
            <w:r w:rsidRPr="001947C9">
              <w:t>2.1.4</w:t>
            </w:r>
          </w:p>
        </w:tc>
        <w:tc>
          <w:tcPr>
            <w:tcW w:w="4839" w:type="dxa"/>
            <w:hideMark/>
          </w:tcPr>
          <w:p w14:paraId="7229D825" w14:textId="77777777" w:rsidR="005421B4" w:rsidRPr="001947C9" w:rsidRDefault="005421B4" w:rsidP="004734A9">
            <w:r w:rsidRPr="001947C9">
              <w:t>Vizualizavimo ir kartografavimo galimybių. Turi būti  pateikti vizualizavimo įrankiai, kuriais galima grafiškai pavaizduoti santykius ir ryšius tarp kibernetinių subjektų, išryškinant veiklos modelius ir grupes, galinčias rodyti kenkėjišką elgesį ar kylančias grėsmes.</w:t>
            </w:r>
          </w:p>
        </w:tc>
        <w:tc>
          <w:tcPr>
            <w:tcW w:w="4638" w:type="dxa"/>
          </w:tcPr>
          <w:p w14:paraId="4A55E5F9" w14:textId="77777777" w:rsidR="005421B4" w:rsidRPr="001947C9" w:rsidRDefault="005421B4" w:rsidP="004734A9"/>
        </w:tc>
      </w:tr>
      <w:tr w:rsidR="005421B4" w:rsidRPr="001947C9" w14:paraId="4141D92D" w14:textId="77777777" w:rsidTr="005421B4">
        <w:trPr>
          <w:trHeight w:val="310"/>
        </w:trPr>
        <w:tc>
          <w:tcPr>
            <w:tcW w:w="774" w:type="dxa"/>
            <w:hideMark/>
          </w:tcPr>
          <w:p w14:paraId="10404D99" w14:textId="77777777" w:rsidR="005421B4" w:rsidRPr="001947C9" w:rsidRDefault="005421B4" w:rsidP="004734A9">
            <w:r w:rsidRPr="001947C9">
              <w:t>2.1.5</w:t>
            </w:r>
          </w:p>
        </w:tc>
        <w:tc>
          <w:tcPr>
            <w:tcW w:w="4839" w:type="dxa"/>
            <w:hideMark/>
          </w:tcPr>
          <w:p w14:paraId="0DED8F6C" w14:textId="77777777" w:rsidR="005421B4" w:rsidRPr="001947C9" w:rsidRDefault="005421B4" w:rsidP="004734A9">
            <w:r w:rsidRPr="001947C9">
              <w:t>Istorinės informacijos bei pokyčių stebėjimo. Turi būti funkcijos, leidžiančios naudotojams peržiūrėti istorinius domenų registracijų, IP paskyrimų pokyčius.</w:t>
            </w:r>
          </w:p>
        </w:tc>
        <w:tc>
          <w:tcPr>
            <w:tcW w:w="4638" w:type="dxa"/>
          </w:tcPr>
          <w:p w14:paraId="6DA3D57C" w14:textId="77777777" w:rsidR="005421B4" w:rsidRPr="001947C9" w:rsidRDefault="005421B4" w:rsidP="004734A9"/>
        </w:tc>
      </w:tr>
      <w:tr w:rsidR="005421B4" w:rsidRPr="001947C9" w14:paraId="50C7FDFB" w14:textId="77777777" w:rsidTr="005421B4">
        <w:trPr>
          <w:trHeight w:val="310"/>
        </w:trPr>
        <w:tc>
          <w:tcPr>
            <w:tcW w:w="774" w:type="dxa"/>
            <w:hideMark/>
          </w:tcPr>
          <w:p w14:paraId="1635792E" w14:textId="77777777" w:rsidR="005421B4" w:rsidRPr="001947C9" w:rsidRDefault="005421B4" w:rsidP="004734A9">
            <w:r w:rsidRPr="001947C9">
              <w:t>2.1.6</w:t>
            </w:r>
          </w:p>
        </w:tc>
        <w:tc>
          <w:tcPr>
            <w:tcW w:w="4839" w:type="dxa"/>
            <w:hideMark/>
          </w:tcPr>
          <w:p w14:paraId="1C76876B" w14:textId="77777777" w:rsidR="005421B4" w:rsidRPr="001947C9" w:rsidRDefault="005421B4" w:rsidP="004734A9">
            <w:r w:rsidRPr="001947C9">
              <w:t xml:space="preserve">Turi būti galimybė išsaugoti, kategorizuoti ir pakartotinai peržiūrėti specialisto jau atliktus tyrimus. Funkcijos turi apimti galimybę dokumentuoti tyrimo veiksmus, sisteminti išvadas ir dalytis įžvalgomis komandoje tarp specialistų. </w:t>
            </w:r>
          </w:p>
        </w:tc>
        <w:tc>
          <w:tcPr>
            <w:tcW w:w="4638" w:type="dxa"/>
          </w:tcPr>
          <w:p w14:paraId="0A35E612" w14:textId="77777777" w:rsidR="005421B4" w:rsidRPr="001947C9" w:rsidRDefault="005421B4" w:rsidP="004734A9"/>
        </w:tc>
      </w:tr>
      <w:tr w:rsidR="005421B4" w:rsidRPr="001947C9" w14:paraId="5AD0060A" w14:textId="77777777" w:rsidTr="005421B4">
        <w:trPr>
          <w:trHeight w:val="620"/>
        </w:trPr>
        <w:tc>
          <w:tcPr>
            <w:tcW w:w="774" w:type="dxa"/>
            <w:hideMark/>
          </w:tcPr>
          <w:p w14:paraId="23675DED" w14:textId="77777777" w:rsidR="005421B4" w:rsidRPr="001947C9" w:rsidRDefault="005421B4" w:rsidP="004734A9">
            <w:r w:rsidRPr="001947C9">
              <w:t>2.1.7</w:t>
            </w:r>
          </w:p>
        </w:tc>
        <w:tc>
          <w:tcPr>
            <w:tcW w:w="4839" w:type="dxa"/>
            <w:hideMark/>
          </w:tcPr>
          <w:p w14:paraId="4F8B1B79" w14:textId="77777777" w:rsidR="005421B4" w:rsidRPr="001947C9" w:rsidRDefault="005421B4" w:rsidP="004734A9">
            <w:r w:rsidRPr="001947C9">
              <w:t>Domeno rizikos vertinimo sistema: Turi būti funkcija, kuri automatiškai įvertina ir priskiria skirtingus rizikos balus domenams, remdamasi šių rodiklių rinkiniu (įskaitant, bet neapsiribojant): domeno registracijos duomenimis, susijusiais IP adresais ir žinoma kenkėjiška veikla. Funkcionalumas turi padėti nustatyti tyrimų prioritetus, remiantis priskirtų balų skaičiumi, ir fokusuoti į potencialiai žalingiausias grėsmes.</w:t>
            </w:r>
          </w:p>
        </w:tc>
        <w:tc>
          <w:tcPr>
            <w:tcW w:w="4638" w:type="dxa"/>
          </w:tcPr>
          <w:p w14:paraId="26A9CAA6" w14:textId="77777777" w:rsidR="005421B4" w:rsidRPr="001947C9" w:rsidRDefault="005421B4" w:rsidP="004734A9"/>
        </w:tc>
      </w:tr>
      <w:tr w:rsidR="005421B4" w:rsidRPr="001947C9" w14:paraId="6B5BBDDD" w14:textId="77777777" w:rsidTr="005421B4">
        <w:trPr>
          <w:trHeight w:val="620"/>
        </w:trPr>
        <w:tc>
          <w:tcPr>
            <w:tcW w:w="774" w:type="dxa"/>
            <w:hideMark/>
          </w:tcPr>
          <w:p w14:paraId="79848F43" w14:textId="77777777" w:rsidR="005421B4" w:rsidRPr="001947C9" w:rsidRDefault="005421B4" w:rsidP="004734A9">
            <w:r w:rsidRPr="001947C9">
              <w:t>2.1.8</w:t>
            </w:r>
          </w:p>
        </w:tc>
        <w:tc>
          <w:tcPr>
            <w:tcW w:w="4839" w:type="dxa"/>
            <w:hideMark/>
          </w:tcPr>
          <w:p w14:paraId="6D78F12D" w14:textId="77777777" w:rsidR="005421B4" w:rsidRPr="001947C9" w:rsidRDefault="005421B4" w:rsidP="004734A9">
            <w:r w:rsidRPr="001947C9">
              <w:t>PassiveDNS API suderinamumas: Platforma turi būti suderinama su API, leidžiančiu atlikti užklausas, vienu metu prisijungti prie ne mažiau 2 (dviejų) tinklų, kad būtų galima naudoti NKSC turimose platformose (MISP, EclecticIQ).</w:t>
            </w:r>
          </w:p>
        </w:tc>
        <w:tc>
          <w:tcPr>
            <w:tcW w:w="4638" w:type="dxa"/>
          </w:tcPr>
          <w:p w14:paraId="53C944A8" w14:textId="77777777" w:rsidR="005421B4" w:rsidRPr="001947C9" w:rsidRDefault="005421B4" w:rsidP="004734A9"/>
        </w:tc>
      </w:tr>
      <w:tr w:rsidR="005421B4" w:rsidRPr="001947C9" w14:paraId="4776124C" w14:textId="77777777" w:rsidTr="005421B4">
        <w:trPr>
          <w:trHeight w:val="310"/>
        </w:trPr>
        <w:tc>
          <w:tcPr>
            <w:tcW w:w="774" w:type="dxa"/>
            <w:hideMark/>
          </w:tcPr>
          <w:p w14:paraId="398FC983" w14:textId="77777777" w:rsidR="005421B4" w:rsidRPr="001947C9" w:rsidRDefault="005421B4" w:rsidP="004734A9">
            <w:r w:rsidRPr="001947C9">
              <w:t>2.1.9</w:t>
            </w:r>
          </w:p>
        </w:tc>
        <w:tc>
          <w:tcPr>
            <w:tcW w:w="4839" w:type="dxa"/>
            <w:hideMark/>
          </w:tcPr>
          <w:p w14:paraId="5C3274BD" w14:textId="77777777" w:rsidR="005421B4" w:rsidRPr="001947C9" w:rsidRDefault="005421B4" w:rsidP="004734A9">
            <w:r w:rsidRPr="001947C9">
              <w:t>Infrastruktūros koreliacijos automatizavimas: Platforma turi gebėti pasiūlyti įžvalgas koreliuojant domenus, atskleidžiant domenų, turinčių bendrų infrastruktūros elementų ar kontekstinių atributų, skaičių.</w:t>
            </w:r>
          </w:p>
        </w:tc>
        <w:tc>
          <w:tcPr>
            <w:tcW w:w="4638" w:type="dxa"/>
          </w:tcPr>
          <w:p w14:paraId="16B561CF" w14:textId="77777777" w:rsidR="005421B4" w:rsidRPr="001947C9" w:rsidRDefault="005421B4" w:rsidP="004734A9"/>
        </w:tc>
      </w:tr>
      <w:tr w:rsidR="005421B4" w:rsidRPr="001947C9" w14:paraId="159BDAE5" w14:textId="77777777" w:rsidTr="005421B4">
        <w:trPr>
          <w:trHeight w:val="620"/>
        </w:trPr>
        <w:tc>
          <w:tcPr>
            <w:tcW w:w="774" w:type="dxa"/>
            <w:hideMark/>
          </w:tcPr>
          <w:p w14:paraId="17A8CE1F" w14:textId="77777777" w:rsidR="005421B4" w:rsidRPr="001947C9" w:rsidRDefault="005421B4" w:rsidP="004734A9">
            <w:r w:rsidRPr="001947C9">
              <w:t>2.1.10</w:t>
            </w:r>
          </w:p>
        </w:tc>
        <w:tc>
          <w:tcPr>
            <w:tcW w:w="4839" w:type="dxa"/>
            <w:hideMark/>
          </w:tcPr>
          <w:p w14:paraId="41F82CF0" w14:textId="77777777" w:rsidR="005421B4" w:rsidRPr="001947C9" w:rsidRDefault="005421B4" w:rsidP="004734A9">
            <w:r w:rsidRPr="001947C9">
              <w:t>Istoriniai DNS duomenys. Platforma turi apimti DNS duomenų rinkimą, ataskaitų teikimą ir galimybę atlikti paiešką (su istoriniais įrašais) internete, kad būtų galima rasti apie galinas grėsmes, grėsmių dalyvius ir susijusius artefaktus.</w:t>
            </w:r>
          </w:p>
        </w:tc>
        <w:tc>
          <w:tcPr>
            <w:tcW w:w="4638" w:type="dxa"/>
          </w:tcPr>
          <w:p w14:paraId="68E0DD6F" w14:textId="77777777" w:rsidR="005421B4" w:rsidRPr="001947C9" w:rsidRDefault="005421B4" w:rsidP="004734A9"/>
        </w:tc>
      </w:tr>
      <w:tr w:rsidR="005421B4" w:rsidRPr="001947C9" w14:paraId="1D482500" w14:textId="77777777" w:rsidTr="005421B4">
        <w:trPr>
          <w:trHeight w:val="310"/>
        </w:trPr>
        <w:tc>
          <w:tcPr>
            <w:tcW w:w="774" w:type="dxa"/>
            <w:hideMark/>
          </w:tcPr>
          <w:p w14:paraId="1729486E" w14:textId="77777777" w:rsidR="005421B4" w:rsidRPr="001947C9" w:rsidRDefault="005421B4" w:rsidP="004734A9">
            <w:r w:rsidRPr="001947C9">
              <w:t>2.1.11</w:t>
            </w:r>
          </w:p>
        </w:tc>
        <w:tc>
          <w:tcPr>
            <w:tcW w:w="4839" w:type="dxa"/>
            <w:hideMark/>
          </w:tcPr>
          <w:p w14:paraId="25CC5125" w14:textId="77777777" w:rsidR="005421B4" w:rsidRPr="001947C9" w:rsidRDefault="005421B4" w:rsidP="004734A9">
            <w:r w:rsidRPr="001947C9">
              <w:t>Subdomeno paieška. Platforma turi suteikti galimybę išvardyti subdomenus, rastus bet kokio tipo DNS įrašuose dabartiniame ir istoriniame kontekste, taip pat IPV4 adresą, kurį šis subdomenas taip pat išsprendžia.</w:t>
            </w:r>
          </w:p>
        </w:tc>
        <w:tc>
          <w:tcPr>
            <w:tcW w:w="4638" w:type="dxa"/>
          </w:tcPr>
          <w:p w14:paraId="2A51C039" w14:textId="77777777" w:rsidR="005421B4" w:rsidRPr="001947C9" w:rsidRDefault="005421B4" w:rsidP="004734A9"/>
        </w:tc>
      </w:tr>
      <w:tr w:rsidR="005421B4" w:rsidRPr="001947C9" w14:paraId="2E366515" w14:textId="77777777" w:rsidTr="005421B4">
        <w:trPr>
          <w:trHeight w:val="310"/>
        </w:trPr>
        <w:tc>
          <w:tcPr>
            <w:tcW w:w="774" w:type="dxa"/>
            <w:hideMark/>
          </w:tcPr>
          <w:p w14:paraId="73C01FC1" w14:textId="77777777" w:rsidR="005421B4" w:rsidRPr="001947C9" w:rsidRDefault="005421B4" w:rsidP="004734A9">
            <w:r w:rsidRPr="001947C9">
              <w:t>2.1.12</w:t>
            </w:r>
          </w:p>
        </w:tc>
        <w:tc>
          <w:tcPr>
            <w:tcW w:w="4839" w:type="dxa"/>
            <w:hideMark/>
          </w:tcPr>
          <w:p w14:paraId="2C8F1624" w14:textId="77777777" w:rsidR="005421B4" w:rsidRPr="001947C9" w:rsidRDefault="005421B4" w:rsidP="004734A9">
            <w:r w:rsidRPr="001947C9">
              <w:t>Platformoje turi būti palaikomos išplėstinės paieškos galimybės naudojant reguliariąsias išraiškas (regex), kad būtų galima parinkti ir filtruoti DNS įrašus pagal šablonus, taip padidinant duomenų užklausų lankstumą ir specifiškumą.</w:t>
            </w:r>
          </w:p>
        </w:tc>
        <w:tc>
          <w:tcPr>
            <w:tcW w:w="4638" w:type="dxa"/>
          </w:tcPr>
          <w:p w14:paraId="085133A1" w14:textId="77777777" w:rsidR="005421B4" w:rsidRPr="001947C9" w:rsidRDefault="005421B4" w:rsidP="004734A9"/>
        </w:tc>
      </w:tr>
      <w:tr w:rsidR="005421B4" w:rsidRPr="001947C9" w14:paraId="7F2145CB" w14:textId="77777777" w:rsidTr="005421B4">
        <w:trPr>
          <w:trHeight w:val="300"/>
        </w:trPr>
        <w:tc>
          <w:tcPr>
            <w:tcW w:w="774" w:type="dxa"/>
            <w:hideMark/>
          </w:tcPr>
          <w:p w14:paraId="77D095F1" w14:textId="77777777" w:rsidR="005421B4" w:rsidRPr="001947C9" w:rsidRDefault="005421B4" w:rsidP="004734A9">
            <w:pPr>
              <w:rPr>
                <w:b/>
                <w:bCs/>
              </w:rPr>
            </w:pPr>
            <w:r w:rsidRPr="001947C9">
              <w:rPr>
                <w:b/>
                <w:bCs/>
              </w:rPr>
              <w:t>2.2</w:t>
            </w:r>
          </w:p>
        </w:tc>
        <w:tc>
          <w:tcPr>
            <w:tcW w:w="9477" w:type="dxa"/>
            <w:gridSpan w:val="2"/>
            <w:hideMark/>
          </w:tcPr>
          <w:p w14:paraId="18152B0D" w14:textId="77777777" w:rsidR="005421B4" w:rsidRPr="001947C9" w:rsidRDefault="005421B4" w:rsidP="004734A9">
            <w:pPr>
              <w:rPr>
                <w:b/>
                <w:bCs/>
              </w:rPr>
            </w:pPr>
            <w:r w:rsidRPr="001947C9">
              <w:rPr>
                <w:b/>
                <w:bCs/>
              </w:rPr>
              <w:t>Programinė įranga turi leisti atlikti:</w:t>
            </w:r>
          </w:p>
        </w:tc>
      </w:tr>
      <w:tr w:rsidR="005421B4" w:rsidRPr="001947C9" w14:paraId="66C8E111" w14:textId="77777777" w:rsidTr="005421B4">
        <w:trPr>
          <w:trHeight w:val="310"/>
        </w:trPr>
        <w:tc>
          <w:tcPr>
            <w:tcW w:w="774" w:type="dxa"/>
            <w:hideMark/>
          </w:tcPr>
          <w:p w14:paraId="3A7F862A" w14:textId="77777777" w:rsidR="005421B4" w:rsidRPr="001947C9" w:rsidRDefault="005421B4" w:rsidP="004734A9">
            <w:r w:rsidRPr="001947C9">
              <w:t>2.2.1</w:t>
            </w:r>
          </w:p>
        </w:tc>
        <w:tc>
          <w:tcPr>
            <w:tcW w:w="4839" w:type="dxa"/>
            <w:hideMark/>
          </w:tcPr>
          <w:p w14:paraId="494AD831" w14:textId="77777777" w:rsidR="005421B4" w:rsidRPr="001947C9" w:rsidRDefault="005421B4" w:rsidP="004734A9">
            <w:r w:rsidRPr="001947C9">
              <w:t xml:space="preserve">Paiešką domenų vardų kibernetinių grėsmių žvalgybos duomenų bazėje, ne mažiau kaip 2500 užklausų/mėn. </w:t>
            </w:r>
          </w:p>
        </w:tc>
        <w:tc>
          <w:tcPr>
            <w:tcW w:w="4638" w:type="dxa"/>
          </w:tcPr>
          <w:p w14:paraId="5754AEF5" w14:textId="77777777" w:rsidR="005421B4" w:rsidRPr="001947C9" w:rsidRDefault="005421B4" w:rsidP="004734A9"/>
        </w:tc>
      </w:tr>
      <w:tr w:rsidR="005421B4" w:rsidRPr="001947C9" w14:paraId="69260030" w14:textId="77777777" w:rsidTr="005421B4">
        <w:trPr>
          <w:trHeight w:val="310"/>
        </w:trPr>
        <w:tc>
          <w:tcPr>
            <w:tcW w:w="774" w:type="dxa"/>
            <w:hideMark/>
          </w:tcPr>
          <w:p w14:paraId="436F30E0" w14:textId="77777777" w:rsidR="005421B4" w:rsidRPr="001947C9" w:rsidRDefault="005421B4" w:rsidP="004734A9">
            <w:r w:rsidRPr="001947C9">
              <w:t>2.2.2</w:t>
            </w:r>
          </w:p>
        </w:tc>
        <w:tc>
          <w:tcPr>
            <w:tcW w:w="4839" w:type="dxa"/>
            <w:hideMark/>
          </w:tcPr>
          <w:p w14:paraId="1BB2EA34" w14:textId="77777777" w:rsidR="005421B4" w:rsidRPr="001947C9" w:rsidRDefault="005421B4" w:rsidP="004734A9">
            <w:r w:rsidRPr="001947C9">
              <w:t>DNSDB užklausas, kurių skaičius ne mažiau kaip 100 užklausų per dieną</w:t>
            </w:r>
          </w:p>
        </w:tc>
        <w:tc>
          <w:tcPr>
            <w:tcW w:w="4638" w:type="dxa"/>
          </w:tcPr>
          <w:p w14:paraId="39CF84CA" w14:textId="77777777" w:rsidR="005421B4" w:rsidRPr="001947C9" w:rsidRDefault="005421B4" w:rsidP="004734A9"/>
        </w:tc>
      </w:tr>
      <w:tr w:rsidR="005421B4" w:rsidRPr="001947C9" w14:paraId="12331F62" w14:textId="77777777" w:rsidTr="005421B4">
        <w:trPr>
          <w:trHeight w:val="310"/>
        </w:trPr>
        <w:tc>
          <w:tcPr>
            <w:tcW w:w="774" w:type="dxa"/>
            <w:hideMark/>
          </w:tcPr>
          <w:p w14:paraId="71E2243A" w14:textId="77777777" w:rsidR="005421B4" w:rsidRPr="001947C9" w:rsidRDefault="005421B4" w:rsidP="004734A9">
            <w:r w:rsidRPr="001947C9">
              <w:t>2.2.3</w:t>
            </w:r>
          </w:p>
        </w:tc>
        <w:tc>
          <w:tcPr>
            <w:tcW w:w="4839" w:type="dxa"/>
            <w:hideMark/>
          </w:tcPr>
          <w:p w14:paraId="0B94A967" w14:textId="77777777" w:rsidR="005421B4" w:rsidRPr="001947C9" w:rsidRDefault="005421B4" w:rsidP="004734A9">
            <w:r w:rsidRPr="001947C9">
              <w:t>„Whois“ istorinių duomenų paiešką, ne mažiau kaip 2500 įrašų/mėn.</w:t>
            </w:r>
          </w:p>
        </w:tc>
        <w:tc>
          <w:tcPr>
            <w:tcW w:w="4638" w:type="dxa"/>
          </w:tcPr>
          <w:p w14:paraId="61339049" w14:textId="77777777" w:rsidR="005421B4" w:rsidRPr="001947C9" w:rsidRDefault="005421B4" w:rsidP="004734A9"/>
        </w:tc>
      </w:tr>
      <w:tr w:rsidR="005421B4" w:rsidRPr="001947C9" w14:paraId="61403587" w14:textId="77777777" w:rsidTr="005421B4">
        <w:trPr>
          <w:trHeight w:val="310"/>
        </w:trPr>
        <w:tc>
          <w:tcPr>
            <w:tcW w:w="774" w:type="dxa"/>
            <w:hideMark/>
          </w:tcPr>
          <w:p w14:paraId="4E47A46E" w14:textId="77777777" w:rsidR="005421B4" w:rsidRPr="001947C9" w:rsidRDefault="005421B4" w:rsidP="004734A9">
            <w:r w:rsidRPr="001947C9">
              <w:t>2.2.4</w:t>
            </w:r>
          </w:p>
        </w:tc>
        <w:tc>
          <w:tcPr>
            <w:tcW w:w="4839" w:type="dxa"/>
            <w:hideMark/>
          </w:tcPr>
          <w:p w14:paraId="2D7BE1C9" w14:textId="77777777" w:rsidR="005421B4" w:rsidRPr="001947C9" w:rsidRDefault="005421B4" w:rsidP="004734A9">
            <w:r w:rsidRPr="001947C9">
              <w:t>istorinių prieglaudos (angl. Hosting) duomenų paiešką, ne mažiau kaip 2500 užklausų/ mėn.</w:t>
            </w:r>
          </w:p>
        </w:tc>
        <w:tc>
          <w:tcPr>
            <w:tcW w:w="4638" w:type="dxa"/>
          </w:tcPr>
          <w:p w14:paraId="04919CFC" w14:textId="77777777" w:rsidR="005421B4" w:rsidRPr="001947C9" w:rsidRDefault="005421B4" w:rsidP="004734A9"/>
        </w:tc>
      </w:tr>
      <w:tr w:rsidR="005421B4" w:rsidRPr="001947C9" w14:paraId="2CB81CBD" w14:textId="77777777" w:rsidTr="005421B4">
        <w:trPr>
          <w:trHeight w:val="310"/>
        </w:trPr>
        <w:tc>
          <w:tcPr>
            <w:tcW w:w="774" w:type="dxa"/>
            <w:hideMark/>
          </w:tcPr>
          <w:p w14:paraId="77526EE8" w14:textId="77777777" w:rsidR="005421B4" w:rsidRPr="001947C9" w:rsidRDefault="005421B4" w:rsidP="004734A9">
            <w:r w:rsidRPr="001947C9">
              <w:t>2.2.5</w:t>
            </w:r>
          </w:p>
        </w:tc>
        <w:tc>
          <w:tcPr>
            <w:tcW w:w="4839" w:type="dxa"/>
            <w:hideMark/>
          </w:tcPr>
          <w:p w14:paraId="3075A594" w14:textId="77777777" w:rsidR="005421B4" w:rsidRPr="001947C9" w:rsidRDefault="005421B4" w:rsidP="004734A9">
            <w:r w:rsidRPr="001947C9">
              <w:t>atvirkštinių (angl. Reverse) Whois duomenų paiešką, ne mažiau kaip 1000 užklausų/ mėn.</w:t>
            </w:r>
          </w:p>
        </w:tc>
        <w:tc>
          <w:tcPr>
            <w:tcW w:w="4638" w:type="dxa"/>
          </w:tcPr>
          <w:p w14:paraId="2C5DFCCD" w14:textId="77777777" w:rsidR="005421B4" w:rsidRPr="001947C9" w:rsidRDefault="005421B4" w:rsidP="004734A9"/>
        </w:tc>
      </w:tr>
      <w:tr w:rsidR="005421B4" w:rsidRPr="001947C9" w14:paraId="1DA59344" w14:textId="77777777" w:rsidTr="005421B4">
        <w:trPr>
          <w:trHeight w:val="310"/>
        </w:trPr>
        <w:tc>
          <w:tcPr>
            <w:tcW w:w="774" w:type="dxa"/>
            <w:hideMark/>
          </w:tcPr>
          <w:p w14:paraId="2E335774" w14:textId="77777777" w:rsidR="005421B4" w:rsidRPr="001947C9" w:rsidRDefault="005421B4" w:rsidP="004734A9">
            <w:r w:rsidRPr="001947C9">
              <w:t>2.2.6</w:t>
            </w:r>
          </w:p>
        </w:tc>
        <w:tc>
          <w:tcPr>
            <w:tcW w:w="4839" w:type="dxa"/>
            <w:hideMark/>
          </w:tcPr>
          <w:p w14:paraId="02AEB9FD" w14:textId="77777777" w:rsidR="005421B4" w:rsidRPr="001947C9" w:rsidRDefault="005421B4" w:rsidP="004734A9">
            <w:r w:rsidRPr="001947C9">
              <w:t xml:space="preserve"> Paiešką apie domenų profilius, ne mažiau kaip 2500 užklausų/mėn.</w:t>
            </w:r>
          </w:p>
        </w:tc>
        <w:tc>
          <w:tcPr>
            <w:tcW w:w="4638" w:type="dxa"/>
          </w:tcPr>
          <w:p w14:paraId="0421BEE9" w14:textId="77777777" w:rsidR="005421B4" w:rsidRPr="001947C9" w:rsidRDefault="005421B4" w:rsidP="004734A9"/>
        </w:tc>
      </w:tr>
      <w:tr w:rsidR="005421B4" w:rsidRPr="001947C9" w14:paraId="537F5C61" w14:textId="77777777" w:rsidTr="005421B4">
        <w:trPr>
          <w:trHeight w:val="310"/>
        </w:trPr>
        <w:tc>
          <w:tcPr>
            <w:tcW w:w="774" w:type="dxa"/>
            <w:hideMark/>
          </w:tcPr>
          <w:p w14:paraId="740F5F06" w14:textId="77777777" w:rsidR="005421B4" w:rsidRPr="001947C9" w:rsidRDefault="005421B4" w:rsidP="004734A9">
            <w:r w:rsidRPr="001947C9">
              <w:t>2.2.7</w:t>
            </w:r>
          </w:p>
        </w:tc>
        <w:tc>
          <w:tcPr>
            <w:tcW w:w="4839" w:type="dxa"/>
            <w:hideMark/>
          </w:tcPr>
          <w:p w14:paraId="0CBD5724" w14:textId="77777777" w:rsidR="005421B4" w:rsidRPr="001947C9" w:rsidRDefault="005421B4" w:rsidP="004734A9">
            <w:r w:rsidRPr="001947C9">
              <w:t>Paiešką „parsed whois“ duomenyse, ne mažiau kaip 2500 užklausų/mėn.</w:t>
            </w:r>
          </w:p>
        </w:tc>
        <w:tc>
          <w:tcPr>
            <w:tcW w:w="4638" w:type="dxa"/>
          </w:tcPr>
          <w:p w14:paraId="56C4B5CD" w14:textId="77777777" w:rsidR="005421B4" w:rsidRPr="001947C9" w:rsidRDefault="005421B4" w:rsidP="004734A9"/>
        </w:tc>
      </w:tr>
      <w:tr w:rsidR="005421B4" w:rsidRPr="001947C9" w14:paraId="6AC244B2" w14:textId="77777777" w:rsidTr="005421B4">
        <w:trPr>
          <w:trHeight w:val="300"/>
        </w:trPr>
        <w:tc>
          <w:tcPr>
            <w:tcW w:w="774" w:type="dxa"/>
            <w:hideMark/>
          </w:tcPr>
          <w:p w14:paraId="5807C616" w14:textId="77777777" w:rsidR="005421B4" w:rsidRPr="001947C9" w:rsidRDefault="005421B4" w:rsidP="004734A9">
            <w:pPr>
              <w:rPr>
                <w:b/>
                <w:bCs/>
              </w:rPr>
            </w:pPr>
            <w:r w:rsidRPr="001947C9">
              <w:rPr>
                <w:b/>
                <w:bCs/>
              </w:rPr>
              <w:t>2.3</w:t>
            </w:r>
          </w:p>
        </w:tc>
        <w:tc>
          <w:tcPr>
            <w:tcW w:w="9477" w:type="dxa"/>
            <w:gridSpan w:val="2"/>
            <w:hideMark/>
          </w:tcPr>
          <w:p w14:paraId="3D471375" w14:textId="77777777" w:rsidR="005421B4" w:rsidRPr="001947C9" w:rsidRDefault="005421B4" w:rsidP="004734A9">
            <w:pPr>
              <w:rPr>
                <w:b/>
                <w:bCs/>
              </w:rPr>
            </w:pPr>
            <w:r w:rsidRPr="001947C9">
              <w:rPr>
                <w:b/>
                <w:bCs/>
              </w:rPr>
              <w:t xml:space="preserve">Papildomai, prie programinės įrangos turi būti parduodamas domenų sąrašas, kuris kiekvieną dieną (kas 24 h.) atiduoda srautą didelės rizikos domenų, kurie yra stebimi ir aktyvūs 24 valandų laikotarpyje. </w:t>
            </w:r>
          </w:p>
        </w:tc>
      </w:tr>
      <w:tr w:rsidR="005421B4" w:rsidRPr="001947C9" w14:paraId="70806EA9" w14:textId="77777777" w:rsidTr="005421B4">
        <w:trPr>
          <w:trHeight w:val="310"/>
        </w:trPr>
        <w:tc>
          <w:tcPr>
            <w:tcW w:w="774" w:type="dxa"/>
            <w:hideMark/>
          </w:tcPr>
          <w:p w14:paraId="39D24EA9" w14:textId="77777777" w:rsidR="005421B4" w:rsidRPr="001947C9" w:rsidRDefault="005421B4" w:rsidP="004734A9">
            <w:r w:rsidRPr="001947C9">
              <w:t>2.3.1</w:t>
            </w:r>
          </w:p>
        </w:tc>
        <w:tc>
          <w:tcPr>
            <w:tcW w:w="4839" w:type="dxa"/>
            <w:hideMark/>
          </w:tcPr>
          <w:p w14:paraId="542075BF" w14:textId="77777777" w:rsidR="005421B4" w:rsidRPr="001947C9" w:rsidRDefault="005421B4" w:rsidP="004734A9">
            <w:r w:rsidRPr="001947C9">
              <w:t>Didelės rizikos domenu yra laikomas toks domenas, kuris turi ne mažesnį negu 70 balų įvertinimą paslaugos tiekėjo skalėje.</w:t>
            </w:r>
          </w:p>
        </w:tc>
        <w:tc>
          <w:tcPr>
            <w:tcW w:w="4638" w:type="dxa"/>
          </w:tcPr>
          <w:p w14:paraId="7C51FDBE" w14:textId="77777777" w:rsidR="005421B4" w:rsidRPr="001947C9" w:rsidRDefault="005421B4" w:rsidP="004734A9"/>
        </w:tc>
      </w:tr>
      <w:tr w:rsidR="005421B4" w:rsidRPr="001947C9" w14:paraId="32C83766" w14:textId="77777777" w:rsidTr="005421B4">
        <w:trPr>
          <w:trHeight w:val="310"/>
        </w:trPr>
        <w:tc>
          <w:tcPr>
            <w:tcW w:w="774" w:type="dxa"/>
            <w:hideMark/>
          </w:tcPr>
          <w:p w14:paraId="0A22475A" w14:textId="77777777" w:rsidR="005421B4" w:rsidRPr="001947C9" w:rsidRDefault="005421B4" w:rsidP="004734A9">
            <w:r w:rsidRPr="001947C9">
              <w:t>2.3.2</w:t>
            </w:r>
          </w:p>
        </w:tc>
        <w:tc>
          <w:tcPr>
            <w:tcW w:w="4839" w:type="dxa"/>
            <w:hideMark/>
          </w:tcPr>
          <w:p w14:paraId="60180835" w14:textId="77777777" w:rsidR="005421B4" w:rsidRPr="001947C9" w:rsidRDefault="005421B4" w:rsidP="004734A9">
            <w:r w:rsidRPr="001947C9">
              <w:t>Domenų sąrašas yra siunčiamas suarchyvuotu (.zip) tekstiniu failu (.txt).</w:t>
            </w:r>
          </w:p>
        </w:tc>
        <w:tc>
          <w:tcPr>
            <w:tcW w:w="4638" w:type="dxa"/>
          </w:tcPr>
          <w:p w14:paraId="14FFC228" w14:textId="77777777" w:rsidR="005421B4" w:rsidRPr="001947C9" w:rsidRDefault="005421B4" w:rsidP="004734A9"/>
        </w:tc>
      </w:tr>
      <w:tr w:rsidR="005421B4" w:rsidRPr="001947C9" w14:paraId="4034EA6B" w14:textId="77777777" w:rsidTr="005421B4">
        <w:trPr>
          <w:trHeight w:val="310"/>
        </w:trPr>
        <w:tc>
          <w:tcPr>
            <w:tcW w:w="774" w:type="dxa"/>
            <w:hideMark/>
          </w:tcPr>
          <w:p w14:paraId="460206BE" w14:textId="77777777" w:rsidR="005421B4" w:rsidRPr="001947C9" w:rsidRDefault="005421B4" w:rsidP="004734A9">
            <w:r w:rsidRPr="001947C9">
              <w:t>2.3.3</w:t>
            </w:r>
          </w:p>
        </w:tc>
        <w:tc>
          <w:tcPr>
            <w:tcW w:w="4839" w:type="dxa"/>
            <w:hideMark/>
          </w:tcPr>
          <w:p w14:paraId="56C973D3" w14:textId="77777777" w:rsidR="005421B4" w:rsidRPr="001947C9" w:rsidRDefault="005421B4" w:rsidP="004734A9">
            <w:r w:rsidRPr="001947C9">
              <w:t>Domenai turi būti pateikti vienu domenu per eilutę, pateikiant ir jo rizikos balą.</w:t>
            </w:r>
          </w:p>
        </w:tc>
        <w:tc>
          <w:tcPr>
            <w:tcW w:w="4638" w:type="dxa"/>
          </w:tcPr>
          <w:p w14:paraId="096D4677" w14:textId="77777777" w:rsidR="005421B4" w:rsidRPr="001947C9" w:rsidRDefault="005421B4" w:rsidP="004734A9"/>
        </w:tc>
      </w:tr>
      <w:tr w:rsidR="005421B4" w:rsidRPr="001947C9" w14:paraId="44EA92F4" w14:textId="77777777" w:rsidTr="005421B4">
        <w:trPr>
          <w:trHeight w:val="310"/>
        </w:trPr>
        <w:tc>
          <w:tcPr>
            <w:tcW w:w="774" w:type="dxa"/>
            <w:hideMark/>
          </w:tcPr>
          <w:p w14:paraId="4911E4A3" w14:textId="77777777" w:rsidR="005421B4" w:rsidRPr="001947C9" w:rsidRDefault="005421B4" w:rsidP="004734A9">
            <w:r w:rsidRPr="001947C9">
              <w:t>2.3.4</w:t>
            </w:r>
          </w:p>
        </w:tc>
        <w:tc>
          <w:tcPr>
            <w:tcW w:w="4839" w:type="dxa"/>
            <w:hideMark/>
          </w:tcPr>
          <w:p w14:paraId="4E7D0BEB" w14:textId="77777777" w:rsidR="005421B4" w:rsidRPr="001947C9" w:rsidRDefault="005421B4" w:rsidP="004734A9">
            <w:r w:rsidRPr="001947C9">
              <w:t>Failas turi būti pateikiamas organizacijos nurodytu pašto adresu.</w:t>
            </w:r>
          </w:p>
        </w:tc>
        <w:tc>
          <w:tcPr>
            <w:tcW w:w="4638" w:type="dxa"/>
          </w:tcPr>
          <w:p w14:paraId="2E3F13E2" w14:textId="77777777" w:rsidR="005421B4" w:rsidRPr="001947C9" w:rsidRDefault="005421B4" w:rsidP="004734A9"/>
        </w:tc>
      </w:tr>
      <w:tr w:rsidR="005421B4" w:rsidRPr="001947C9" w14:paraId="13EF4D49" w14:textId="77777777" w:rsidTr="005421B4">
        <w:trPr>
          <w:trHeight w:val="310"/>
        </w:trPr>
        <w:tc>
          <w:tcPr>
            <w:tcW w:w="774" w:type="dxa"/>
            <w:hideMark/>
          </w:tcPr>
          <w:p w14:paraId="761469E9" w14:textId="77777777" w:rsidR="005421B4" w:rsidRPr="001947C9" w:rsidRDefault="005421B4" w:rsidP="004734A9">
            <w:r w:rsidRPr="001947C9">
              <w:t>2.4</w:t>
            </w:r>
          </w:p>
        </w:tc>
        <w:tc>
          <w:tcPr>
            <w:tcW w:w="4839" w:type="dxa"/>
            <w:hideMark/>
          </w:tcPr>
          <w:p w14:paraId="08301698" w14:textId="77777777" w:rsidR="005421B4" w:rsidRPr="001947C9" w:rsidRDefault="005421B4" w:rsidP="004734A9">
            <w:r w:rsidRPr="001947C9">
              <w:t xml:space="preserve">Programinė įranga turi leisti prisijungti prie domenų vardų kibernetinių grėsmių žvalgybos duomenų bazės naudotojo sąsajos neribotam Perkančiosios organizacijos analitikų skaičiui. </w:t>
            </w:r>
          </w:p>
        </w:tc>
        <w:tc>
          <w:tcPr>
            <w:tcW w:w="4638" w:type="dxa"/>
          </w:tcPr>
          <w:p w14:paraId="37DF7DF1" w14:textId="77777777" w:rsidR="005421B4" w:rsidRPr="001947C9" w:rsidRDefault="005421B4" w:rsidP="004734A9"/>
        </w:tc>
      </w:tr>
      <w:tr w:rsidR="005421B4" w:rsidRPr="001947C9" w14:paraId="3AD3B53F" w14:textId="77777777" w:rsidTr="005421B4">
        <w:trPr>
          <w:trHeight w:val="310"/>
        </w:trPr>
        <w:tc>
          <w:tcPr>
            <w:tcW w:w="774" w:type="dxa"/>
            <w:hideMark/>
          </w:tcPr>
          <w:p w14:paraId="5E74AEFA" w14:textId="77777777" w:rsidR="005421B4" w:rsidRPr="001947C9" w:rsidRDefault="005421B4" w:rsidP="004734A9">
            <w:r w:rsidRPr="001947C9">
              <w:t>2.5</w:t>
            </w:r>
          </w:p>
        </w:tc>
        <w:tc>
          <w:tcPr>
            <w:tcW w:w="4839" w:type="dxa"/>
            <w:hideMark/>
          </w:tcPr>
          <w:p w14:paraId="3D699545" w14:textId="77777777" w:rsidR="005421B4" w:rsidRPr="001947C9" w:rsidRDefault="005421B4" w:rsidP="004734A9">
            <w:r w:rsidRPr="001947C9">
              <w:t>Naudotojo sąsaja turi būti anglų kalba.</w:t>
            </w:r>
          </w:p>
        </w:tc>
        <w:tc>
          <w:tcPr>
            <w:tcW w:w="4638" w:type="dxa"/>
          </w:tcPr>
          <w:p w14:paraId="169059DA" w14:textId="77777777" w:rsidR="005421B4" w:rsidRPr="001947C9" w:rsidRDefault="005421B4" w:rsidP="004734A9"/>
        </w:tc>
      </w:tr>
      <w:tr w:rsidR="005421B4" w:rsidRPr="001947C9" w14:paraId="4B25DCDE" w14:textId="77777777" w:rsidTr="005421B4">
        <w:trPr>
          <w:trHeight w:val="310"/>
        </w:trPr>
        <w:tc>
          <w:tcPr>
            <w:tcW w:w="774" w:type="dxa"/>
            <w:hideMark/>
          </w:tcPr>
          <w:p w14:paraId="66DCFC70" w14:textId="77777777" w:rsidR="005421B4" w:rsidRPr="001947C9" w:rsidRDefault="005421B4" w:rsidP="004734A9">
            <w:r w:rsidRPr="001947C9">
              <w:t>2.6</w:t>
            </w:r>
          </w:p>
        </w:tc>
        <w:tc>
          <w:tcPr>
            <w:tcW w:w="4839" w:type="dxa"/>
            <w:hideMark/>
          </w:tcPr>
          <w:p w14:paraId="46CD4AA0" w14:textId="77777777" w:rsidR="005421B4" w:rsidRPr="001947C9" w:rsidRDefault="005421B4" w:rsidP="004734A9">
            <w:r w:rsidRPr="001947C9">
              <w:t>Programinė įranga turi būti integruojama per API su perkančiosios organizacijos naudojamomis grėsmių indikatorių analizės platformomis (pvz. MISP).</w:t>
            </w:r>
          </w:p>
        </w:tc>
        <w:tc>
          <w:tcPr>
            <w:tcW w:w="4638" w:type="dxa"/>
          </w:tcPr>
          <w:p w14:paraId="4CB4B238" w14:textId="77777777" w:rsidR="005421B4" w:rsidRPr="001947C9" w:rsidRDefault="005421B4" w:rsidP="004734A9"/>
        </w:tc>
      </w:tr>
      <w:tr w:rsidR="005421B4" w:rsidRPr="001947C9" w14:paraId="5732BD6D" w14:textId="77777777" w:rsidTr="005421B4">
        <w:trPr>
          <w:trHeight w:val="620"/>
        </w:trPr>
        <w:tc>
          <w:tcPr>
            <w:tcW w:w="774" w:type="dxa"/>
            <w:hideMark/>
          </w:tcPr>
          <w:p w14:paraId="06971847" w14:textId="77777777" w:rsidR="005421B4" w:rsidRPr="001947C9" w:rsidRDefault="005421B4" w:rsidP="004734A9">
            <w:r w:rsidRPr="001947C9">
              <w:t>2.7</w:t>
            </w:r>
          </w:p>
        </w:tc>
        <w:tc>
          <w:tcPr>
            <w:tcW w:w="4839" w:type="dxa"/>
            <w:hideMark/>
          </w:tcPr>
          <w:p w14:paraId="6D8B1749" w14:textId="77777777" w:rsidR="005421B4" w:rsidRPr="001947C9" w:rsidRDefault="005421B4" w:rsidP="004734A9">
            <w:r w:rsidRPr="001947C9">
              <w:t>Prekės nuomos laikotarpiu turi būti užtikrintas gamintojo numatytas standartinis palaikymas (angl. „Support“), apimantis nuolatinį techninį palaikymą, t. y. įvairių programinių gedimų, susijusių su programine įranga, šalinimą ir pagalbą perkančiajai organizacijai naudojantis programine įranga.</w:t>
            </w:r>
          </w:p>
        </w:tc>
        <w:tc>
          <w:tcPr>
            <w:tcW w:w="4638" w:type="dxa"/>
          </w:tcPr>
          <w:p w14:paraId="0C092DE7" w14:textId="77777777" w:rsidR="005421B4" w:rsidRPr="001947C9" w:rsidRDefault="005421B4" w:rsidP="004734A9"/>
        </w:tc>
      </w:tr>
      <w:tr w:rsidR="005421B4" w:rsidRPr="001947C9" w14:paraId="3DF5BDE1" w14:textId="77777777" w:rsidTr="005421B4">
        <w:trPr>
          <w:trHeight w:val="310"/>
        </w:trPr>
        <w:tc>
          <w:tcPr>
            <w:tcW w:w="774" w:type="dxa"/>
            <w:hideMark/>
          </w:tcPr>
          <w:p w14:paraId="5099D584" w14:textId="77777777" w:rsidR="005421B4" w:rsidRPr="001947C9" w:rsidRDefault="005421B4" w:rsidP="004734A9">
            <w:r w:rsidRPr="001947C9">
              <w:t>2.8</w:t>
            </w:r>
          </w:p>
        </w:tc>
        <w:tc>
          <w:tcPr>
            <w:tcW w:w="4839" w:type="dxa"/>
            <w:hideMark/>
          </w:tcPr>
          <w:p w14:paraId="38A0F767" w14:textId="77777777" w:rsidR="005421B4" w:rsidRPr="001947C9" w:rsidRDefault="005421B4" w:rsidP="004734A9">
            <w:r w:rsidRPr="001947C9">
              <w:t>Turi būti galimybė gauti platformos vartotojo vadovus anglų kalba skaitmeniniame formate.</w:t>
            </w:r>
          </w:p>
        </w:tc>
        <w:tc>
          <w:tcPr>
            <w:tcW w:w="4638" w:type="dxa"/>
          </w:tcPr>
          <w:p w14:paraId="12400B14" w14:textId="77777777" w:rsidR="005421B4" w:rsidRPr="001947C9" w:rsidRDefault="005421B4" w:rsidP="004734A9"/>
        </w:tc>
      </w:tr>
      <w:tr w:rsidR="005421B4" w:rsidRPr="001947C9" w14:paraId="28F626BE" w14:textId="77777777" w:rsidTr="005421B4">
        <w:trPr>
          <w:trHeight w:val="620"/>
        </w:trPr>
        <w:tc>
          <w:tcPr>
            <w:tcW w:w="774" w:type="dxa"/>
            <w:hideMark/>
          </w:tcPr>
          <w:p w14:paraId="178242BF" w14:textId="77777777" w:rsidR="005421B4" w:rsidRPr="001947C9" w:rsidRDefault="005421B4" w:rsidP="004734A9">
            <w:r w:rsidRPr="001947C9">
              <w:t>2.9</w:t>
            </w:r>
          </w:p>
        </w:tc>
        <w:tc>
          <w:tcPr>
            <w:tcW w:w="4839" w:type="dxa"/>
            <w:hideMark/>
          </w:tcPr>
          <w:p w14:paraId="7B476356" w14:textId="77777777" w:rsidR="005421B4" w:rsidRPr="001947C9" w:rsidRDefault="005421B4" w:rsidP="004734A9">
            <w:r w:rsidRPr="001947C9">
              <w:t>Sistemos portale turi būti pateikiamas rodiklių sąrašas, kurį galima susieti per API ir panaudoti gynybos nuo kibernetinių grėsmių procesuose (integruojant duomenis į kitas NKSC naudojamas sistemas (MISP)), skirtuose kibernetinio saugumo stebėjimui ir prioritetiniams aptikimams.</w:t>
            </w:r>
          </w:p>
        </w:tc>
        <w:tc>
          <w:tcPr>
            <w:tcW w:w="4638" w:type="dxa"/>
          </w:tcPr>
          <w:p w14:paraId="7CBAE528" w14:textId="77777777" w:rsidR="005421B4" w:rsidRPr="001947C9" w:rsidRDefault="005421B4" w:rsidP="004734A9"/>
        </w:tc>
      </w:tr>
    </w:tbl>
    <w:p w14:paraId="09CCE3E2" w14:textId="77777777" w:rsidR="00F25CE1" w:rsidRPr="00F25CE1" w:rsidRDefault="00F25CE1" w:rsidP="00F25CE1">
      <w:pPr>
        <w:pStyle w:val="ListParagraph"/>
        <w:spacing w:line="256" w:lineRule="auto"/>
        <w:ind w:left="792"/>
        <w:jc w:val="both"/>
        <w:rPr>
          <w:rFonts w:ascii="Times New Roman" w:eastAsia="Times New Roman" w:hAnsi="Times New Roman" w:cs="Times New Roman"/>
          <w:sz w:val="24"/>
          <w:szCs w:val="24"/>
          <w:lang w:eastAsia="ar-SA"/>
        </w:rPr>
      </w:pPr>
    </w:p>
    <w:p w14:paraId="3E0AB4CD" w14:textId="470407DE" w:rsidR="001D49CB" w:rsidRDefault="005421B4" w:rsidP="00DE290C">
      <w:pPr>
        <w:rPr>
          <w:rFonts w:cstheme="minorHAnsi"/>
          <w:b/>
          <w:bCs/>
          <w:smallCaps/>
          <w:sz w:val="22"/>
          <w:szCs w:val="22"/>
        </w:rPr>
      </w:pPr>
      <w:r w:rsidRPr="00803156">
        <w:rPr>
          <w:rFonts w:ascii="Times New Roman" w:hAnsi="Times New Roman" w:cs="Times New Roman"/>
          <w:sz w:val="20"/>
          <w:szCs w:val="20"/>
          <w:lang w:val="en-US"/>
        </w:rPr>
        <w:t>*Pastaba: 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0FF69289" w14:textId="77777777" w:rsidR="0008061B" w:rsidRDefault="0008061B" w:rsidP="00DE290C">
      <w:pPr>
        <w:rPr>
          <w:rFonts w:cstheme="minorHAnsi"/>
          <w:b/>
          <w:bCs/>
          <w:smallCaps/>
          <w:sz w:val="22"/>
          <w:szCs w:val="22"/>
        </w:rPr>
      </w:pPr>
    </w:p>
    <w:p w14:paraId="44F6CA87" w14:textId="77777777" w:rsidR="0008061B" w:rsidRDefault="0008061B" w:rsidP="00DE290C">
      <w:pPr>
        <w:rPr>
          <w:rFonts w:cstheme="minorHAnsi"/>
          <w:b/>
          <w:bCs/>
          <w:smallCaps/>
          <w:sz w:val="22"/>
          <w:szCs w:val="22"/>
        </w:rPr>
      </w:pPr>
    </w:p>
    <w:p w14:paraId="6D4AF602" w14:textId="77777777" w:rsidR="0008061B" w:rsidRDefault="0008061B" w:rsidP="00DE290C">
      <w:pPr>
        <w:rPr>
          <w:rFonts w:cstheme="minorHAnsi"/>
          <w:b/>
          <w:bCs/>
          <w:smallCaps/>
          <w:sz w:val="22"/>
          <w:szCs w:val="22"/>
        </w:rPr>
      </w:pPr>
    </w:p>
    <w:p w14:paraId="1D4E40E3" w14:textId="1AE1492D" w:rsidR="0008061B" w:rsidRDefault="0008061B" w:rsidP="00DE290C">
      <w:pPr>
        <w:rPr>
          <w:rFonts w:cstheme="minorHAnsi"/>
          <w:b/>
          <w:bCs/>
          <w:smallCaps/>
          <w:sz w:val="22"/>
          <w:szCs w:val="22"/>
        </w:rPr>
      </w:pPr>
    </w:p>
    <w:p w14:paraId="4FC10030" w14:textId="3A468BAE" w:rsidR="00803156" w:rsidRDefault="00803156" w:rsidP="00DE290C">
      <w:pPr>
        <w:rPr>
          <w:rFonts w:cstheme="minorHAnsi"/>
          <w:b/>
          <w:bCs/>
          <w:smallCaps/>
          <w:sz w:val="22"/>
          <w:szCs w:val="22"/>
        </w:rPr>
      </w:pPr>
    </w:p>
    <w:p w14:paraId="3F696588" w14:textId="4EC6C321" w:rsidR="00803156" w:rsidRDefault="00803156" w:rsidP="00DE290C">
      <w:pPr>
        <w:rPr>
          <w:rFonts w:cstheme="minorHAnsi"/>
          <w:b/>
          <w:bCs/>
          <w:smallCaps/>
          <w:sz w:val="22"/>
          <w:szCs w:val="22"/>
        </w:rPr>
      </w:pPr>
    </w:p>
    <w:p w14:paraId="3A38AF7E" w14:textId="6A38F52E" w:rsidR="00803156" w:rsidRDefault="00803156" w:rsidP="00DE290C">
      <w:pPr>
        <w:rPr>
          <w:rFonts w:cstheme="minorHAnsi"/>
          <w:b/>
          <w:bCs/>
          <w:smallCaps/>
          <w:sz w:val="22"/>
          <w:szCs w:val="22"/>
        </w:rPr>
      </w:pPr>
    </w:p>
    <w:p w14:paraId="2622D608" w14:textId="1D09C782" w:rsidR="00803156" w:rsidRDefault="00803156" w:rsidP="00DE290C">
      <w:pPr>
        <w:rPr>
          <w:rFonts w:cstheme="minorHAnsi"/>
          <w:b/>
          <w:bCs/>
          <w:smallCaps/>
          <w:sz w:val="22"/>
          <w:szCs w:val="22"/>
        </w:rPr>
      </w:pPr>
    </w:p>
    <w:p w14:paraId="1B37834C" w14:textId="4B65B318" w:rsidR="00803156" w:rsidRDefault="00803156" w:rsidP="00DE290C">
      <w:pPr>
        <w:rPr>
          <w:rFonts w:cstheme="minorHAnsi"/>
          <w:b/>
          <w:bCs/>
          <w:smallCaps/>
          <w:sz w:val="22"/>
          <w:szCs w:val="22"/>
        </w:rPr>
      </w:pPr>
    </w:p>
    <w:p w14:paraId="17947A9C" w14:textId="11045E4A" w:rsidR="00803156" w:rsidRDefault="00803156" w:rsidP="00DE290C">
      <w:pPr>
        <w:rPr>
          <w:rFonts w:cstheme="minorHAnsi"/>
          <w:b/>
          <w:bCs/>
          <w:smallCaps/>
          <w:sz w:val="22"/>
          <w:szCs w:val="22"/>
        </w:rPr>
      </w:pPr>
    </w:p>
    <w:p w14:paraId="6FA20470" w14:textId="681D3CFD" w:rsidR="00803156" w:rsidRDefault="00803156" w:rsidP="00DE290C">
      <w:pPr>
        <w:rPr>
          <w:rFonts w:cstheme="minorHAnsi"/>
          <w:b/>
          <w:bCs/>
          <w:smallCaps/>
          <w:sz w:val="22"/>
          <w:szCs w:val="22"/>
        </w:rPr>
      </w:pPr>
    </w:p>
    <w:p w14:paraId="44B9B165" w14:textId="2737E454" w:rsidR="00803156" w:rsidRDefault="00803156" w:rsidP="00DE290C">
      <w:pPr>
        <w:rPr>
          <w:rFonts w:cstheme="minorHAnsi"/>
          <w:b/>
          <w:bCs/>
          <w:smallCaps/>
          <w:sz w:val="22"/>
          <w:szCs w:val="22"/>
        </w:rPr>
      </w:pPr>
    </w:p>
    <w:p w14:paraId="263F2077" w14:textId="66E02AAC" w:rsidR="00803156" w:rsidRDefault="00803156" w:rsidP="00DE290C">
      <w:pPr>
        <w:rPr>
          <w:rFonts w:cstheme="minorHAnsi"/>
          <w:b/>
          <w:bCs/>
          <w:smallCaps/>
          <w:sz w:val="22"/>
          <w:szCs w:val="22"/>
        </w:rPr>
      </w:pPr>
    </w:p>
    <w:p w14:paraId="40D20444" w14:textId="323B27B4" w:rsidR="00803156" w:rsidRDefault="00803156" w:rsidP="00DE290C">
      <w:pPr>
        <w:rPr>
          <w:rFonts w:cstheme="minorHAnsi"/>
          <w:b/>
          <w:bCs/>
          <w:smallCaps/>
          <w:sz w:val="22"/>
          <w:szCs w:val="22"/>
        </w:rPr>
      </w:pPr>
    </w:p>
    <w:p w14:paraId="226F0187" w14:textId="35E7DDA3" w:rsidR="00803156" w:rsidRDefault="00803156" w:rsidP="00DE290C">
      <w:pPr>
        <w:rPr>
          <w:rFonts w:cstheme="minorHAnsi"/>
          <w:b/>
          <w:bCs/>
          <w:smallCaps/>
          <w:sz w:val="22"/>
          <w:szCs w:val="22"/>
        </w:rPr>
      </w:pPr>
    </w:p>
    <w:p w14:paraId="1B2E7F6C" w14:textId="6C618060" w:rsidR="00803156" w:rsidRDefault="00803156" w:rsidP="00DE290C">
      <w:pPr>
        <w:rPr>
          <w:rFonts w:cstheme="minorHAnsi"/>
          <w:b/>
          <w:bCs/>
          <w:smallCaps/>
          <w:sz w:val="22"/>
          <w:szCs w:val="22"/>
        </w:rPr>
      </w:pPr>
    </w:p>
    <w:p w14:paraId="7386C434" w14:textId="33C7DD8B" w:rsidR="00803156" w:rsidRDefault="00803156" w:rsidP="00DE290C">
      <w:pPr>
        <w:rPr>
          <w:rFonts w:cstheme="minorHAnsi"/>
          <w:b/>
          <w:bCs/>
          <w:smallCaps/>
          <w:sz w:val="22"/>
          <w:szCs w:val="22"/>
        </w:rPr>
      </w:pPr>
    </w:p>
    <w:p w14:paraId="158ADF5C" w14:textId="476B91B2" w:rsidR="00803156" w:rsidRDefault="00803156" w:rsidP="00DE290C">
      <w:pPr>
        <w:rPr>
          <w:rFonts w:cstheme="minorHAnsi"/>
          <w:b/>
          <w:bCs/>
          <w:smallCaps/>
          <w:sz w:val="22"/>
          <w:szCs w:val="22"/>
        </w:rPr>
      </w:pPr>
    </w:p>
    <w:p w14:paraId="04C13B4D" w14:textId="77777777" w:rsidR="00803156" w:rsidRDefault="00803156" w:rsidP="00DE290C">
      <w:pPr>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3" w:name="_Ref38285444"/>
      <w:bookmarkStart w:id="44" w:name="_Ref38291496"/>
      <w:bookmarkStart w:id="45" w:name="_Toc205814604"/>
      <w:r w:rsidRPr="000C13F9">
        <w:rPr>
          <w:rFonts w:asciiTheme="minorHAnsi" w:eastAsia="Calibri" w:hAnsiTheme="minorHAnsi" w:cstheme="minorBidi"/>
          <w:color w:val="auto"/>
          <w:sz w:val="21"/>
          <w:szCs w:val="21"/>
        </w:rPr>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3"/>
      <w:bookmarkEnd w:id="44"/>
      <w:bookmarkEnd w:id="45"/>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21B968E7" w14:textId="7D740706" w:rsidR="00A91629" w:rsidRPr="00A91629" w:rsidRDefault="00A91629" w:rsidP="00A91629">
            <w:pPr>
              <w:spacing w:line="240" w:lineRule="auto"/>
              <w:ind w:left="3" w:right="136"/>
              <w:jc w:val="center"/>
              <w:rPr>
                <w:lang w:val="en-US"/>
              </w:rPr>
            </w:pPr>
            <w:r w:rsidRPr="00A91629">
              <w:rPr>
                <w:b/>
                <w:bCs/>
              </w:rPr>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t> </w:t>
            </w:r>
          </w:p>
          <w:p w14:paraId="4C4E66F2"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A0EC99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7E24A324" w14:textId="77777777" w:rsidR="00A91629" w:rsidRPr="00A91629" w:rsidRDefault="00A91629" w:rsidP="005E7548">
            <w:pPr>
              <w:numPr>
                <w:ilvl w:val="0"/>
                <w:numId w:val="1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5FF8C7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2) įsiskolinimo suma neviršija 50 Eur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285FFF6" w14:textId="42B6DEF5" w:rsidR="00A91629" w:rsidRPr="00A91629" w:rsidRDefault="00A91629" w:rsidP="00A91629">
            <w:pPr>
              <w:spacing w:line="240" w:lineRule="auto"/>
              <w:ind w:left="3" w:right="136"/>
              <w:jc w:val="center"/>
              <w:rPr>
                <w:lang w:val="en-US"/>
              </w:rPr>
            </w:pPr>
            <w:r w:rsidRPr="00A91629">
              <w:rPr>
                <w:b/>
                <w:bCs/>
              </w:rPr>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E9F3C0E"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2C0E8D" w14:textId="77777777" w:rsidR="00A91629" w:rsidRPr="00A91629" w:rsidRDefault="00A91629" w:rsidP="005E7548">
            <w:pPr>
              <w:numPr>
                <w:ilvl w:val="0"/>
                <w:numId w:val="21"/>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6E33C0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15B72F5E" w14:textId="77777777" w:rsidR="00A91629" w:rsidRPr="00A91629" w:rsidRDefault="00A91629" w:rsidP="00A91629">
            <w:pPr>
              <w:spacing w:line="240" w:lineRule="auto"/>
              <w:ind w:left="76" w:right="130"/>
              <w:jc w:val="both"/>
              <w:rPr>
                <w:lang w:val="en-US"/>
              </w:rPr>
            </w:pPr>
            <w:r w:rsidRPr="00A91629">
              <w:t>Tiekėjas pirkimo metu pateko į interesų konflikto situaciją, kaip 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9A71303" w14:textId="5A97273D" w:rsidR="00A91629" w:rsidRPr="00A91629" w:rsidRDefault="00A91629" w:rsidP="00A91629">
            <w:pPr>
              <w:spacing w:line="240" w:lineRule="auto"/>
              <w:ind w:left="3" w:right="136"/>
              <w:jc w:val="center"/>
              <w:rPr>
                <w:lang w:val="en-US"/>
              </w:rPr>
            </w:pPr>
            <w:r w:rsidRPr="00A91629">
              <w:rPr>
                <w:b/>
                <w:bCs/>
              </w:rPr>
              <w:t>VPĮ 46 straipsnio 4 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4ABEDF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F7BA4B0"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EBBEF95" w14:textId="77777777" w:rsidR="00A91629" w:rsidRPr="00A91629" w:rsidRDefault="00A91629" w:rsidP="005E7548">
            <w:pPr>
              <w:numPr>
                <w:ilvl w:val="0"/>
                <w:numId w:val="23"/>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944F58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6B78AD2" w14:textId="2056CF78" w:rsidR="00A91629" w:rsidRPr="00A91629" w:rsidRDefault="00A91629" w:rsidP="00A91629">
            <w:pPr>
              <w:spacing w:line="240" w:lineRule="auto"/>
              <w:ind w:left="3" w:right="136"/>
              <w:jc w:val="center"/>
              <w:rPr>
                <w:lang w:val="en-US"/>
              </w:rPr>
            </w:pPr>
            <w:r w:rsidRPr="00A91629">
              <w:rPr>
                <w:b/>
                <w:bCs/>
              </w:rPr>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6B6617" w:rsidP="00A91629">
            <w:pPr>
              <w:spacing w:line="240" w:lineRule="auto"/>
              <w:ind w:left="140" w:right="133"/>
              <w:jc w:val="both"/>
              <w:rPr>
                <w:lang w:val="en-US"/>
              </w:rPr>
            </w:pPr>
            <w:hyperlink r:id="rId14" w:tgtFrame="_blank" w:history="1">
              <w:r w:rsidR="00A91629" w:rsidRPr="00A91629">
                <w:rPr>
                  <w:rStyle w:val="Hyperlink"/>
                </w:rPr>
                <w:t>https://vpt.lrv.lt/melaginga-informacija-pateikusiu-tiekeju-sarasas-3</w:t>
              </w:r>
            </w:hyperlink>
            <w:r w:rsidR="00A91629"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053FBC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42CF7E9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F80572" w14:textId="77777777" w:rsidR="00A91629" w:rsidRPr="00A91629" w:rsidRDefault="00A91629" w:rsidP="00A91629">
            <w:pPr>
              <w:spacing w:line="240" w:lineRule="auto"/>
              <w:ind w:left="76" w:right="130"/>
              <w:jc w:val="both"/>
              <w:rPr>
                <w:lang w:val="en-US"/>
              </w:rPr>
            </w:pPr>
            <w:r w:rsidRPr="00A91629">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276AD7E" w14:textId="6B549BA9" w:rsidR="00A91629" w:rsidRPr="00A91629" w:rsidRDefault="00A91629" w:rsidP="00A91629">
            <w:pPr>
              <w:spacing w:line="240" w:lineRule="auto"/>
              <w:ind w:left="3" w:right="136"/>
              <w:jc w:val="center"/>
              <w:rPr>
                <w:lang w:val="en-US"/>
              </w:rPr>
            </w:pPr>
            <w:r w:rsidRPr="00A91629">
              <w:rPr>
                <w:b/>
                <w:bCs/>
              </w:rPr>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t> </w:t>
            </w:r>
          </w:p>
          <w:p w14:paraId="72105C48" w14:textId="77777777" w:rsidR="00A91629" w:rsidRPr="00A91629" w:rsidRDefault="006B6617" w:rsidP="00A91629">
            <w:pPr>
              <w:spacing w:line="240" w:lineRule="auto"/>
              <w:ind w:left="140" w:right="133"/>
              <w:jc w:val="both"/>
              <w:rPr>
                <w:lang w:val="en-US"/>
              </w:rPr>
            </w:pPr>
            <w:hyperlink r:id="rId15" w:tgtFrame="_blank" w:history="1">
              <w:r w:rsidR="00A91629" w:rsidRPr="00A91629">
                <w:rPr>
                  <w:rStyle w:val="Hyperlink"/>
                </w:rPr>
                <w:t>https://vpt.lrv.lt/lt/pasalinimo-pagrindai-1/nepatikimi-tiekejai-1</w:t>
              </w:r>
            </w:hyperlink>
            <w:r w:rsidR="00A91629"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6B6617" w:rsidP="00A91629">
            <w:pPr>
              <w:spacing w:line="240" w:lineRule="auto"/>
              <w:ind w:left="140" w:right="133"/>
              <w:jc w:val="both"/>
              <w:rPr>
                <w:lang w:val="en-US"/>
              </w:rPr>
            </w:pPr>
            <w:hyperlink r:id="rId16" w:tgtFrame="_blank" w:history="1">
              <w:r w:rsidR="00A91629" w:rsidRPr="00A91629">
                <w:rPr>
                  <w:rStyle w:val="Hyperlink"/>
                </w:rPr>
                <w:t>https://vpt.lrv.lt/lt/pasalinimo-pagrindai-1/nepatikimu-koncesininku-sarasas-1/nepatikimu-koncesininku-sarasas</w:t>
              </w:r>
            </w:hyperlink>
            <w:r w:rsidR="00A91629"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4A7C6A6"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7"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6B6617" w:rsidP="00A91629">
            <w:pPr>
              <w:spacing w:line="240" w:lineRule="auto"/>
              <w:ind w:left="140" w:right="133"/>
              <w:jc w:val="both"/>
              <w:rPr>
                <w:lang w:val="en-US"/>
              </w:rPr>
            </w:pPr>
            <w:hyperlink r:id="rId18" w:tgtFrame="_blank" w:history="1">
              <w:r w:rsidR="00A91629" w:rsidRPr="00A91629">
                <w:rPr>
                  <w:rStyle w:val="Hyperlink"/>
                </w:rPr>
                <w:t>https://vpt.lrv.lt/lt/naujienos/finansiniu-ataskaitu-nepateikimas-gali-tapti-kliutimi-dalyvauti-viesuosiuose-pirkimuose</w:t>
              </w:r>
            </w:hyperlink>
            <w:r w:rsidR="00A91629"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796015F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9"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0783913D"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6B6617" w:rsidP="00A91629">
            <w:pPr>
              <w:spacing w:line="240" w:lineRule="auto"/>
              <w:ind w:left="140" w:right="133"/>
              <w:jc w:val="both"/>
              <w:rPr>
                <w:lang w:val="en-US"/>
              </w:rPr>
            </w:pPr>
            <w:hyperlink r:id="rId20" w:tgtFrame="_blank" w:history="1">
              <w:r w:rsidR="00A91629" w:rsidRPr="00A91629">
                <w:rPr>
                  <w:rStyle w:val="Hyperlink"/>
                </w:rPr>
                <w:t>https://kt.gov.lt/lt/atviri-duomenys/diskvalifikavimas-is-viesuju-pirkimu</w:t>
              </w:r>
            </w:hyperlink>
            <w:r w:rsidR="00A91629" w:rsidRPr="00A91629">
              <w:t xml:space="preserve"> skelbiamą informaciją. </w:t>
            </w:r>
            <w:r w:rsidR="00A91629"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5C906C5"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6" w:name="_Ref38291379"/>
      <w:bookmarkStart w:id="47" w:name="_Ref38291394"/>
      <w:bookmarkStart w:id="48" w:name="_Ref38898251"/>
      <w:bookmarkStart w:id="49"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6"/>
      <w:bookmarkEnd w:id="47"/>
      <w:bookmarkEnd w:id="48"/>
      <w:bookmarkEnd w:id="4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50" w:name="_Ref38540913"/>
      <w:bookmarkStart w:id="51" w:name="_Ref38898051"/>
      <w:bookmarkStart w:id="52" w:name="_Ref38901392"/>
      <w:bookmarkStart w:id="53" w:name="_Toc205814606"/>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50"/>
      <w:bookmarkEnd w:id="51"/>
      <w:bookmarkEnd w:id="52"/>
      <w:bookmarkEnd w:id="53"/>
    </w:p>
    <w:p w14:paraId="2EDF208A" w14:textId="11939692" w:rsidR="00693D4F" w:rsidRDefault="00693D4F" w:rsidP="007B4895">
      <w:pPr>
        <w:jc w:val="center"/>
        <w:rPr>
          <w:rFonts w:cstheme="minorHAnsi"/>
          <w:color w:val="7030A0"/>
        </w:rPr>
      </w:pPr>
    </w:p>
    <w:p w14:paraId="0F08D086" w14:textId="2180B079" w:rsidR="007B4895"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56F9DDC2" w14:textId="2D38B257" w:rsidR="007B4895" w:rsidRDefault="00803156" w:rsidP="007B4895">
      <w:pPr>
        <w:suppressAutoHyphens/>
        <w:autoSpaceDN w:val="0"/>
        <w:spacing w:after="0" w:line="240" w:lineRule="auto"/>
        <w:jc w:val="center"/>
        <w:textAlignment w:val="baseline"/>
        <w:rPr>
          <w:rFonts w:ascii="Times New Roman" w:hAnsi="Times New Roman" w:cs="Times New Roman"/>
          <w:b/>
          <w:caps/>
          <w:sz w:val="24"/>
          <w:szCs w:val="24"/>
        </w:rPr>
      </w:pPr>
      <w:r w:rsidRPr="00FF762F">
        <w:rPr>
          <w:rFonts w:ascii="Times New Roman" w:hAnsi="Times New Roman" w:cs="Times New Roman"/>
          <w:b/>
          <w:caps/>
          <w:sz w:val="24"/>
          <w:szCs w:val="24"/>
        </w:rPr>
        <w:t>Kibernetinių grėsmių paieškos įrankių programinės įrangos nuo</w:t>
      </w:r>
      <w:r>
        <w:rPr>
          <w:rFonts w:ascii="Times New Roman" w:hAnsi="Times New Roman" w:cs="Times New Roman"/>
          <w:b/>
          <w:caps/>
          <w:sz w:val="24"/>
          <w:szCs w:val="24"/>
        </w:rPr>
        <w:t>ma</w:t>
      </w:r>
    </w:p>
    <w:p w14:paraId="731E88B9" w14:textId="77777777" w:rsidR="00803156" w:rsidRPr="007B4895" w:rsidRDefault="00803156" w:rsidP="007B4895">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4"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4"/>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5" w:name="_Hlk159404481"/>
      <w:r w:rsidRPr="007B4895">
        <w:rPr>
          <w:rFonts w:ascii="Times New Roman" w:eastAsia="Calibri" w:hAnsi="Times New Roman" w:cs="Times New Roman"/>
          <w:b/>
          <w:bCs/>
          <w:sz w:val="22"/>
          <w:szCs w:val="22"/>
          <w:lang w:eastAsia="en-US"/>
        </w:rPr>
        <w:t xml:space="preserve">) </w:t>
      </w:r>
    </w:p>
    <w:bookmarkEnd w:id="55"/>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9A29797" w:rsidR="007B4895" w:rsidRPr="007B4895" w:rsidRDefault="00655167"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Eur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2F62E1" w:rsidRPr="007B4895" w14:paraId="779AD45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729AFECE" w:rsidR="002F62E1" w:rsidRPr="007B4895" w:rsidRDefault="00803156" w:rsidP="002F62E1">
            <w:pPr>
              <w:autoSpaceDN w:val="0"/>
              <w:spacing w:line="256" w:lineRule="auto"/>
              <w:jc w:val="both"/>
              <w:textAlignment w:val="baseline"/>
              <w:rPr>
                <w:rFonts w:ascii="Times New Roman" w:eastAsia="Times New Roman" w:hAnsi="Times New Roman" w:cs="Times New Roman"/>
                <w:b/>
                <w:sz w:val="22"/>
                <w:szCs w:val="22"/>
                <w:lang w:eastAsia="en-US"/>
              </w:rPr>
            </w:pPr>
            <w:r w:rsidRPr="00803156">
              <w:rPr>
                <w:b/>
                <w:i/>
                <w:sz w:val="22"/>
                <w:szCs w:val="22"/>
              </w:rPr>
              <w:t>Kibernetinių grėsmių paieškos įrankių programinės įrangos nuoma</w:t>
            </w:r>
            <w:r>
              <w:rPr>
                <w:b/>
                <w:i/>
                <w:sz w:val="22"/>
                <w:szCs w:val="22"/>
              </w:rPr>
              <w:t xml:space="preserve"> 12 mėn. laikotarpiui</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213580A5" w:rsidR="002F62E1" w:rsidRPr="007B4895" w:rsidRDefault="00803156" w:rsidP="002F62E1">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47C866DC" w:rsidR="002F62E1" w:rsidRPr="007B4895" w:rsidRDefault="002F62E1" w:rsidP="002F62E1">
            <w:pPr>
              <w:autoSpaceDN w:val="0"/>
              <w:spacing w:after="0" w:line="240" w:lineRule="auto"/>
              <w:jc w:val="center"/>
              <w:textAlignment w:val="baseline"/>
              <w:rPr>
                <w:rFonts w:ascii="Calibri" w:eastAsia="Calibri" w:hAnsi="Calibri" w:cs="Times New Roman"/>
                <w:sz w:val="22"/>
                <w:szCs w:val="22"/>
                <w:lang w:eastAsia="en-US"/>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511041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6469584" w14:textId="31F0B14F"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sidR="00655167">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pajėgumais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3A22C1A2"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w:t>
            </w:r>
            <w:r w:rsidR="0021641D">
              <w:rPr>
                <w:rFonts w:ascii="Times New Roman" w:hAnsi="Times New Roman" w:cs="Times New Roman"/>
                <w:color w:val="000000" w:themeColor="text1"/>
                <w:sz w:val="22"/>
                <w:szCs w:val="22"/>
              </w:rPr>
              <w:t>ma (specialiųjų pirkimo sąlygų 4</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04D800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r w:rsidR="005771E6">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442DC7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Atitiktį Techninės specifikacijos reikalavimams įrodantys dokumentai, </w:t>
            </w:r>
            <w:r w:rsidR="005771E6" w:rsidRPr="005771E6">
              <w:rPr>
                <w:rFonts w:ascii="Times New Roman" w:hAnsi="Times New Roman" w:cs="Times New Roman"/>
                <w:color w:val="000000" w:themeColor="text1"/>
                <w:sz w:val="22"/>
                <w:szCs w:val="22"/>
              </w:rPr>
              <w:t>dokumentai nurodyti šių pirkimo sąlygų 4.2. punkte.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3D3573" w:rsidRPr="007B4895" w14:paraId="1A7453B2" w14:textId="77777777" w:rsidTr="00F07B90">
        <w:tc>
          <w:tcPr>
            <w:tcW w:w="285" w:type="pct"/>
            <w:tcBorders>
              <w:top w:val="single" w:sz="4" w:space="0" w:color="auto"/>
              <w:left w:val="single" w:sz="4" w:space="0" w:color="auto"/>
              <w:bottom w:val="single" w:sz="4" w:space="0" w:color="auto"/>
              <w:right w:val="single" w:sz="4" w:space="0" w:color="auto"/>
            </w:tcBorders>
          </w:tcPr>
          <w:p w14:paraId="14692DF7" w14:textId="1AC7EA46"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983" w:type="pct"/>
            <w:tcBorders>
              <w:top w:val="single" w:sz="4" w:space="0" w:color="auto"/>
              <w:left w:val="single" w:sz="4" w:space="0" w:color="auto"/>
              <w:bottom w:val="single" w:sz="4" w:space="0" w:color="auto"/>
              <w:right w:val="single" w:sz="4" w:space="0" w:color="auto"/>
            </w:tcBorders>
          </w:tcPr>
          <w:p w14:paraId="2215142E" w14:textId="50955EFE"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Tiekėjo deklaracija dėl atitikties Reglamento nuostatoms</w:t>
            </w:r>
            <w:r>
              <w:rPr>
                <w:rFonts w:ascii="Times New Roman" w:hAnsi="Times New Roman" w:cs="Times New Roman"/>
                <w:color w:val="000000" w:themeColor="text1"/>
                <w:sz w:val="22"/>
                <w:szCs w:val="22"/>
              </w:rPr>
              <w:t>(specialiųjų pirkimo sąlygų 6</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1DB3EC13"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3D3573" w:rsidRPr="007B4895" w14:paraId="77467734" w14:textId="77777777" w:rsidTr="00F07B90">
        <w:tc>
          <w:tcPr>
            <w:tcW w:w="285" w:type="pct"/>
            <w:tcBorders>
              <w:top w:val="single" w:sz="4" w:space="0" w:color="auto"/>
              <w:left w:val="single" w:sz="4" w:space="0" w:color="auto"/>
              <w:bottom w:val="single" w:sz="4" w:space="0" w:color="auto"/>
              <w:right w:val="single" w:sz="4" w:space="0" w:color="auto"/>
            </w:tcBorders>
          </w:tcPr>
          <w:p w14:paraId="24BA9FB9" w14:textId="09BB2540"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983" w:type="pct"/>
            <w:tcBorders>
              <w:top w:val="single" w:sz="4" w:space="0" w:color="auto"/>
              <w:left w:val="single" w:sz="4" w:space="0" w:color="auto"/>
              <w:bottom w:val="single" w:sz="4" w:space="0" w:color="auto"/>
              <w:right w:val="single" w:sz="4" w:space="0" w:color="auto"/>
            </w:tcBorders>
          </w:tcPr>
          <w:p w14:paraId="268E3F7F" w14:textId="5CC6AF99"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Nacionalinio saugumo atitikties </w:t>
            </w:r>
            <w:r w:rsidRPr="000B30CC">
              <w:rPr>
                <w:rFonts w:ascii="Times New Roman" w:hAnsi="Times New Roman" w:cs="Times New Roman"/>
                <w:color w:val="000000" w:themeColor="text1"/>
                <w:sz w:val="22"/>
                <w:szCs w:val="22"/>
              </w:rPr>
              <w:t xml:space="preserve">deklaracija </w:t>
            </w:r>
            <w:r w:rsidRPr="000B30CC">
              <w:rPr>
                <w:rFonts w:ascii="Times New Roman" w:hAnsi="Times New Roman" w:cs="Times New Roman"/>
                <w:color w:val="000000" w:themeColor="text1"/>
              </w:rPr>
              <w:t>(konkurso specialiųjų sąlygų 7 priedas)</w:t>
            </w:r>
          </w:p>
        </w:tc>
        <w:tc>
          <w:tcPr>
            <w:tcW w:w="732" w:type="pct"/>
            <w:tcBorders>
              <w:top w:val="single" w:sz="4" w:space="0" w:color="auto"/>
              <w:left w:val="single" w:sz="4" w:space="0" w:color="auto"/>
              <w:bottom w:val="single" w:sz="4" w:space="0" w:color="auto"/>
              <w:right w:val="single" w:sz="4" w:space="0" w:color="auto"/>
            </w:tcBorders>
          </w:tcPr>
          <w:p w14:paraId="3A26A2F5"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21641D" w:rsidRPr="007B4895" w14:paraId="1D57B218" w14:textId="77777777" w:rsidTr="00F07B90">
        <w:tc>
          <w:tcPr>
            <w:tcW w:w="285" w:type="pct"/>
            <w:tcBorders>
              <w:top w:val="single" w:sz="4" w:space="0" w:color="auto"/>
              <w:left w:val="single" w:sz="4" w:space="0" w:color="auto"/>
              <w:bottom w:val="single" w:sz="4" w:space="0" w:color="auto"/>
              <w:right w:val="single" w:sz="4" w:space="0" w:color="auto"/>
            </w:tcBorders>
          </w:tcPr>
          <w:p w14:paraId="3B2F9C45" w14:textId="263DE4FE"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983" w:type="pct"/>
            <w:tcBorders>
              <w:top w:val="single" w:sz="4" w:space="0" w:color="auto"/>
              <w:left w:val="single" w:sz="4" w:space="0" w:color="auto"/>
              <w:bottom w:val="single" w:sz="4" w:space="0" w:color="auto"/>
              <w:right w:val="single" w:sz="4" w:space="0" w:color="auto"/>
            </w:tcBorders>
          </w:tcPr>
          <w:p w14:paraId="2C8ADACF" w14:textId="77D6BEDB" w:rsidR="0021641D"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Sandorio šalies ir (ar) subtiekėjo duomenys</w:t>
            </w:r>
            <w:r>
              <w:rPr>
                <w:rFonts w:ascii="Times New Roman" w:hAnsi="Times New Roman" w:cs="Times New Roman"/>
                <w:color w:val="000000" w:themeColor="text1"/>
                <w:sz w:val="22"/>
                <w:szCs w:val="22"/>
              </w:rPr>
              <w:t xml:space="preserve"> (konkurso specialiųjų sąlygų 8</w:t>
            </w:r>
            <w:r w:rsidRPr="0021641D">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65F90592"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r w:rsidR="0021641D" w:rsidRPr="007B4895" w14:paraId="6660E02B" w14:textId="77777777" w:rsidTr="00F07B90">
        <w:tc>
          <w:tcPr>
            <w:tcW w:w="285" w:type="pct"/>
            <w:tcBorders>
              <w:top w:val="single" w:sz="4" w:space="0" w:color="auto"/>
              <w:left w:val="single" w:sz="4" w:space="0" w:color="auto"/>
              <w:bottom w:val="single" w:sz="4" w:space="0" w:color="auto"/>
              <w:right w:val="single" w:sz="4" w:space="0" w:color="auto"/>
            </w:tcBorders>
          </w:tcPr>
          <w:p w14:paraId="1F7EEA01" w14:textId="2A4B293D"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983" w:type="pct"/>
            <w:tcBorders>
              <w:top w:val="single" w:sz="4" w:space="0" w:color="auto"/>
              <w:left w:val="single" w:sz="4" w:space="0" w:color="auto"/>
              <w:bottom w:val="single" w:sz="4" w:space="0" w:color="auto"/>
              <w:right w:val="single" w:sz="4" w:space="0" w:color="auto"/>
            </w:tcBorders>
          </w:tcPr>
          <w:p w14:paraId="62E3E25B" w14:textId="66F84D85" w:rsidR="0021641D" w:rsidRDefault="000B30CC"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0B30CC">
              <w:rPr>
                <w:rFonts w:ascii="Times New Roman" w:hAnsi="Times New Roman" w:cs="Times New Roman"/>
                <w:color w:val="000000" w:themeColor="text1"/>
                <w:sz w:val="22"/>
                <w:szCs w:val="22"/>
              </w:rPr>
              <w:t>Informacija apie tiekėją (subtiekėją, subteikėją, subrangovą, kitą sutartinai veikiantį ūkio subjektą, kurio pajėgumais remiasi, gamintoją ar juos kontroliuojantį asmenį)</w:t>
            </w:r>
            <w:r>
              <w:t xml:space="preserve"> </w:t>
            </w:r>
            <w:r>
              <w:rPr>
                <w:rFonts w:ascii="Times New Roman" w:hAnsi="Times New Roman" w:cs="Times New Roman"/>
                <w:color w:val="000000" w:themeColor="text1"/>
                <w:sz w:val="22"/>
                <w:szCs w:val="22"/>
              </w:rPr>
              <w:t>(konkurso specialiųjų sąlygų 9</w:t>
            </w:r>
            <w:r w:rsidRPr="000B30CC">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B6FAD86"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Ūkio subjekto, kurio pajėgumais remiasi tiekėjas, kad atitiktų kvalifikacijos reikalavimus/kito subtiekėjo/kvazisubtiekė-</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pildoma, jei ūkio subjektas vykdys sutartinius įsipareigojimus subtiekimo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r w:rsidRPr="007B4895">
              <w:rPr>
                <w:rFonts w:ascii="Times New Roman" w:hAnsi="Times New Roman" w:cs="Times New Roman"/>
                <w:i/>
                <w:iCs/>
              </w:rPr>
              <w:t xml:space="preserve">Kvazisubtiekėjai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Subtiekėjai (nurodomi subtiekėjai, kurių pajėgumais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30C90D7D" w:rsidR="007A4FFB" w:rsidRDefault="007A4FFB" w:rsidP="0005FB5A">
      <w:pPr>
        <w:jc w:val="both"/>
        <w:rPr>
          <w:sz w:val="20"/>
          <w:szCs w:val="20"/>
        </w:rPr>
      </w:pPr>
    </w:p>
    <w:p w14:paraId="2C174050" w14:textId="76545E85" w:rsidR="0038754C" w:rsidRDefault="0038754C" w:rsidP="0005FB5A">
      <w:pPr>
        <w:jc w:val="both"/>
        <w:rPr>
          <w:sz w:val="20"/>
          <w:szCs w:val="20"/>
        </w:rPr>
      </w:pPr>
    </w:p>
    <w:p w14:paraId="1DBAFE44" w14:textId="065E9AF2" w:rsidR="0038754C" w:rsidRDefault="0038754C" w:rsidP="0005FB5A">
      <w:pPr>
        <w:jc w:val="both"/>
        <w:rPr>
          <w:sz w:val="20"/>
          <w:szCs w:val="20"/>
        </w:rPr>
      </w:pPr>
    </w:p>
    <w:p w14:paraId="766AE4AB" w14:textId="034811DE" w:rsidR="0038754C" w:rsidRDefault="0038754C" w:rsidP="0005FB5A">
      <w:pPr>
        <w:jc w:val="both"/>
        <w:rPr>
          <w:sz w:val="20"/>
          <w:szCs w:val="20"/>
        </w:rPr>
      </w:pPr>
    </w:p>
    <w:p w14:paraId="7EE2244C" w14:textId="379D5E50" w:rsidR="0038754C" w:rsidRDefault="0038754C" w:rsidP="0005FB5A">
      <w:pPr>
        <w:jc w:val="both"/>
        <w:rPr>
          <w:sz w:val="20"/>
          <w:szCs w:val="20"/>
        </w:rPr>
      </w:pPr>
    </w:p>
    <w:p w14:paraId="2B37EC7E" w14:textId="5297F893" w:rsidR="0038754C" w:rsidRDefault="0038754C" w:rsidP="0005FB5A">
      <w:pPr>
        <w:jc w:val="both"/>
        <w:rPr>
          <w:sz w:val="20"/>
          <w:szCs w:val="20"/>
        </w:rPr>
      </w:pPr>
    </w:p>
    <w:p w14:paraId="2B27F8F1" w14:textId="0D47A582" w:rsidR="0038754C" w:rsidRDefault="0038754C" w:rsidP="0005FB5A">
      <w:pPr>
        <w:jc w:val="both"/>
        <w:rPr>
          <w:sz w:val="20"/>
          <w:szCs w:val="20"/>
        </w:rPr>
      </w:pPr>
    </w:p>
    <w:p w14:paraId="166E21E1" w14:textId="77777777" w:rsidR="00C57015" w:rsidRDefault="00C57015" w:rsidP="0005FB5A">
      <w:pPr>
        <w:jc w:val="both"/>
        <w:rPr>
          <w:sz w:val="20"/>
          <w:szCs w:val="20"/>
        </w:rPr>
      </w:pPr>
    </w:p>
    <w:p w14:paraId="6BCF02AF" w14:textId="77777777" w:rsidR="00C57015" w:rsidRDefault="00C57015" w:rsidP="0005FB5A">
      <w:pPr>
        <w:jc w:val="both"/>
        <w:rPr>
          <w:sz w:val="20"/>
          <w:szCs w:val="20"/>
        </w:rPr>
      </w:pPr>
    </w:p>
    <w:p w14:paraId="5A618B7A" w14:textId="77777777" w:rsidR="00C57015" w:rsidRDefault="00C57015" w:rsidP="0005FB5A">
      <w:pPr>
        <w:jc w:val="both"/>
        <w:rPr>
          <w:sz w:val="20"/>
          <w:szCs w:val="20"/>
        </w:rPr>
      </w:pPr>
    </w:p>
    <w:p w14:paraId="21DB494E" w14:textId="77777777" w:rsidR="00C57015" w:rsidRDefault="00C57015" w:rsidP="0005FB5A">
      <w:pPr>
        <w:jc w:val="both"/>
        <w:rPr>
          <w:sz w:val="20"/>
          <w:szCs w:val="20"/>
        </w:rPr>
      </w:pPr>
    </w:p>
    <w:p w14:paraId="10A5119E" w14:textId="4AB54E1E" w:rsidR="0038754C" w:rsidRDefault="0038754C" w:rsidP="0005FB5A">
      <w:pPr>
        <w:jc w:val="both"/>
        <w:rPr>
          <w:sz w:val="20"/>
          <w:szCs w:val="20"/>
        </w:rPr>
      </w:pPr>
    </w:p>
    <w:p w14:paraId="16463946" w14:textId="77777777" w:rsidR="007A2A3A" w:rsidRDefault="007A2A3A" w:rsidP="0005FB5A">
      <w:pPr>
        <w:jc w:val="both"/>
        <w:rPr>
          <w:sz w:val="20"/>
          <w:szCs w:val="20"/>
        </w:rPr>
      </w:pPr>
    </w:p>
    <w:p w14:paraId="3346D391" w14:textId="7117F85D" w:rsidR="007A2A3A" w:rsidRDefault="007A2A3A" w:rsidP="0005FB5A">
      <w:pPr>
        <w:jc w:val="both"/>
        <w:rPr>
          <w:sz w:val="20"/>
          <w:szCs w:val="20"/>
        </w:rPr>
      </w:pPr>
    </w:p>
    <w:p w14:paraId="3FA003CB" w14:textId="34393764" w:rsidR="00803156" w:rsidRDefault="00803156" w:rsidP="0005FB5A">
      <w:pPr>
        <w:jc w:val="both"/>
        <w:rPr>
          <w:sz w:val="20"/>
          <w:szCs w:val="20"/>
        </w:rPr>
      </w:pPr>
    </w:p>
    <w:p w14:paraId="120EB61F" w14:textId="0F87B383" w:rsidR="00803156" w:rsidRDefault="00803156" w:rsidP="0005FB5A">
      <w:pPr>
        <w:jc w:val="both"/>
        <w:rPr>
          <w:sz w:val="20"/>
          <w:szCs w:val="20"/>
        </w:rPr>
      </w:pPr>
    </w:p>
    <w:p w14:paraId="63FE5386" w14:textId="6277E168" w:rsidR="00803156" w:rsidRDefault="00803156" w:rsidP="0005FB5A">
      <w:pPr>
        <w:jc w:val="both"/>
        <w:rPr>
          <w:sz w:val="20"/>
          <w:szCs w:val="20"/>
        </w:rPr>
      </w:pPr>
    </w:p>
    <w:p w14:paraId="2C0F444D" w14:textId="6E469FB1" w:rsidR="00803156" w:rsidRDefault="00803156" w:rsidP="0005FB5A">
      <w:pPr>
        <w:jc w:val="both"/>
        <w:rPr>
          <w:sz w:val="20"/>
          <w:szCs w:val="20"/>
        </w:rPr>
      </w:pPr>
    </w:p>
    <w:p w14:paraId="2669465C" w14:textId="17132117" w:rsidR="00803156" w:rsidRDefault="00803156" w:rsidP="0005FB5A">
      <w:pPr>
        <w:jc w:val="both"/>
        <w:rPr>
          <w:sz w:val="20"/>
          <w:szCs w:val="20"/>
        </w:rPr>
      </w:pPr>
    </w:p>
    <w:p w14:paraId="53E93A48" w14:textId="52076DEA" w:rsidR="00803156" w:rsidRDefault="00803156" w:rsidP="0005FB5A">
      <w:pPr>
        <w:jc w:val="both"/>
        <w:rPr>
          <w:sz w:val="20"/>
          <w:szCs w:val="20"/>
        </w:rPr>
      </w:pPr>
    </w:p>
    <w:p w14:paraId="0210904A" w14:textId="0EF60385" w:rsidR="00803156" w:rsidRDefault="00803156" w:rsidP="0005FB5A">
      <w:pPr>
        <w:jc w:val="both"/>
        <w:rPr>
          <w:sz w:val="20"/>
          <w:szCs w:val="20"/>
        </w:rPr>
      </w:pPr>
    </w:p>
    <w:p w14:paraId="0EF1CDA0" w14:textId="77777777" w:rsidR="00803156" w:rsidRDefault="00803156" w:rsidP="0005FB5A">
      <w:pPr>
        <w:jc w:val="both"/>
        <w:rPr>
          <w:sz w:val="20"/>
          <w:szCs w:val="20"/>
        </w:rPr>
      </w:pPr>
    </w:p>
    <w:p w14:paraId="2882BFF9" w14:textId="76A85F15" w:rsidR="0038754C" w:rsidRDefault="0038754C" w:rsidP="0038754C">
      <w:pPr>
        <w:jc w:val="right"/>
        <w:rPr>
          <w:sz w:val="20"/>
          <w:szCs w:val="20"/>
        </w:rPr>
      </w:pPr>
      <w:r w:rsidRPr="0038754C">
        <w:rPr>
          <w:sz w:val="20"/>
          <w:szCs w:val="20"/>
        </w:rPr>
        <w:t xml:space="preserve">Pirkimo sąlygų </w:t>
      </w:r>
      <w:r>
        <w:rPr>
          <w:sz w:val="20"/>
          <w:szCs w:val="20"/>
        </w:rPr>
        <w:t>6</w:t>
      </w:r>
      <w:r w:rsidRPr="0038754C">
        <w:rPr>
          <w:sz w:val="20"/>
          <w:szCs w:val="20"/>
        </w:rPr>
        <w:t xml:space="preserve"> priedas</w:t>
      </w:r>
    </w:p>
    <w:p w14:paraId="08D9A1A7" w14:textId="169E3FE6" w:rsidR="0038754C" w:rsidRDefault="0038754C" w:rsidP="0038754C">
      <w:pPr>
        <w:spacing w:after="0" w:line="240" w:lineRule="auto"/>
        <w:jc w:val="center"/>
        <w:rPr>
          <w:rFonts w:ascii="Arial" w:eastAsia="Times New Roman" w:hAnsi="Arial" w:cs="Arial"/>
          <w:bCs/>
          <w:iCs/>
          <w:color w:val="0070C0"/>
        </w:rPr>
      </w:pPr>
    </w:p>
    <w:p w14:paraId="50061AFE" w14:textId="77777777" w:rsidR="0038754C" w:rsidRPr="0038754C" w:rsidRDefault="0038754C" w:rsidP="0038754C">
      <w:pPr>
        <w:spacing w:after="0" w:line="240" w:lineRule="auto"/>
        <w:jc w:val="center"/>
        <w:rPr>
          <w:rFonts w:ascii="Arial" w:eastAsia="Calibri" w:hAnsi="Arial" w:cs="Arial"/>
          <w:lang w:eastAsia="en-US"/>
        </w:rPr>
      </w:pPr>
    </w:p>
    <w:p w14:paraId="201B3845" w14:textId="77777777" w:rsidR="0038754C" w:rsidRPr="0038754C" w:rsidRDefault="0038754C" w:rsidP="0038754C">
      <w:pPr>
        <w:spacing w:after="0" w:line="240" w:lineRule="auto"/>
        <w:jc w:val="center"/>
        <w:rPr>
          <w:rFonts w:ascii="Arial" w:eastAsia="Calibri" w:hAnsi="Arial" w:cs="Arial"/>
          <w:lang w:eastAsia="en-US"/>
        </w:rPr>
      </w:pPr>
    </w:p>
    <w:p w14:paraId="7A343E16"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3EBC8A"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14:paraId="1ED3DF5D"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2CB579"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14:paraId="6B3AAFC2" w14:textId="77777777" w:rsidR="00997E25" w:rsidRPr="00997E25" w:rsidRDefault="00997E25" w:rsidP="00997E25">
      <w:pPr>
        <w:pStyle w:val="NormalWeb"/>
        <w:rPr>
          <w:rFonts w:ascii="Times New Roman" w:hAnsi="Times New Roman" w:cs="Times New Roman"/>
          <w:color w:val="000000"/>
          <w:sz w:val="24"/>
          <w:szCs w:val="24"/>
        </w:rPr>
      </w:pPr>
    </w:p>
    <w:p w14:paraId="45758649" w14:textId="77777777" w:rsidR="00997E25" w:rsidRPr="00997E25" w:rsidRDefault="00997E25" w:rsidP="00997E25">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14:paraId="48AD6C12"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14:paraId="4017C84E"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14:paraId="6B6C230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2E89142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5BD69D4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35D158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50F6FE6"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44A991"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129DF70"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Deklaruojamoms aplinkybėms pasikeitus, įsipareigoju nedelsiant apie tai informuoti Pirkimo vykdytoją.</w:t>
      </w:r>
    </w:p>
    <w:p w14:paraId="1E6DBBA2"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_____________________</w:t>
      </w:r>
    </w:p>
    <w:p w14:paraId="72C3F790"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(Vardas, pavardė, pareigos)</w:t>
      </w:r>
    </w:p>
    <w:p w14:paraId="6EBB2245" w14:textId="77777777" w:rsidR="0038754C" w:rsidRPr="0038754C" w:rsidRDefault="0038754C" w:rsidP="0038754C">
      <w:pPr>
        <w:spacing w:after="0" w:line="240" w:lineRule="auto"/>
        <w:rPr>
          <w:rFonts w:ascii="Calibri" w:eastAsia="Calibri" w:hAnsi="Calibri" w:cs="Calibri"/>
          <w:sz w:val="20"/>
          <w:szCs w:val="20"/>
          <w:lang w:eastAsia="en-US"/>
        </w:rPr>
      </w:pPr>
    </w:p>
    <w:p w14:paraId="0A75E923" w14:textId="790C339D" w:rsidR="0038754C" w:rsidRDefault="0038754C" w:rsidP="0005FB5A">
      <w:pPr>
        <w:jc w:val="both"/>
        <w:rPr>
          <w:sz w:val="20"/>
          <w:szCs w:val="20"/>
        </w:rPr>
      </w:pPr>
    </w:p>
    <w:p w14:paraId="642506BE" w14:textId="1A26426F" w:rsidR="0038754C" w:rsidRDefault="0038754C" w:rsidP="0005FB5A">
      <w:pPr>
        <w:jc w:val="both"/>
        <w:rPr>
          <w:sz w:val="20"/>
          <w:szCs w:val="20"/>
        </w:rPr>
      </w:pPr>
    </w:p>
    <w:p w14:paraId="48CF58CB" w14:textId="5165F8DB" w:rsidR="0038754C" w:rsidRDefault="0038754C" w:rsidP="0005FB5A">
      <w:pPr>
        <w:jc w:val="both"/>
        <w:rPr>
          <w:sz w:val="20"/>
          <w:szCs w:val="20"/>
        </w:rPr>
      </w:pPr>
    </w:p>
    <w:p w14:paraId="5008DBE6" w14:textId="4142F51D" w:rsidR="0038754C" w:rsidRDefault="0038754C" w:rsidP="0005FB5A">
      <w:pPr>
        <w:jc w:val="both"/>
        <w:rPr>
          <w:sz w:val="20"/>
          <w:szCs w:val="20"/>
        </w:rPr>
      </w:pPr>
    </w:p>
    <w:p w14:paraId="40C2358C" w14:textId="7A3042A2" w:rsidR="0038754C" w:rsidRDefault="0038754C" w:rsidP="0005FB5A">
      <w:pPr>
        <w:jc w:val="both"/>
        <w:rPr>
          <w:sz w:val="20"/>
          <w:szCs w:val="20"/>
        </w:rPr>
      </w:pPr>
    </w:p>
    <w:p w14:paraId="28792D0D" w14:textId="24428ED2" w:rsidR="0038754C" w:rsidRDefault="0038754C" w:rsidP="0005FB5A">
      <w:pPr>
        <w:jc w:val="both"/>
        <w:rPr>
          <w:sz w:val="20"/>
          <w:szCs w:val="20"/>
        </w:rPr>
      </w:pPr>
    </w:p>
    <w:p w14:paraId="286DC344" w14:textId="04798197" w:rsidR="0038754C" w:rsidRDefault="0038754C" w:rsidP="0005FB5A">
      <w:pPr>
        <w:jc w:val="both"/>
        <w:rPr>
          <w:sz w:val="20"/>
          <w:szCs w:val="20"/>
        </w:rPr>
      </w:pPr>
    </w:p>
    <w:p w14:paraId="446D377A" w14:textId="343A3AC4" w:rsidR="0038754C" w:rsidRDefault="0038754C" w:rsidP="0005FB5A">
      <w:pPr>
        <w:jc w:val="both"/>
        <w:rPr>
          <w:sz w:val="20"/>
          <w:szCs w:val="20"/>
        </w:rPr>
      </w:pPr>
    </w:p>
    <w:p w14:paraId="38ED49FE" w14:textId="2E7B51CC" w:rsidR="0038754C" w:rsidRDefault="0038754C" w:rsidP="0005FB5A">
      <w:pPr>
        <w:jc w:val="both"/>
        <w:rPr>
          <w:sz w:val="20"/>
          <w:szCs w:val="20"/>
        </w:rPr>
      </w:pPr>
    </w:p>
    <w:p w14:paraId="4BFDC697" w14:textId="00FF19C4" w:rsidR="0038754C" w:rsidRDefault="0038754C" w:rsidP="0005FB5A">
      <w:pPr>
        <w:jc w:val="both"/>
        <w:rPr>
          <w:sz w:val="20"/>
          <w:szCs w:val="20"/>
        </w:rPr>
      </w:pPr>
    </w:p>
    <w:p w14:paraId="558C2C06" w14:textId="034E7090" w:rsidR="0038754C" w:rsidRDefault="0038754C" w:rsidP="0005FB5A">
      <w:pPr>
        <w:jc w:val="both"/>
        <w:rPr>
          <w:sz w:val="20"/>
          <w:szCs w:val="20"/>
        </w:rPr>
      </w:pPr>
    </w:p>
    <w:p w14:paraId="7340F28A" w14:textId="27A5A5C2" w:rsidR="0038754C" w:rsidRDefault="0038754C" w:rsidP="0005FB5A">
      <w:pPr>
        <w:jc w:val="both"/>
        <w:rPr>
          <w:sz w:val="20"/>
          <w:szCs w:val="20"/>
        </w:rPr>
      </w:pPr>
    </w:p>
    <w:p w14:paraId="18D4C198" w14:textId="0735A19D" w:rsidR="0038754C" w:rsidRDefault="0038754C" w:rsidP="0005FB5A">
      <w:pPr>
        <w:jc w:val="both"/>
        <w:rPr>
          <w:sz w:val="20"/>
          <w:szCs w:val="20"/>
        </w:rPr>
      </w:pPr>
    </w:p>
    <w:p w14:paraId="2F85BC02" w14:textId="5EB67166" w:rsidR="0038754C" w:rsidRDefault="0038754C" w:rsidP="0005FB5A">
      <w:pPr>
        <w:jc w:val="both"/>
        <w:rPr>
          <w:sz w:val="20"/>
          <w:szCs w:val="20"/>
        </w:rPr>
      </w:pPr>
    </w:p>
    <w:p w14:paraId="182943FA" w14:textId="383CD785" w:rsidR="0038754C" w:rsidRDefault="0038754C" w:rsidP="0005FB5A">
      <w:pPr>
        <w:jc w:val="both"/>
        <w:rPr>
          <w:sz w:val="20"/>
          <w:szCs w:val="20"/>
        </w:rPr>
      </w:pPr>
    </w:p>
    <w:p w14:paraId="1124CE67" w14:textId="09E01BD3" w:rsidR="0038754C" w:rsidRDefault="0038754C" w:rsidP="0005FB5A">
      <w:pPr>
        <w:jc w:val="both"/>
        <w:rPr>
          <w:sz w:val="20"/>
          <w:szCs w:val="20"/>
        </w:rPr>
      </w:pPr>
    </w:p>
    <w:p w14:paraId="75983641" w14:textId="07E0FA37" w:rsidR="0038754C" w:rsidRDefault="0038754C" w:rsidP="0005FB5A">
      <w:pPr>
        <w:jc w:val="both"/>
        <w:rPr>
          <w:sz w:val="20"/>
          <w:szCs w:val="20"/>
        </w:rPr>
      </w:pPr>
    </w:p>
    <w:p w14:paraId="5CEBD00B" w14:textId="18CBBC9B" w:rsidR="0038754C" w:rsidRDefault="0038754C" w:rsidP="0005FB5A">
      <w:pPr>
        <w:jc w:val="both"/>
        <w:rPr>
          <w:sz w:val="20"/>
          <w:szCs w:val="20"/>
        </w:rPr>
      </w:pPr>
    </w:p>
    <w:p w14:paraId="5B0F489E" w14:textId="15E03975" w:rsidR="0038754C" w:rsidRDefault="0038754C" w:rsidP="0005FB5A">
      <w:pPr>
        <w:jc w:val="both"/>
        <w:rPr>
          <w:sz w:val="20"/>
          <w:szCs w:val="20"/>
        </w:rPr>
      </w:pPr>
    </w:p>
    <w:p w14:paraId="5608EBA9" w14:textId="05D8D306" w:rsidR="0038754C" w:rsidRDefault="0038754C" w:rsidP="0005FB5A">
      <w:pPr>
        <w:jc w:val="both"/>
        <w:rPr>
          <w:sz w:val="20"/>
          <w:szCs w:val="20"/>
        </w:rPr>
      </w:pPr>
    </w:p>
    <w:p w14:paraId="6A2435CA" w14:textId="58AE2AF9" w:rsidR="0038754C" w:rsidRDefault="0038754C" w:rsidP="0005FB5A">
      <w:pPr>
        <w:jc w:val="both"/>
        <w:rPr>
          <w:sz w:val="20"/>
          <w:szCs w:val="20"/>
        </w:rPr>
      </w:pPr>
    </w:p>
    <w:p w14:paraId="2CB36C26" w14:textId="4820EB71" w:rsidR="0038754C" w:rsidRDefault="0038754C" w:rsidP="0005FB5A">
      <w:pPr>
        <w:jc w:val="both"/>
        <w:rPr>
          <w:sz w:val="20"/>
          <w:szCs w:val="20"/>
        </w:rPr>
      </w:pPr>
    </w:p>
    <w:p w14:paraId="31F52B90" w14:textId="03282181" w:rsidR="0038754C" w:rsidRDefault="0038754C" w:rsidP="0005FB5A">
      <w:pPr>
        <w:jc w:val="both"/>
        <w:rPr>
          <w:sz w:val="20"/>
          <w:szCs w:val="20"/>
        </w:rPr>
      </w:pPr>
    </w:p>
    <w:p w14:paraId="3599F515" w14:textId="3FA59CB9" w:rsidR="0038754C" w:rsidRDefault="0038754C" w:rsidP="0005FB5A">
      <w:pPr>
        <w:jc w:val="both"/>
        <w:rPr>
          <w:sz w:val="20"/>
          <w:szCs w:val="20"/>
        </w:rPr>
      </w:pPr>
    </w:p>
    <w:p w14:paraId="29B46B46" w14:textId="77777777" w:rsidR="0038754C" w:rsidRDefault="0038754C" w:rsidP="007A2A3A">
      <w:pPr>
        <w:rPr>
          <w:sz w:val="20"/>
          <w:szCs w:val="20"/>
        </w:rPr>
      </w:pPr>
    </w:p>
    <w:p w14:paraId="02CC96B4" w14:textId="02C1F1C2" w:rsidR="0038754C" w:rsidRDefault="0038754C" w:rsidP="0038754C">
      <w:pPr>
        <w:jc w:val="right"/>
        <w:rPr>
          <w:sz w:val="20"/>
          <w:szCs w:val="20"/>
        </w:rPr>
      </w:pPr>
      <w:r>
        <w:rPr>
          <w:sz w:val="20"/>
          <w:szCs w:val="20"/>
        </w:rPr>
        <w:t>Pirkimo sąlygų 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77742C">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77777777"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 xml:space="preserve">tiekėjo siūlomos prekės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77742C">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77742C">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77742C">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77742C">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77742C">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77742C">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77742C">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77742C">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Default="00997E25" w:rsidP="00997E25">
      <w:pPr>
        <w:rPr>
          <w:sz w:val="20"/>
          <w:szCs w:val="20"/>
        </w:rPr>
      </w:pPr>
    </w:p>
    <w:p w14:paraId="1EC5F2EB" w14:textId="77777777" w:rsidR="007A2A3A" w:rsidRDefault="007A2A3A" w:rsidP="00997E25">
      <w:pPr>
        <w:rPr>
          <w:sz w:val="20"/>
          <w:szCs w:val="20"/>
        </w:rPr>
      </w:pPr>
    </w:p>
    <w:p w14:paraId="13EBC921" w14:textId="77777777" w:rsidR="007A2A3A" w:rsidRDefault="007A2A3A" w:rsidP="00997E25">
      <w:pPr>
        <w:rPr>
          <w:sz w:val="20"/>
          <w:szCs w:val="20"/>
        </w:rPr>
      </w:pPr>
    </w:p>
    <w:p w14:paraId="61417664" w14:textId="77777777" w:rsidR="007A2A3A" w:rsidRDefault="007A2A3A" w:rsidP="00997E25">
      <w:pPr>
        <w:rPr>
          <w:sz w:val="20"/>
          <w:szCs w:val="20"/>
        </w:rPr>
      </w:pPr>
    </w:p>
    <w:p w14:paraId="4513094A" w14:textId="77777777" w:rsidR="007A2A3A" w:rsidRDefault="007A2A3A" w:rsidP="00997E25">
      <w:pPr>
        <w:rPr>
          <w:sz w:val="20"/>
          <w:szCs w:val="20"/>
        </w:rPr>
      </w:pPr>
    </w:p>
    <w:p w14:paraId="24E460AF" w14:textId="77777777" w:rsidR="007A2A3A" w:rsidRDefault="007A2A3A" w:rsidP="00997E25">
      <w:pPr>
        <w:rPr>
          <w:sz w:val="20"/>
          <w:szCs w:val="20"/>
        </w:rPr>
      </w:pPr>
    </w:p>
    <w:p w14:paraId="1864CE6E" w14:textId="77777777" w:rsidR="007A2A3A" w:rsidRDefault="007A2A3A" w:rsidP="00997E25">
      <w:pPr>
        <w:rPr>
          <w:sz w:val="20"/>
          <w:szCs w:val="20"/>
        </w:rPr>
      </w:pPr>
    </w:p>
    <w:p w14:paraId="17D3B31E" w14:textId="77777777" w:rsidR="007A2A3A" w:rsidRDefault="007A2A3A" w:rsidP="00997E25">
      <w:pPr>
        <w:rPr>
          <w:sz w:val="20"/>
          <w:szCs w:val="20"/>
        </w:rPr>
      </w:pPr>
    </w:p>
    <w:p w14:paraId="2D21EB75" w14:textId="77777777" w:rsidR="007A2A3A" w:rsidRDefault="007A2A3A" w:rsidP="00997E25">
      <w:pPr>
        <w:rPr>
          <w:sz w:val="20"/>
          <w:szCs w:val="20"/>
        </w:rPr>
      </w:pPr>
    </w:p>
    <w:p w14:paraId="7A465DB2" w14:textId="77777777" w:rsidR="007A2A3A" w:rsidRDefault="007A2A3A" w:rsidP="00997E25">
      <w:pPr>
        <w:rPr>
          <w:sz w:val="20"/>
          <w:szCs w:val="20"/>
        </w:rPr>
      </w:pPr>
    </w:p>
    <w:p w14:paraId="130193E1" w14:textId="77777777" w:rsidR="007A2A3A" w:rsidRDefault="007A2A3A" w:rsidP="00997E25">
      <w:pPr>
        <w:rPr>
          <w:sz w:val="20"/>
          <w:szCs w:val="20"/>
        </w:rPr>
      </w:pPr>
    </w:p>
    <w:p w14:paraId="3DAB72F9" w14:textId="77777777" w:rsidR="007A2A3A" w:rsidRDefault="007A2A3A" w:rsidP="00997E25">
      <w:pPr>
        <w:rPr>
          <w:sz w:val="20"/>
          <w:szCs w:val="20"/>
        </w:rPr>
      </w:pPr>
    </w:p>
    <w:p w14:paraId="56CC6A8B" w14:textId="77777777" w:rsidR="007A2A3A" w:rsidRDefault="007A2A3A" w:rsidP="00997E25">
      <w:pPr>
        <w:rPr>
          <w:sz w:val="20"/>
          <w:szCs w:val="20"/>
        </w:rPr>
      </w:pPr>
    </w:p>
    <w:p w14:paraId="3A25F544" w14:textId="77777777" w:rsidR="007A2A3A" w:rsidRDefault="007A2A3A" w:rsidP="00997E25">
      <w:pPr>
        <w:rPr>
          <w:sz w:val="20"/>
          <w:szCs w:val="20"/>
        </w:rPr>
      </w:pPr>
    </w:p>
    <w:p w14:paraId="4D699883" w14:textId="77777777" w:rsidR="007A2A3A" w:rsidRDefault="007A2A3A" w:rsidP="00997E25">
      <w:pPr>
        <w:rPr>
          <w:sz w:val="20"/>
          <w:szCs w:val="20"/>
        </w:rPr>
      </w:pPr>
    </w:p>
    <w:p w14:paraId="52EC216C" w14:textId="77777777" w:rsidR="007A2A3A" w:rsidRDefault="007A2A3A" w:rsidP="00997E25">
      <w:pPr>
        <w:rPr>
          <w:sz w:val="20"/>
          <w:szCs w:val="20"/>
        </w:rPr>
      </w:pPr>
    </w:p>
    <w:p w14:paraId="4647B71E" w14:textId="77777777" w:rsidR="007A2A3A" w:rsidRDefault="007A2A3A" w:rsidP="00997E25">
      <w:pPr>
        <w:rPr>
          <w:sz w:val="20"/>
          <w:szCs w:val="20"/>
        </w:rPr>
      </w:pPr>
    </w:p>
    <w:p w14:paraId="06F2596C" w14:textId="77777777" w:rsidR="007A2A3A" w:rsidRDefault="007A2A3A" w:rsidP="00997E25">
      <w:pPr>
        <w:rPr>
          <w:sz w:val="20"/>
          <w:szCs w:val="20"/>
        </w:rPr>
      </w:pPr>
    </w:p>
    <w:p w14:paraId="2028324A" w14:textId="22631DD5"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8</w:t>
      </w:r>
      <w:r w:rsidRPr="0021641D">
        <w:rPr>
          <w:sz w:val="20"/>
          <w:szCs w:val="20"/>
        </w:rPr>
        <w:t xml:space="preserve"> priedas</w:t>
      </w:r>
    </w:p>
    <w:p w14:paraId="3A665EDD"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16B8ABC8"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566B7A2C" w14:textId="77777777" w:rsidR="007A2A3A" w:rsidRP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SANDORIO ŠALIES IR (AR) SUBTIEKĖJO DUOMENYS</w:t>
      </w:r>
    </w:p>
    <w:p w14:paraId="743AC9BD"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0E5A5D1C" w14:textId="77777777" w:rsidR="007A2A3A" w:rsidRPr="007A2A3A" w:rsidRDefault="007A2A3A" w:rsidP="007A2A3A">
      <w:pPr>
        <w:spacing w:after="0" w:line="240" w:lineRule="auto"/>
        <w:ind w:firstLine="737"/>
        <w:jc w:val="both"/>
        <w:rPr>
          <w:rFonts w:ascii="Times New Roman" w:eastAsia="Times New Roman" w:hAnsi="Times New Roman" w:cs="Times New Roman"/>
          <w:b/>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7A2A3A" w:rsidRPr="007A2A3A" w14:paraId="4EE0F300"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BB2C1FB"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53C8869C"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2BECFA8C" w14:textId="77777777" w:rsidTr="007A2A3A">
        <w:trPr>
          <w:trHeight w:val="192"/>
        </w:trPr>
        <w:tc>
          <w:tcPr>
            <w:tcW w:w="5940" w:type="dxa"/>
            <w:tcBorders>
              <w:top w:val="single" w:sz="4" w:space="0" w:color="auto"/>
              <w:left w:val="single" w:sz="4" w:space="0" w:color="auto"/>
              <w:bottom w:val="single" w:sz="4" w:space="0" w:color="auto"/>
              <w:right w:val="single" w:sz="4" w:space="0" w:color="auto"/>
            </w:tcBorders>
            <w:hideMark/>
          </w:tcPr>
          <w:p w14:paraId="26D72928"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752BB6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1C1C42AA"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D549E4F"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724A012E"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5158E117" w14:textId="77777777" w:rsidTr="007A2A3A">
        <w:tc>
          <w:tcPr>
            <w:tcW w:w="5940" w:type="dxa"/>
            <w:tcBorders>
              <w:top w:val="single" w:sz="4" w:space="0" w:color="auto"/>
              <w:left w:val="single" w:sz="4" w:space="0" w:color="auto"/>
              <w:bottom w:val="single" w:sz="4" w:space="0" w:color="auto"/>
              <w:right w:val="single" w:sz="4" w:space="0" w:color="auto"/>
            </w:tcBorders>
          </w:tcPr>
          <w:p w14:paraId="03363E77"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5307126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C5C58FB"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59C015A2"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390ABF5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5F365281" w14:textId="77777777" w:rsidTr="007A2A3A">
        <w:tc>
          <w:tcPr>
            <w:tcW w:w="5940" w:type="dxa"/>
            <w:tcBorders>
              <w:top w:val="single" w:sz="4" w:space="0" w:color="auto"/>
              <w:left w:val="single" w:sz="4" w:space="0" w:color="auto"/>
              <w:bottom w:val="single" w:sz="4" w:space="0" w:color="auto"/>
              <w:right w:val="single" w:sz="4" w:space="0" w:color="auto"/>
            </w:tcBorders>
          </w:tcPr>
          <w:p w14:paraId="2DCE7B3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655A95EB"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1736E0D"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207FB8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7. Jeigu sandorio šalis ar subtiekėjas yra juridinis asmuo, – d</w:t>
            </w:r>
            <w:r w:rsidRPr="007A2A3A">
              <w:rPr>
                <w:rFonts w:ascii="Times New Roman" w:eastAsia="Calibri" w:hAnsi="Times New Roman" w:cs="Times New Roman"/>
                <w:sz w:val="24"/>
                <w:szCs w:val="20"/>
              </w:rPr>
              <w:t>uomenys apie jo akcininkų struktūrą, įskaitant galutinius savininkus, kurie tiesiogiai ir (ar) netiesiogiai kontroliuoja įmonę</w:t>
            </w:r>
            <w:r w:rsidRPr="007A2A3A">
              <w:rPr>
                <w:rFonts w:ascii="Times New Roman" w:eastAsia="Calibri" w:hAnsi="Times New Roman" w:cs="Times New Roman"/>
                <w:sz w:val="24"/>
                <w:szCs w:val="24"/>
              </w:rPr>
              <w:t xml:space="preserve"> (pavadinimas arba vardas ir pavardė, juridinio asmens kodas arba asmens kodas)</w:t>
            </w:r>
            <w:r w:rsidRPr="007A2A3A">
              <w:rPr>
                <w:rFonts w:ascii="Times New Roman" w:eastAsia="Calibri" w:hAnsi="Times New Roman" w:cs="Times New Roman"/>
                <w:sz w:val="24"/>
                <w:szCs w:val="20"/>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474A1E26"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4FCE3E9"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4519ED2" w14:textId="77777777" w:rsidR="007A2A3A" w:rsidRPr="007A2A3A" w:rsidRDefault="007A2A3A" w:rsidP="007A2A3A">
            <w:pPr>
              <w:tabs>
                <w:tab w:val="left" w:pos="283"/>
                <w:tab w:val="left" w:pos="426"/>
                <w:tab w:val="left" w:pos="600"/>
                <w:tab w:val="left" w:pos="1134"/>
              </w:tabs>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8. Jeigu sandorio šalis ar subtiekėjas yra juridinis asmuo, – duomenys sandorio šalies ar subtiekėjo, sandorio šalies ar subtiekėjo galutinių naudos gavėjų</w:t>
            </w:r>
            <w:r w:rsidRPr="007A2A3A">
              <w:rPr>
                <w:rFonts w:ascii="Times New Roman" w:eastAsia="Times New Roman" w:hAnsi="Times New Roman" w:cs="Times New Roman"/>
                <w:sz w:val="24"/>
                <w:szCs w:val="20"/>
                <w:vertAlign w:val="superscript"/>
              </w:rPr>
              <w:t xml:space="preserve"> </w:t>
            </w:r>
            <w:r w:rsidRPr="007A2A3A">
              <w:rPr>
                <w:rFonts w:ascii="Times New Roman" w:eastAsia="Times New Roman" w:hAnsi="Times New Roman" w:cs="Times New Roman"/>
                <w:sz w:val="24"/>
                <w:szCs w:val="20"/>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0A46BDAD" w14:textId="77777777" w:rsidR="007A2A3A" w:rsidRPr="007A2A3A" w:rsidRDefault="007A2A3A" w:rsidP="007A2A3A">
            <w:pPr>
              <w:spacing w:after="0" w:line="240" w:lineRule="auto"/>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hideMark/>
          </w:tcPr>
          <w:p w14:paraId="56E75D8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709E1B52"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74C0148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07E018F9"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tcPr>
          <w:p w14:paraId="3B2AB63D"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0577D5BA" w14:textId="77777777" w:rsidTr="007A2A3A">
        <w:tc>
          <w:tcPr>
            <w:tcW w:w="5940" w:type="dxa"/>
            <w:tcBorders>
              <w:top w:val="single" w:sz="4" w:space="0" w:color="auto"/>
              <w:left w:val="single" w:sz="4" w:space="0" w:color="auto"/>
              <w:bottom w:val="single" w:sz="4" w:space="0" w:color="auto"/>
              <w:right w:val="single" w:sz="4" w:space="0" w:color="auto"/>
            </w:tcBorders>
          </w:tcPr>
          <w:p w14:paraId="7C8B1ED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02ACFF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65D87A7" w14:textId="77777777" w:rsidTr="007A2A3A">
        <w:tc>
          <w:tcPr>
            <w:tcW w:w="5940" w:type="dxa"/>
            <w:tcBorders>
              <w:top w:val="single" w:sz="4" w:space="0" w:color="auto"/>
              <w:left w:val="single" w:sz="4" w:space="0" w:color="auto"/>
              <w:bottom w:val="single" w:sz="4" w:space="0" w:color="auto"/>
              <w:right w:val="single" w:sz="4" w:space="0" w:color="auto"/>
            </w:tcBorders>
          </w:tcPr>
          <w:p w14:paraId="614EE223"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2A464F5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bl>
    <w:p w14:paraId="2D29F879"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3E2DF587" w14:textId="77777777" w:rsidR="007A2A3A" w:rsidRPr="007A2A3A" w:rsidRDefault="007A2A3A" w:rsidP="007A2A3A">
      <w:pPr>
        <w:spacing w:after="0" w:line="240" w:lineRule="auto"/>
        <w:rPr>
          <w:rFonts w:ascii="Times New Roman" w:eastAsia="Times New Roman" w:hAnsi="Times New Roman" w:cs="Times New Roman"/>
          <w:sz w:val="14"/>
          <w:szCs w:val="14"/>
        </w:rPr>
      </w:pPr>
      <w:r w:rsidRPr="007A2A3A">
        <w:rPr>
          <w:rFonts w:ascii="Times New Roman" w:eastAsia="Calibri" w:hAnsi="Times New Roman" w:cs="Times New Roman"/>
          <w:sz w:val="24"/>
          <w:szCs w:val="24"/>
        </w:rPr>
        <w:t>_________________________________</w:t>
      </w:r>
    </w:p>
    <w:p w14:paraId="0430FF08" w14:textId="77777777" w:rsidR="007A2A3A" w:rsidRPr="007A2A3A" w:rsidRDefault="007A2A3A" w:rsidP="007A2A3A">
      <w:pPr>
        <w:spacing w:after="0" w:line="240" w:lineRule="auto"/>
        <w:rPr>
          <w:rFonts w:ascii="Times New Roman" w:eastAsia="Calibri" w:hAnsi="Times New Roman" w:cs="Times New Roman"/>
          <w:sz w:val="18"/>
          <w:szCs w:val="18"/>
        </w:rPr>
      </w:pPr>
      <w:r w:rsidRPr="007A2A3A">
        <w:rPr>
          <w:rFonts w:ascii="Times New Roman" w:eastAsia="Calibri" w:hAnsi="Times New Roman" w:cs="Times New Roman"/>
          <w:sz w:val="18"/>
          <w:szCs w:val="18"/>
        </w:rPr>
        <w:t>(informaciją teikiančio asmens vardas, pavardė ir parašas)</w:t>
      </w:r>
    </w:p>
    <w:p w14:paraId="66B49837"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39406CAB"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7795AB2B" w14:textId="77777777" w:rsidR="007A2A3A" w:rsidRPr="007A2A3A" w:rsidRDefault="007A2A3A" w:rsidP="007A2A3A">
      <w:pPr>
        <w:spacing w:after="0" w:line="240" w:lineRule="auto"/>
        <w:jc w:val="center"/>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______________________</w:t>
      </w:r>
    </w:p>
    <w:p w14:paraId="43D482A9" w14:textId="77777777" w:rsidR="007A2A3A" w:rsidRPr="007A2A3A" w:rsidRDefault="007A2A3A" w:rsidP="007A2A3A">
      <w:pPr>
        <w:tabs>
          <w:tab w:val="left" w:pos="6237"/>
          <w:tab w:val="right" w:pos="8306"/>
        </w:tabs>
        <w:spacing w:after="0" w:line="240" w:lineRule="auto"/>
        <w:rPr>
          <w:rFonts w:ascii="Times New Roman" w:eastAsia="Times New Roman" w:hAnsi="Times New Roman" w:cs="Times New Roman"/>
          <w:sz w:val="18"/>
          <w:szCs w:val="18"/>
        </w:rPr>
      </w:pPr>
    </w:p>
    <w:p w14:paraId="4AA578EB" w14:textId="77777777" w:rsidR="007A2A3A" w:rsidRPr="007A2A3A" w:rsidRDefault="007A2A3A" w:rsidP="007A2A3A">
      <w:pPr>
        <w:tabs>
          <w:tab w:val="left" w:pos="6804"/>
        </w:tabs>
        <w:spacing w:after="0" w:line="240" w:lineRule="auto"/>
        <w:ind w:left="4820"/>
        <w:rPr>
          <w:rFonts w:ascii="Times New Roman" w:eastAsia="Times New Roman" w:hAnsi="Times New Roman" w:cs="Times New Roman"/>
          <w:sz w:val="24"/>
          <w:szCs w:val="24"/>
        </w:rPr>
      </w:pPr>
    </w:p>
    <w:p w14:paraId="491C9BF3"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Pastabos:</w:t>
      </w:r>
    </w:p>
    <w:p w14:paraId="6997852D"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74DD0F9F"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2. Išvados antraštė ir jos dėstomoji dalis formuluojama atitinkamai pagal Ryšių reguliavimo tarnybos kreipimąsi.</w:t>
      </w:r>
    </w:p>
    <w:p w14:paraId="688739E3" w14:textId="77777777" w:rsidR="007A2A3A" w:rsidRDefault="007A2A3A" w:rsidP="00997E25">
      <w:pPr>
        <w:rPr>
          <w:sz w:val="20"/>
          <w:szCs w:val="20"/>
        </w:rPr>
      </w:pPr>
    </w:p>
    <w:p w14:paraId="3CE903C9" w14:textId="77777777" w:rsidR="007A2A3A" w:rsidRDefault="007A2A3A" w:rsidP="00997E25">
      <w:pPr>
        <w:rPr>
          <w:sz w:val="20"/>
          <w:szCs w:val="20"/>
        </w:rPr>
      </w:pPr>
    </w:p>
    <w:p w14:paraId="1719908E" w14:textId="77777777" w:rsidR="007A2A3A" w:rsidRDefault="007A2A3A" w:rsidP="00997E25">
      <w:pPr>
        <w:rPr>
          <w:sz w:val="20"/>
          <w:szCs w:val="20"/>
        </w:rPr>
      </w:pPr>
    </w:p>
    <w:p w14:paraId="37FFBEDF" w14:textId="77777777" w:rsidR="007A2A3A" w:rsidRDefault="007A2A3A" w:rsidP="00997E25">
      <w:pPr>
        <w:rPr>
          <w:sz w:val="20"/>
          <w:szCs w:val="20"/>
        </w:rPr>
      </w:pPr>
    </w:p>
    <w:p w14:paraId="4205E09C" w14:textId="77777777" w:rsidR="007A2A3A" w:rsidRDefault="007A2A3A" w:rsidP="00997E25">
      <w:pPr>
        <w:rPr>
          <w:sz w:val="20"/>
          <w:szCs w:val="20"/>
        </w:rPr>
      </w:pPr>
    </w:p>
    <w:p w14:paraId="6166F60A" w14:textId="77777777" w:rsidR="007A2A3A" w:rsidRDefault="007A2A3A" w:rsidP="00997E25">
      <w:pPr>
        <w:rPr>
          <w:sz w:val="20"/>
          <w:szCs w:val="20"/>
        </w:rPr>
      </w:pPr>
    </w:p>
    <w:p w14:paraId="1B8615B7" w14:textId="77777777" w:rsidR="007A2A3A" w:rsidRDefault="007A2A3A" w:rsidP="00997E25">
      <w:pPr>
        <w:rPr>
          <w:sz w:val="20"/>
          <w:szCs w:val="20"/>
        </w:rPr>
      </w:pPr>
    </w:p>
    <w:p w14:paraId="4FF61192" w14:textId="77777777" w:rsidR="007A2A3A" w:rsidRDefault="007A2A3A" w:rsidP="00997E25">
      <w:pPr>
        <w:rPr>
          <w:sz w:val="20"/>
          <w:szCs w:val="20"/>
        </w:rPr>
      </w:pPr>
    </w:p>
    <w:p w14:paraId="47935BE7" w14:textId="77777777" w:rsidR="007A2A3A" w:rsidRDefault="007A2A3A" w:rsidP="00997E25">
      <w:pPr>
        <w:rPr>
          <w:sz w:val="20"/>
          <w:szCs w:val="20"/>
        </w:rPr>
      </w:pPr>
    </w:p>
    <w:p w14:paraId="4413CAFC" w14:textId="77777777" w:rsidR="007A2A3A" w:rsidRDefault="007A2A3A" w:rsidP="00997E25">
      <w:pPr>
        <w:rPr>
          <w:sz w:val="20"/>
          <w:szCs w:val="20"/>
        </w:rPr>
      </w:pPr>
    </w:p>
    <w:p w14:paraId="620CE054" w14:textId="77777777" w:rsidR="007A2A3A" w:rsidRDefault="007A2A3A" w:rsidP="00997E25">
      <w:pPr>
        <w:rPr>
          <w:sz w:val="20"/>
          <w:szCs w:val="20"/>
        </w:rPr>
      </w:pPr>
    </w:p>
    <w:p w14:paraId="4F673E40" w14:textId="77777777" w:rsidR="007A2A3A" w:rsidRDefault="007A2A3A" w:rsidP="00997E25">
      <w:pPr>
        <w:rPr>
          <w:sz w:val="20"/>
          <w:szCs w:val="20"/>
        </w:rPr>
      </w:pPr>
    </w:p>
    <w:p w14:paraId="4ED9534A" w14:textId="77777777" w:rsidR="007A2A3A" w:rsidRDefault="007A2A3A" w:rsidP="00997E25">
      <w:pPr>
        <w:rPr>
          <w:sz w:val="20"/>
          <w:szCs w:val="20"/>
        </w:rPr>
      </w:pPr>
    </w:p>
    <w:p w14:paraId="3E4E4E05"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1A5A7A53" w14:textId="390CFD06"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 xml:space="preserve">9 </w:t>
      </w:r>
      <w:r w:rsidRPr="0021641D">
        <w:rPr>
          <w:sz w:val="20"/>
          <w:szCs w:val="20"/>
        </w:rPr>
        <w:t>priedas</w:t>
      </w:r>
    </w:p>
    <w:p w14:paraId="39675C0A"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4D437138"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744C9C6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r w:rsidRPr="007A2A3A">
        <w:rPr>
          <w:rFonts w:ascii="Times New Roman" w:eastAsia="Calibri" w:hAnsi="Times New Roman" w:cs="Times New Roman"/>
          <w:b/>
          <w:color w:val="000000"/>
          <w:sz w:val="24"/>
          <w:szCs w:val="24"/>
          <w:lang w:eastAsia="en-US"/>
        </w:rPr>
        <w:t xml:space="preserve">INFORMACIJA APIE TIEKĖJĄ </w:t>
      </w:r>
      <w:r w:rsidRPr="007A2A3A">
        <w:rPr>
          <w:rFonts w:ascii="Times New Roman" w:eastAsia="Calibri" w:hAnsi="Times New Roman" w:cs="Times New Roman"/>
          <w:b/>
          <w:sz w:val="24"/>
          <w:szCs w:val="24"/>
          <w:lang w:eastAsia="en-US"/>
        </w:rPr>
        <w:t>(SUBTIEKĖJĄ, SUBTEIKĖJĄ, SUBRANGOVĄ, KITĄ SUTARTINAI VEIKIANTĮ ŪKIO SUBJEKTĄ, KURIO PAJĖGUMAIS REMIASI, GAMINTOJĄ AR JUOS KONTROLIUOJANTĮ ASMENĮ)</w:t>
      </w:r>
    </w:p>
    <w:p w14:paraId="3A18138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p>
    <w:p w14:paraId="48B0DC75"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r w:rsidRPr="007A2A3A">
        <w:rPr>
          <w:rFonts w:ascii="Times New Roman" w:eastAsia="Calibri" w:hAnsi="Times New Roman" w:cs="Times New Roman"/>
          <w:sz w:val="22"/>
          <w:szCs w:val="22"/>
          <w:lang w:eastAsia="en-US"/>
        </w:rPr>
        <w:t>(</w:t>
      </w:r>
      <w:r w:rsidRPr="007A2A3A">
        <w:rPr>
          <w:rFonts w:ascii="Times New Roman" w:eastAsia="Calibri" w:hAnsi="Times New Roman" w:cs="Times New Roman"/>
          <w:i/>
          <w:sz w:val="22"/>
          <w:szCs w:val="22"/>
          <w:lang w:eastAsia="en-US"/>
        </w:rPr>
        <w:t>forma pildoma atskirai apie tiekėją, kiekvieną subtiekėją, subteikėją, subrangovą, kitą sutartinai veikiantį ūkio subjektą, kurio pajėgumais remiasi, gamintoją ar juos kontroliuojantį asmenį</w:t>
      </w:r>
      <w:r w:rsidRPr="007A2A3A">
        <w:rPr>
          <w:rFonts w:ascii="Times New Roman" w:eastAsia="Calibri" w:hAnsi="Times New Roman" w:cs="Times New Roman"/>
          <w:sz w:val="22"/>
          <w:szCs w:val="22"/>
          <w:lang w:eastAsia="en-US"/>
        </w:rPr>
        <w:t>)</w:t>
      </w:r>
    </w:p>
    <w:p w14:paraId="44064EDE"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p>
    <w:p w14:paraId="410C76B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w:t>
      </w:r>
    </w:p>
    <w:p w14:paraId="1633ED35"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(data)</w:t>
      </w:r>
    </w:p>
    <w:p w14:paraId="611FB4BD"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_________________</w:t>
      </w:r>
    </w:p>
    <w:p w14:paraId="18659021"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(sudarymo vieta)</w:t>
      </w:r>
    </w:p>
    <w:p w14:paraId="0B56F0D2"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21616FE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320F7D16" w14:textId="77777777" w:rsidR="007A2A3A" w:rsidRPr="007A2A3A" w:rsidRDefault="007A2A3A" w:rsidP="007A2A3A">
      <w:pPr>
        <w:numPr>
          <w:ilvl w:val="0"/>
          <w:numId w:val="30"/>
        </w:numPr>
        <w:tabs>
          <w:tab w:val="left" w:pos="993"/>
        </w:tabs>
        <w:spacing w:after="0" w:line="240" w:lineRule="auto"/>
        <w:ind w:left="0" w:firstLine="737"/>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TIEKĖJO (SUBTIEKĖJO, SUBTEIKĖJO, SUBRANGOVO, KITO SUTARTINAI VEIKIANČIO ŪKIO SUBJEKTO, KURIO PAJĖGUMAIS REMIASI, GAMINTOJO AR JUOS KONTROLIUOJANČIO ASMENS) DUOMENYS</w:t>
      </w:r>
    </w:p>
    <w:p w14:paraId="173E925B" w14:textId="77777777" w:rsidR="007A2A3A" w:rsidRPr="007A2A3A" w:rsidRDefault="007A2A3A" w:rsidP="007A2A3A">
      <w:pPr>
        <w:spacing w:after="0" w:line="240" w:lineRule="auto"/>
        <w:ind w:firstLine="737"/>
        <w:jc w:val="both"/>
        <w:rPr>
          <w:rFonts w:ascii="Times New Roman" w:eastAsia="Calibri" w:hAnsi="Times New Roman"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47B6E4F3" w14:textId="77777777" w:rsidTr="007A2A3A">
        <w:tc>
          <w:tcPr>
            <w:tcW w:w="576" w:type="dxa"/>
          </w:tcPr>
          <w:p w14:paraId="56816CF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1.1.</w:t>
            </w:r>
          </w:p>
        </w:tc>
        <w:tc>
          <w:tcPr>
            <w:tcW w:w="5236" w:type="dxa"/>
          </w:tcPr>
          <w:p w14:paraId="3E3E63F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Juridinio asmens pavadinimas</w:t>
            </w:r>
          </w:p>
          <w:p w14:paraId="7A8E274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(arba fizinio asmens vardas ir pavardė)</w:t>
            </w:r>
          </w:p>
        </w:tc>
        <w:tc>
          <w:tcPr>
            <w:tcW w:w="3969" w:type="dxa"/>
          </w:tcPr>
          <w:p w14:paraId="3A8627F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B91EC4E" w14:textId="77777777" w:rsidTr="007A2A3A">
        <w:tc>
          <w:tcPr>
            <w:tcW w:w="576" w:type="dxa"/>
          </w:tcPr>
          <w:p w14:paraId="4E7A120C"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1.2.</w:t>
            </w:r>
          </w:p>
        </w:tc>
        <w:tc>
          <w:tcPr>
            <w:tcW w:w="5236" w:type="dxa"/>
          </w:tcPr>
          <w:p w14:paraId="3C13330C"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Juridinio asmens kodas (arba fizinio asmens kodas)</w:t>
            </w:r>
          </w:p>
          <w:p w14:paraId="479A2149" w14:textId="77777777" w:rsidR="007A2A3A" w:rsidRPr="007A2A3A" w:rsidRDefault="007A2A3A" w:rsidP="007A2A3A">
            <w:pPr>
              <w:jc w:val="both"/>
              <w:rPr>
                <w:rFonts w:ascii="Times New Roman" w:eastAsia="Times New Roman" w:hAnsi="Times New Roman" w:cs="Times New Roman"/>
              </w:rPr>
            </w:pPr>
          </w:p>
        </w:tc>
        <w:tc>
          <w:tcPr>
            <w:tcW w:w="3969" w:type="dxa"/>
          </w:tcPr>
          <w:p w14:paraId="7EFBC3C2"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22CF2A13" w14:textId="77777777" w:rsidTr="007A2A3A">
        <w:tc>
          <w:tcPr>
            <w:tcW w:w="576" w:type="dxa"/>
          </w:tcPr>
          <w:p w14:paraId="48232582"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1.3.</w:t>
            </w:r>
          </w:p>
        </w:tc>
        <w:tc>
          <w:tcPr>
            <w:tcW w:w="5236" w:type="dxa"/>
          </w:tcPr>
          <w:p w14:paraId="0762B66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 xml:space="preserve">Juridinio asmens buveinės adresas (arba fizinio asmens faktinė gyvenamoji vieta) </w:t>
            </w:r>
          </w:p>
        </w:tc>
        <w:tc>
          <w:tcPr>
            <w:tcW w:w="3969" w:type="dxa"/>
          </w:tcPr>
          <w:p w14:paraId="70FC86E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6B954B15" w14:textId="77777777" w:rsidTr="007A2A3A">
        <w:tc>
          <w:tcPr>
            <w:tcW w:w="576" w:type="dxa"/>
          </w:tcPr>
          <w:p w14:paraId="008DE78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1.4.</w:t>
            </w:r>
          </w:p>
        </w:tc>
        <w:tc>
          <w:tcPr>
            <w:tcW w:w="5236" w:type="dxa"/>
          </w:tcPr>
          <w:p w14:paraId="5EF90574"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Vietos, kurioje faktiškai vykdoma veikla, adresas</w:t>
            </w:r>
          </w:p>
          <w:p w14:paraId="12532F4D" w14:textId="77777777" w:rsidR="007A2A3A" w:rsidRPr="007A2A3A" w:rsidRDefault="007A2A3A" w:rsidP="007A2A3A">
            <w:pPr>
              <w:jc w:val="both"/>
              <w:rPr>
                <w:rFonts w:ascii="Times New Roman" w:eastAsia="Times New Roman" w:hAnsi="Times New Roman" w:cs="Times New Roman"/>
                <w:b/>
              </w:rPr>
            </w:pPr>
          </w:p>
        </w:tc>
        <w:tc>
          <w:tcPr>
            <w:tcW w:w="3969" w:type="dxa"/>
          </w:tcPr>
          <w:p w14:paraId="1C4A5B17"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666A3A" w14:textId="77777777" w:rsidTr="007A2A3A">
        <w:tc>
          <w:tcPr>
            <w:tcW w:w="576" w:type="dxa"/>
          </w:tcPr>
          <w:p w14:paraId="596E5AA4"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1.5.</w:t>
            </w:r>
          </w:p>
        </w:tc>
        <w:tc>
          <w:tcPr>
            <w:tcW w:w="5236" w:type="dxa"/>
          </w:tcPr>
          <w:p w14:paraId="799822B6" w14:textId="77777777" w:rsidR="007A2A3A" w:rsidRPr="007A2A3A" w:rsidRDefault="007A2A3A" w:rsidP="007A2A3A">
            <w:pPr>
              <w:jc w:val="both"/>
              <w:rPr>
                <w:rFonts w:ascii="Times New Roman" w:eastAsia="Times New Roman" w:hAnsi="Times New Roman" w:cs="Times New Roman"/>
                <w:b/>
              </w:rPr>
            </w:pPr>
            <w:r w:rsidRPr="007A2A3A">
              <w:rPr>
                <w:rFonts w:ascii="Times New Roman" w:eastAsia="Times New Roman" w:hAnsi="Times New Roman" w:cs="Times New Roman"/>
              </w:rPr>
              <w:t>Juridinio asmens valdymo organų nariai (asmens vardas, pavardė, asmens kodas)</w:t>
            </w:r>
          </w:p>
        </w:tc>
        <w:tc>
          <w:tcPr>
            <w:tcW w:w="3969" w:type="dxa"/>
          </w:tcPr>
          <w:p w14:paraId="5C7897DA"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709EBF3A" w14:textId="77777777" w:rsidTr="007A2A3A">
        <w:tc>
          <w:tcPr>
            <w:tcW w:w="576" w:type="dxa"/>
          </w:tcPr>
          <w:p w14:paraId="0905F95B"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1.6.</w:t>
            </w:r>
          </w:p>
        </w:tc>
        <w:tc>
          <w:tcPr>
            <w:tcW w:w="5236" w:type="dxa"/>
          </w:tcPr>
          <w:p w14:paraId="453BDA12" w14:textId="77777777" w:rsidR="007A2A3A" w:rsidRPr="007A2A3A" w:rsidRDefault="007A2A3A" w:rsidP="007A2A3A">
            <w:pPr>
              <w:jc w:val="both"/>
              <w:rPr>
                <w:rFonts w:ascii="Times New Roman" w:eastAsia="Times New Roman" w:hAnsi="Times New Roman" w:cs="Times New Roman"/>
                <w:b/>
              </w:rPr>
            </w:pPr>
            <w:r w:rsidRPr="007A2A3A">
              <w:rPr>
                <w:rFonts w:ascii="Times New Roman" w:eastAsia="Times New Roman" w:hAnsi="Times New Roman" w:cs="Times New Roman"/>
              </w:rPr>
              <w:t xml:space="preserve">Juridinio asmens vyriausiasis buhalteris arba apskaitą tvarkančio padalinio vadovas ar įmonės apskaitą tvarkantis kitas juridinis asmuo (asmens vardas, pavardė, asmens kodas arba juridinio asmens pavadinimas, kodas) </w:t>
            </w:r>
          </w:p>
        </w:tc>
        <w:tc>
          <w:tcPr>
            <w:tcW w:w="3969" w:type="dxa"/>
          </w:tcPr>
          <w:p w14:paraId="2429BF5B"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A0D222" w14:textId="77777777" w:rsidTr="007A2A3A">
        <w:tc>
          <w:tcPr>
            <w:tcW w:w="576" w:type="dxa"/>
          </w:tcPr>
          <w:p w14:paraId="151B049E"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1.7.</w:t>
            </w:r>
          </w:p>
        </w:tc>
        <w:tc>
          <w:tcPr>
            <w:tcW w:w="5236" w:type="dxa"/>
          </w:tcPr>
          <w:p w14:paraId="488CCE48"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Pagrindinė informacija apie siūlomą prekę (pavadinimas, modelis, ypatybės, gamintojas ir kilmės šalis), paslaugas ar darbus (trumpas paslaugų ar darbų apibūdinimas, paslaugų teikimo ar darbų atlikimo vieta)</w:t>
            </w:r>
          </w:p>
          <w:p w14:paraId="5CD2726D" w14:textId="77777777" w:rsidR="007A2A3A" w:rsidRPr="007A2A3A" w:rsidRDefault="007A2A3A" w:rsidP="007A2A3A">
            <w:pPr>
              <w:jc w:val="both"/>
              <w:rPr>
                <w:rFonts w:ascii="Times New Roman" w:eastAsia="Times New Roman" w:hAnsi="Times New Roman" w:cs="Times New Roman"/>
                <w:b/>
              </w:rPr>
            </w:pPr>
          </w:p>
        </w:tc>
        <w:tc>
          <w:tcPr>
            <w:tcW w:w="3969" w:type="dxa"/>
          </w:tcPr>
          <w:p w14:paraId="107CAA60" w14:textId="77777777" w:rsidR="007A2A3A" w:rsidRPr="007A2A3A" w:rsidRDefault="007A2A3A" w:rsidP="007A2A3A">
            <w:pPr>
              <w:ind w:right="453"/>
              <w:jc w:val="center"/>
              <w:rPr>
                <w:rFonts w:ascii="Times New Roman" w:eastAsia="Times New Roman" w:hAnsi="Times New Roman" w:cs="Times New Roman"/>
                <w:b/>
                <w:sz w:val="24"/>
                <w:szCs w:val="24"/>
              </w:rPr>
            </w:pPr>
          </w:p>
        </w:tc>
      </w:tr>
    </w:tbl>
    <w:p w14:paraId="49AA311A" w14:textId="77777777" w:rsidR="007A2A3A" w:rsidRPr="007A2A3A" w:rsidRDefault="007A2A3A" w:rsidP="007A2A3A">
      <w:pPr>
        <w:spacing w:after="0" w:line="240" w:lineRule="auto"/>
        <w:ind w:left="709"/>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2. PATEIKIAMI DOKUMENTAI</w:t>
      </w:r>
    </w:p>
    <w:p w14:paraId="212A889D" w14:textId="77777777" w:rsidR="007A2A3A" w:rsidRPr="007A2A3A" w:rsidRDefault="007A2A3A" w:rsidP="007A2A3A">
      <w:pPr>
        <w:spacing w:after="0" w:line="240" w:lineRule="auto"/>
        <w:ind w:left="720"/>
        <w:contextualSpacing/>
        <w:rPr>
          <w:rFonts w:ascii="Times New Roman" w:eastAsia="Times New Roman" w:hAnsi="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2B381D2A" w14:textId="77777777" w:rsidTr="007A2A3A">
        <w:tc>
          <w:tcPr>
            <w:tcW w:w="576" w:type="dxa"/>
          </w:tcPr>
          <w:p w14:paraId="77C7C486" w14:textId="77777777" w:rsidR="007A2A3A" w:rsidRPr="007A2A3A" w:rsidRDefault="007A2A3A" w:rsidP="007A2A3A">
            <w:pPr>
              <w:jc w:val="center"/>
              <w:rPr>
                <w:rFonts w:ascii="Times New Roman" w:eastAsia="Times New Roman" w:hAnsi="Times New Roman" w:cs="Times New Roman"/>
                <w:b/>
              </w:rPr>
            </w:pPr>
          </w:p>
          <w:p w14:paraId="45CB528C"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Eil. Nr.</w:t>
            </w:r>
          </w:p>
        </w:tc>
        <w:tc>
          <w:tcPr>
            <w:tcW w:w="5236" w:type="dxa"/>
          </w:tcPr>
          <w:p w14:paraId="242AA718" w14:textId="77777777" w:rsidR="007A2A3A" w:rsidRPr="007A2A3A" w:rsidRDefault="007A2A3A" w:rsidP="007A2A3A">
            <w:pPr>
              <w:jc w:val="center"/>
              <w:rPr>
                <w:rFonts w:ascii="Times New Roman" w:eastAsia="Times New Roman" w:hAnsi="Times New Roman" w:cs="Times New Roman"/>
                <w:b/>
              </w:rPr>
            </w:pPr>
          </w:p>
          <w:p w14:paraId="1358FC38"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Dokumentas</w:t>
            </w:r>
          </w:p>
        </w:tc>
        <w:tc>
          <w:tcPr>
            <w:tcW w:w="3969" w:type="dxa"/>
          </w:tcPr>
          <w:p w14:paraId="57D0A22C"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 xml:space="preserve">Dokumento pateikimo žymė – „Taip“ arba </w:t>
            </w:r>
          </w:p>
          <w:p w14:paraId="79EA43CE"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„Ne“ (nurodoma priežastis)</w:t>
            </w:r>
          </w:p>
        </w:tc>
      </w:tr>
      <w:tr w:rsidR="007A2A3A" w:rsidRPr="007A2A3A" w14:paraId="0EE366B2" w14:textId="77777777" w:rsidTr="007A2A3A">
        <w:tc>
          <w:tcPr>
            <w:tcW w:w="576" w:type="dxa"/>
          </w:tcPr>
          <w:p w14:paraId="22C39A51"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2.1.</w:t>
            </w:r>
          </w:p>
        </w:tc>
        <w:tc>
          <w:tcPr>
            <w:tcW w:w="5236" w:type="dxa"/>
          </w:tcPr>
          <w:p w14:paraId="4503E8E5" w14:textId="77777777" w:rsidR="007A2A3A" w:rsidRPr="007A2A3A" w:rsidRDefault="007A2A3A" w:rsidP="007A2A3A">
            <w:pPr>
              <w:tabs>
                <w:tab w:val="left" w:pos="720"/>
              </w:tabs>
              <w:contextualSpacing/>
              <w:jc w:val="both"/>
              <w:rPr>
                <w:rFonts w:ascii="Times New Roman" w:eastAsia="Times New Roman" w:hAnsi="Times New Roman" w:cs="Times New Roman"/>
              </w:rPr>
            </w:pPr>
            <w:r w:rsidRPr="007A2A3A">
              <w:rPr>
                <w:rFonts w:ascii="Times New Roman" w:eastAsia="Times New Roman" w:hAnsi="Times New Roman" w:cs="Times New Roman"/>
              </w:rPr>
              <w:t xml:space="preserve">2.1.1. Jeigu tiekėjas, jo subtiekėjas, subteikėjas, subrangovas, ūkio subjektas, kurio pajėgumais remiamasi, tiekėjo siūlomų prekių (įskaitant jų sudedamąsias dalis) gamintojas ar juos kontroliuojantis asmuo </w:t>
            </w:r>
            <w:r w:rsidRPr="007A2A3A">
              <w:rPr>
                <w:rFonts w:ascii="Times New Roman" w:eastAsia="Times New Roman" w:hAnsi="Times New Roman" w:cs="Times New Roman"/>
                <w:u w:val="single"/>
              </w:rPr>
              <w:t>yra juridinis asmuo</w:t>
            </w:r>
            <w:r w:rsidRPr="007A2A3A">
              <w:rPr>
                <w:rFonts w:ascii="Times New Roman" w:eastAsia="Times New Roman" w:hAnsi="Times New Roman" w:cs="Times New Roman"/>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420A805E"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2.1.2. Jeigu tiekėjas, jo subtiekėjas, subteikėjas, subrangovas, ūkio subjektas, kurio pajėgumais remiamasi, tiekėjo siūlomų prekių (įskaitant jų sudedamąsias dalis) gamintojas ar juos kontroliuojantis asmuo </w:t>
            </w:r>
            <w:r w:rsidRPr="007A2A3A">
              <w:rPr>
                <w:rFonts w:ascii="Times New Roman" w:eastAsia="Times New Roman" w:hAnsi="Times New Roman" w:cs="Times New Roman"/>
                <w:u w:val="single"/>
              </w:rPr>
              <w:t>yra fizinis asmuo</w:t>
            </w:r>
            <w:r w:rsidRPr="007A2A3A">
              <w:rPr>
                <w:rFonts w:ascii="Times New Roman" w:eastAsia="Times New Roman" w:hAnsi="Times New Roman" w:cs="Times New Roman"/>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3969" w:type="dxa"/>
          </w:tcPr>
          <w:p w14:paraId="27EB748F"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53E45F85" w14:textId="77777777" w:rsidTr="007A2A3A">
        <w:tc>
          <w:tcPr>
            <w:tcW w:w="576" w:type="dxa"/>
          </w:tcPr>
          <w:p w14:paraId="44E77ED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2.2.</w:t>
            </w:r>
          </w:p>
        </w:tc>
        <w:tc>
          <w:tcPr>
            <w:tcW w:w="5236" w:type="dxa"/>
          </w:tcPr>
          <w:p w14:paraId="7FFA2FE8"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7A2A3A">
              <w:rPr>
                <w:rFonts w:ascii="Times New Roman" w:eastAsia="Times New Roman" w:hAnsi="Times New Roman" w:cs="Times New Roman"/>
                <w:i/>
              </w:rPr>
              <w:t>pateikiami tik su tiekėju susiję dokumentai</w:t>
            </w:r>
            <w:r w:rsidRPr="007A2A3A">
              <w:rPr>
                <w:rFonts w:ascii="Times New Roman" w:eastAsia="Times New Roman" w:hAnsi="Times New Roman" w:cs="Times New Roman"/>
              </w:rPr>
              <w:t>).</w:t>
            </w:r>
          </w:p>
        </w:tc>
        <w:tc>
          <w:tcPr>
            <w:tcW w:w="3969" w:type="dxa"/>
          </w:tcPr>
          <w:p w14:paraId="3C0CD8C2" w14:textId="77777777" w:rsidR="007A2A3A" w:rsidRPr="007A2A3A" w:rsidRDefault="007A2A3A" w:rsidP="007A2A3A">
            <w:pPr>
              <w:jc w:val="both"/>
              <w:rPr>
                <w:rFonts w:ascii="Times New Roman" w:eastAsia="Times New Roman" w:hAnsi="Times New Roman" w:cs="Times New Roman"/>
              </w:rPr>
            </w:pPr>
          </w:p>
        </w:tc>
      </w:tr>
      <w:tr w:rsidR="007A2A3A" w:rsidRPr="007A2A3A" w14:paraId="2493D415" w14:textId="77777777" w:rsidTr="007A2A3A">
        <w:tc>
          <w:tcPr>
            <w:tcW w:w="576" w:type="dxa"/>
          </w:tcPr>
          <w:p w14:paraId="7B31515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2.3.</w:t>
            </w:r>
          </w:p>
        </w:tc>
        <w:tc>
          <w:tcPr>
            <w:tcW w:w="5236" w:type="dxa"/>
          </w:tcPr>
          <w:p w14:paraId="2E0BA478"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7A2A3A">
              <w:rPr>
                <w:rFonts w:ascii="Times New Roman" w:eastAsia="Times New Roman" w:hAnsi="Times New Roman" w:cs="Times New Roman"/>
                <w:i/>
              </w:rPr>
              <w:t>pateikiami tik su tiekėju susiję dokumentai</w:t>
            </w:r>
            <w:r w:rsidRPr="007A2A3A">
              <w:rPr>
                <w:rFonts w:ascii="Times New Roman" w:eastAsia="Times New Roman" w:hAnsi="Times New Roman" w:cs="Times New Roman"/>
              </w:rPr>
              <w:t>).</w:t>
            </w:r>
          </w:p>
        </w:tc>
        <w:tc>
          <w:tcPr>
            <w:tcW w:w="3969" w:type="dxa"/>
          </w:tcPr>
          <w:p w14:paraId="0FB16C49"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45A80336" w14:textId="77777777" w:rsidTr="007A2A3A">
        <w:tc>
          <w:tcPr>
            <w:tcW w:w="576" w:type="dxa"/>
          </w:tcPr>
          <w:p w14:paraId="563BFFD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2.4.</w:t>
            </w:r>
          </w:p>
        </w:tc>
        <w:tc>
          <w:tcPr>
            <w:tcW w:w="5236" w:type="dxa"/>
          </w:tcPr>
          <w:p w14:paraId="56D3EA79" w14:textId="77777777" w:rsidR="007A2A3A" w:rsidRPr="007A2A3A" w:rsidRDefault="007A2A3A" w:rsidP="007A2A3A">
            <w:pPr>
              <w:jc w:val="both"/>
              <w:rPr>
                <w:rFonts w:ascii="Times New Roman" w:eastAsia="Times New Roman" w:hAnsi="Times New Roman" w:cs="Times New Roman"/>
                <w:b/>
              </w:rPr>
            </w:pPr>
            <w:r w:rsidRPr="007A2A3A">
              <w:rPr>
                <w:rFonts w:ascii="Times New Roman" w:eastAsia="Times New Roman" w:hAnsi="Times New Roman" w:cs="Times New Roman"/>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7A2A3A">
              <w:rPr>
                <w:rFonts w:ascii="Times New Roman" w:eastAsia="Times New Roman" w:hAnsi="Times New Roman" w:cs="Times New Roman"/>
                <w:i/>
              </w:rPr>
              <w:t>pateikiami tik su tiekėju susiję dokumentai</w:t>
            </w:r>
            <w:r w:rsidRPr="007A2A3A">
              <w:rPr>
                <w:rFonts w:ascii="Times New Roman" w:eastAsia="Times New Roman" w:hAnsi="Times New Roman" w:cs="Times New Roman"/>
              </w:rPr>
              <w:t>).</w:t>
            </w:r>
          </w:p>
        </w:tc>
        <w:tc>
          <w:tcPr>
            <w:tcW w:w="3969" w:type="dxa"/>
          </w:tcPr>
          <w:p w14:paraId="1AD70358" w14:textId="77777777" w:rsidR="007A2A3A" w:rsidRPr="007A2A3A" w:rsidRDefault="007A2A3A" w:rsidP="007A2A3A">
            <w:pPr>
              <w:jc w:val="both"/>
              <w:rPr>
                <w:rFonts w:ascii="Times New Roman" w:eastAsia="Times New Roman" w:hAnsi="Times New Roman" w:cs="Times New Roman"/>
              </w:rPr>
            </w:pPr>
          </w:p>
        </w:tc>
      </w:tr>
    </w:tbl>
    <w:p w14:paraId="599009F4" w14:textId="77777777" w:rsidR="007A2A3A" w:rsidRPr="007A2A3A" w:rsidRDefault="007A2A3A" w:rsidP="007A2A3A">
      <w:pPr>
        <w:spacing w:after="0" w:line="240" w:lineRule="auto"/>
        <w:jc w:val="both"/>
        <w:rPr>
          <w:rFonts w:ascii="Times New Roman" w:eastAsia="Times New Roman" w:hAnsi="Times New Roman" w:cs="Times New Roman"/>
          <w:sz w:val="24"/>
          <w:szCs w:val="24"/>
          <w:lang w:eastAsia="en-US"/>
        </w:rPr>
      </w:pPr>
    </w:p>
    <w:p w14:paraId="05DABF98" w14:textId="77777777" w:rsidR="007A2A3A" w:rsidRPr="007A2A3A" w:rsidRDefault="007A2A3A" w:rsidP="007A2A3A">
      <w:pPr>
        <w:spacing w:after="0" w:line="240" w:lineRule="auto"/>
        <w:jc w:val="both"/>
        <w:rPr>
          <w:rFonts w:ascii="Times New Roman" w:eastAsia="Times New Roman" w:hAnsi="Times New Roman" w:cs="Times New Roman"/>
          <w:color w:val="000000"/>
          <w:sz w:val="22"/>
          <w:szCs w:val="22"/>
        </w:rPr>
      </w:pPr>
      <w:r w:rsidRPr="007A2A3A">
        <w:rPr>
          <w:rFonts w:ascii="Times New Roman" w:eastAsia="Times New Roman" w:hAnsi="Times New Roman" w:cs="Times New Roman"/>
          <w:b/>
          <w:sz w:val="22"/>
          <w:szCs w:val="22"/>
          <w:lang w:eastAsia="en-US"/>
        </w:rPr>
        <w:t>PASTABA.</w:t>
      </w:r>
      <w:r w:rsidRPr="007A2A3A">
        <w:rPr>
          <w:rFonts w:ascii="Times New Roman" w:eastAsia="Times New Roman" w:hAnsi="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2A3A">
        <w:rPr>
          <w:rFonts w:ascii="Times New Roman" w:eastAsia="Times New Roman" w:hAnsi="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2A3A">
        <w:rPr>
          <w:rFonts w:ascii="Times New Roman" w:eastAsia="Times New Roman" w:hAnsi="Times New Roman" w:cs="Times New Roman"/>
          <w:sz w:val="22"/>
          <w:szCs w:val="22"/>
          <w:lang w:eastAsia="en-US"/>
        </w:rPr>
        <w:t xml:space="preserve">. Daugiau informacijos apie asmens duomenų tvarkymą krašto apsaugos sistemoje pateikiama </w:t>
      </w:r>
      <w:r w:rsidRPr="007A2A3A">
        <w:rPr>
          <w:rFonts w:ascii="Times New Roman" w:eastAsia="Calibri" w:hAnsi="Times New Roman" w:cs="Times New Roman"/>
          <w:sz w:val="22"/>
          <w:szCs w:val="22"/>
          <w:lang w:eastAsia="en-US"/>
        </w:rPr>
        <w:t>Asmens duomenų tvarkymo ir duomenų subjektų teisių įgyvendinimo krašto apsaugos sistemoje</w:t>
      </w:r>
      <w:r w:rsidRPr="007A2A3A" w:rsidDel="000832DD">
        <w:rPr>
          <w:rFonts w:ascii="Times New Roman" w:eastAsia="Calibri" w:hAnsi="Times New Roman" w:cs="Times New Roman"/>
          <w:color w:val="000000"/>
          <w:sz w:val="22"/>
          <w:szCs w:val="22"/>
          <w:lang w:eastAsia="en-US"/>
        </w:rPr>
        <w:t xml:space="preserve"> </w:t>
      </w:r>
      <w:r w:rsidRPr="007A2A3A">
        <w:rPr>
          <w:rFonts w:ascii="Times New Roman" w:eastAsia="Calibri" w:hAnsi="Times New Roman" w:cs="Times New Roman"/>
          <w:color w:val="000000"/>
          <w:sz w:val="22"/>
          <w:szCs w:val="22"/>
          <w:lang w:eastAsia="en-US"/>
        </w:rPr>
        <w:t xml:space="preserve">taisyklėse, </w:t>
      </w:r>
      <w:r w:rsidRPr="007A2A3A">
        <w:rPr>
          <w:rFonts w:ascii="Times New Roman" w:eastAsia="Calibri" w:hAnsi="Times New Roman" w:cs="Times New Roman"/>
          <w:sz w:val="22"/>
          <w:szCs w:val="22"/>
          <w:lang w:eastAsia="en-US"/>
        </w:rPr>
        <w:t xml:space="preserve">patvirtintose Lietuvos Respublikos </w:t>
      </w:r>
      <w:r w:rsidRPr="007A2A3A">
        <w:rPr>
          <w:rFonts w:ascii="Times New Roman" w:eastAsia="Times New Roman" w:hAnsi="Times New Roman" w:cs="Times New Roman"/>
          <w:sz w:val="22"/>
          <w:szCs w:val="22"/>
        </w:rPr>
        <w:t xml:space="preserve">krašto apsaugos ministro </w:t>
      </w:r>
      <w:r w:rsidRPr="007A2A3A">
        <w:rPr>
          <w:rFonts w:ascii="Times New Roman" w:eastAsia="Calibri" w:hAnsi="Times New Roman" w:cs="Times New Roman"/>
          <w:sz w:val="22"/>
          <w:szCs w:val="22"/>
          <w:lang w:eastAsia="en-US"/>
        </w:rPr>
        <w:t xml:space="preserve">2015 m. gruodžio 3 d. įsakymu Nr. V-1253 „Dėl Asmens duomenų tvarkymo ir duomenų subjektų teisių įgyvendinimo krašto apsaugos sistemoje taisyklių patvirtinimo“, </w:t>
      </w:r>
      <w:r w:rsidRPr="007A2A3A">
        <w:rPr>
          <w:rFonts w:ascii="Times New Roman" w:eastAsia="Times New Roman" w:hAnsi="Times New Roman" w:cs="Times New Roman"/>
          <w:color w:val="000000"/>
          <w:sz w:val="22"/>
          <w:szCs w:val="22"/>
        </w:rPr>
        <w:t>ir Krašto apsaugos ministerijos interneto svetainėje </w:t>
      </w:r>
      <w:hyperlink r:id="rId21" w:history="1">
        <w:r w:rsidRPr="007A2A3A">
          <w:rPr>
            <w:rFonts w:ascii="Times New Roman" w:eastAsia="Times New Roman" w:hAnsi="Times New Roman" w:cs="Times New Roman"/>
            <w:sz w:val="22"/>
            <w:szCs w:val="22"/>
          </w:rPr>
          <w:t>www.kam.lt</w:t>
        </w:r>
      </w:hyperlink>
      <w:r w:rsidRPr="007A2A3A">
        <w:rPr>
          <w:rFonts w:ascii="Times New Roman" w:eastAsia="Times New Roman" w:hAnsi="Times New Roman" w:cs="Times New Roman"/>
          <w:sz w:val="22"/>
          <w:szCs w:val="22"/>
        </w:rPr>
        <w:t>,</w:t>
      </w:r>
      <w:r w:rsidRPr="007A2A3A">
        <w:rPr>
          <w:rFonts w:ascii="Times New Roman" w:eastAsia="Times New Roman" w:hAnsi="Times New Roman" w:cs="Times New Roman"/>
          <w:color w:val="0563C1"/>
          <w:sz w:val="22"/>
          <w:szCs w:val="22"/>
        </w:rPr>
        <w:t xml:space="preserve"> </w:t>
      </w:r>
      <w:r w:rsidRPr="007A2A3A">
        <w:rPr>
          <w:rFonts w:ascii="Times New Roman" w:eastAsia="Times New Roman" w:hAnsi="Times New Roman" w:cs="Times New Roman"/>
          <w:sz w:val="22"/>
          <w:szCs w:val="22"/>
        </w:rPr>
        <w:t>skiltyje ,,Asmens duomenų tvarkymas“</w:t>
      </w:r>
      <w:r w:rsidRPr="007A2A3A">
        <w:rPr>
          <w:rFonts w:ascii="Times New Roman" w:eastAsia="Times New Roman" w:hAnsi="Times New Roman" w:cs="Times New Roman"/>
          <w:color w:val="000000"/>
          <w:sz w:val="22"/>
          <w:szCs w:val="22"/>
        </w:rPr>
        <w:t>. Priede nurodyti dokumentai (ir juose esantys asmens duomenys) saugomi Lietuvos vyriausiojo archyvaro nustatyta tvarka ir terminais pagal įstaigos dokumentacijos planą.</w:t>
      </w:r>
    </w:p>
    <w:p w14:paraId="33F4D78D" w14:textId="77777777" w:rsidR="007A2A3A" w:rsidRPr="007A2A3A" w:rsidRDefault="007A2A3A" w:rsidP="007A2A3A">
      <w:pPr>
        <w:rPr>
          <w:rFonts w:ascii="Calibri" w:eastAsia="Times New Roman" w:hAnsi="Calibri" w:cs="Times New Roman"/>
        </w:rPr>
      </w:pPr>
    </w:p>
    <w:p w14:paraId="2B84F768" w14:textId="77777777" w:rsidR="007A2A3A" w:rsidRPr="00E957CD" w:rsidRDefault="007A2A3A" w:rsidP="00997E25">
      <w:pPr>
        <w:rPr>
          <w:sz w:val="20"/>
          <w:szCs w:val="20"/>
        </w:rPr>
      </w:pPr>
    </w:p>
    <w:sectPr w:rsidR="007A2A3A" w:rsidRPr="00E957CD" w:rsidSect="000C13F9">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4C80F" w14:textId="77777777" w:rsidR="00061543" w:rsidRDefault="00061543" w:rsidP="00D05666">
      <w:r>
        <w:separator/>
      </w:r>
    </w:p>
  </w:endnote>
  <w:endnote w:type="continuationSeparator" w:id="0">
    <w:p w14:paraId="01A6387F" w14:textId="77777777" w:rsidR="00061543" w:rsidRDefault="00061543" w:rsidP="00D05666">
      <w:r>
        <w:continuationSeparator/>
      </w:r>
    </w:p>
  </w:endnote>
  <w:endnote w:type="continuationNotice" w:id="1">
    <w:p w14:paraId="760522AE" w14:textId="77777777" w:rsidR="00061543" w:rsidRDefault="00061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930663"/>
      <w:docPartObj>
        <w:docPartGallery w:val="Page Numbers (Bottom of Page)"/>
        <w:docPartUnique/>
      </w:docPartObj>
    </w:sdtPr>
    <w:sdtEndPr>
      <w:rPr>
        <w:noProof/>
      </w:rPr>
    </w:sdtEndPr>
    <w:sdtContent>
      <w:p w14:paraId="3C853AB6" w14:textId="492CB149" w:rsidR="00061543" w:rsidRDefault="00061543">
        <w:pPr>
          <w:pStyle w:val="Footer"/>
          <w:jc w:val="right"/>
        </w:pPr>
        <w:r>
          <w:fldChar w:fldCharType="begin"/>
        </w:r>
        <w:r>
          <w:instrText xml:space="preserve"> PAGE   \* MERGEFORMAT </w:instrText>
        </w:r>
        <w:r>
          <w:fldChar w:fldCharType="separate"/>
        </w:r>
        <w:r w:rsidR="006B6617">
          <w:rPr>
            <w:noProof/>
          </w:rPr>
          <w:t>22</w:t>
        </w:r>
        <w:r>
          <w:rPr>
            <w:noProof/>
          </w:rPr>
          <w:fldChar w:fldCharType="end"/>
        </w:r>
      </w:p>
    </w:sdtContent>
  </w:sdt>
  <w:p w14:paraId="384D48BF" w14:textId="77777777" w:rsidR="00061543" w:rsidRDefault="0006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F1E0" w14:textId="0B67A325" w:rsidR="00061543" w:rsidRDefault="00061543">
    <w:pPr>
      <w:pStyle w:val="Footer"/>
      <w:jc w:val="right"/>
    </w:pPr>
  </w:p>
  <w:p w14:paraId="2575BBBA" w14:textId="77777777" w:rsidR="00061543" w:rsidRDefault="00061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9759FCC" w:rsidR="00061543" w:rsidRDefault="00061543">
    <w:pPr>
      <w:pStyle w:val="Footer"/>
      <w:jc w:val="right"/>
    </w:pPr>
    <w:r>
      <w:t>7</w:t>
    </w:r>
  </w:p>
  <w:p w14:paraId="0B840016" w14:textId="77777777" w:rsidR="00061543" w:rsidRDefault="0006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97E9F" w14:textId="77777777" w:rsidR="00061543" w:rsidRDefault="00061543" w:rsidP="00D05666">
      <w:r>
        <w:separator/>
      </w:r>
    </w:p>
  </w:footnote>
  <w:footnote w:type="continuationSeparator" w:id="0">
    <w:p w14:paraId="6611A331" w14:textId="77777777" w:rsidR="00061543" w:rsidRDefault="00061543" w:rsidP="00D05666">
      <w:r>
        <w:continuationSeparator/>
      </w:r>
    </w:p>
  </w:footnote>
  <w:footnote w:type="continuationNotice" w:id="1">
    <w:p w14:paraId="38C8980B" w14:textId="77777777" w:rsidR="00061543" w:rsidRDefault="00061543">
      <w:pPr>
        <w:spacing w:after="0" w:line="240" w:lineRule="auto"/>
      </w:pPr>
    </w:p>
  </w:footnote>
  <w:footnote w:id="2">
    <w:p w14:paraId="236A0D39" w14:textId="77777777" w:rsidR="00061543" w:rsidRPr="00320F61" w:rsidRDefault="00061543"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061543" w:rsidRPr="000B3F84" w:rsidRDefault="00061543"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061543" w:rsidRPr="000B3F84" w:rsidRDefault="00061543" w:rsidP="007B48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06D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E77488C"/>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F316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DB0D2D"/>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83495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79127E"/>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150B71"/>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29"/>
  </w:num>
  <w:num w:numId="4">
    <w:abstractNumId w:val="22"/>
  </w:num>
  <w:num w:numId="5">
    <w:abstractNumId w:val="33"/>
  </w:num>
  <w:num w:numId="6">
    <w:abstractNumId w:val="34"/>
  </w:num>
  <w:num w:numId="7">
    <w:abstractNumId w:val="21"/>
  </w:num>
  <w:num w:numId="8">
    <w:abstractNumId w:val="31"/>
  </w:num>
  <w:num w:numId="9">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27"/>
  </w:num>
  <w:num w:numId="13">
    <w:abstractNumId w:val="7"/>
  </w:num>
  <w:num w:numId="14">
    <w:abstractNumId w:val="2"/>
  </w:num>
  <w:num w:numId="15">
    <w:abstractNumId w:val="25"/>
  </w:num>
  <w:num w:numId="16">
    <w:abstractNumId w:val="15"/>
  </w:num>
  <w:num w:numId="17">
    <w:abstractNumId w:val="37"/>
  </w:num>
  <w:num w:numId="18">
    <w:abstractNumId w:val="4"/>
  </w:num>
  <w:num w:numId="19">
    <w:abstractNumId w:val="30"/>
  </w:num>
  <w:num w:numId="20">
    <w:abstractNumId w:val="8"/>
  </w:num>
  <w:num w:numId="21">
    <w:abstractNumId w:val="9"/>
  </w:num>
  <w:num w:numId="22">
    <w:abstractNumId w:val="18"/>
  </w:num>
  <w:num w:numId="23">
    <w:abstractNumId w:val="32"/>
  </w:num>
  <w:num w:numId="24">
    <w:abstractNumId w:val="20"/>
  </w:num>
  <w:num w:numId="25">
    <w:abstractNumId w:val="6"/>
  </w:num>
  <w:num w:numId="26">
    <w:abstractNumId w:val="26"/>
  </w:num>
  <w:num w:numId="27">
    <w:abstractNumId w:val="1"/>
  </w:num>
  <w:num w:numId="28">
    <w:abstractNumId w:val="0"/>
  </w:num>
  <w:num w:numId="29">
    <w:abstractNumId w:val="17"/>
  </w:num>
  <w:num w:numId="30">
    <w:abstractNumId w:val="23"/>
  </w:num>
  <w:num w:numId="31">
    <w:abstractNumId w:val="24"/>
  </w:num>
  <w:num w:numId="32">
    <w:abstractNumId w:val="10"/>
  </w:num>
  <w:num w:numId="33">
    <w:abstractNumId w:val="3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5"/>
  </w:num>
  <w:num w:numId="37">
    <w:abstractNumId w:val="28"/>
  </w:num>
  <w:num w:numId="38">
    <w:abstractNumId w:val="11"/>
  </w:num>
  <w:num w:numId="39">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54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B"/>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C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CB"/>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DF3"/>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12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30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E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2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B4"/>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54"/>
    <w:rsid w:val="00570722"/>
    <w:rsid w:val="0057158C"/>
    <w:rsid w:val="005717E5"/>
    <w:rsid w:val="005717E7"/>
    <w:rsid w:val="0057188A"/>
    <w:rsid w:val="00571EE0"/>
    <w:rsid w:val="00572AF3"/>
    <w:rsid w:val="00574529"/>
    <w:rsid w:val="005753B6"/>
    <w:rsid w:val="00575DFE"/>
    <w:rsid w:val="005769FF"/>
    <w:rsid w:val="005771E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6617"/>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3156"/>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866"/>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B1"/>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5EE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18"/>
    <w:rsid w:val="00B9103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46"/>
    <w:rsid w:val="00C52086"/>
    <w:rsid w:val="00C52854"/>
    <w:rsid w:val="00C52A24"/>
    <w:rsid w:val="00C544C8"/>
    <w:rsid w:val="00C54574"/>
    <w:rsid w:val="00C56765"/>
    <w:rsid w:val="00C5701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C29"/>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7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25CE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5C"/>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A3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 w:type="table" w:customStyle="1" w:styleId="TableGrid6">
    <w:name w:val="Table Grid6"/>
    <w:basedOn w:val="TableNormal"/>
    <w:next w:val="TableGrid"/>
    <w:uiPriority w:val="39"/>
    <w:rsid w:val="005421B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www.kam.l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3.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C124D9A-16B4-4605-9836-289B9084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10086</Words>
  <Characters>57495</Characters>
  <Application>Microsoft Office Word</Application>
  <DocSecurity>4</DocSecurity>
  <Lines>479</Lines>
  <Paragraphs>134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2</cp:revision>
  <dcterms:created xsi:type="dcterms:W3CDTF">2025-12-18T09:39:00Z</dcterms:created>
  <dcterms:modified xsi:type="dcterms:W3CDTF">2025-12-18T09:39:00Z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-315991033</vt:i4>
  </property>
</Properties>
</file>