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2D128BA" w14:textId="7C977D82" w:rsidR="0081425A" w:rsidRPr="008E7CF8" w:rsidRDefault="0081425A" w:rsidP="0081425A">
            <w:pPr>
              <w:rPr>
                <w:b/>
                <w:bCs/>
                <w:color w:val="767171" w:themeColor="background2" w:themeShade="80"/>
                <w:kern w:val="2"/>
                <w:szCs w:val="24"/>
              </w:rPr>
            </w:pP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(Taikoma </w:t>
            </w:r>
            <w:r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4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 xml:space="preserve"> </w:t>
            </w:r>
            <w:r w:rsidRPr="00B3260C">
              <w:rPr>
                <w:b/>
                <w:bCs/>
                <w:color w:val="767171" w:themeColor="background2" w:themeShade="80"/>
                <w:kern w:val="2"/>
                <w:szCs w:val="24"/>
                <w:highlight w:val="lightGray"/>
              </w:rPr>
              <w:t>Pirkimo daliai)</w:t>
            </w:r>
            <w:r w:rsidRPr="008E7CF8">
              <w:rPr>
                <w:b/>
                <w:bCs/>
                <w:color w:val="767171" w:themeColor="background2" w:themeShade="80"/>
                <w:kern w:val="2"/>
                <w:szCs w:val="24"/>
              </w:rPr>
              <w:t xml:space="preserve"> </w:t>
            </w:r>
          </w:p>
          <w:p w14:paraId="3DA366E5" w14:textId="4F761360" w:rsidR="0081425A" w:rsidRDefault="002D20DC" w:rsidP="008B1CDF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</w:t>
            </w:r>
            <w:r w:rsidR="0081425A" w:rsidRPr="008E7CF8">
              <w:rPr>
                <w:b/>
                <w:szCs w:val="24"/>
                <w:lang w:eastAsia="lt-LT"/>
              </w:rPr>
              <w:t>ompiuteri</w:t>
            </w:r>
            <w:r>
              <w:rPr>
                <w:b/>
                <w:szCs w:val="24"/>
                <w:lang w:eastAsia="lt-LT"/>
              </w:rPr>
              <w:t>s „C1“</w:t>
            </w:r>
          </w:p>
          <w:p w14:paraId="0FD65D94" w14:textId="3A241BD5" w:rsidR="008B1CDF" w:rsidRPr="00711567" w:rsidRDefault="008B1CDF" w:rsidP="008B1CDF">
            <w:pPr>
              <w:jc w:val="both"/>
              <w:rPr>
                <w:b/>
                <w:bCs/>
                <w:color w:val="767171" w:themeColor="background2" w:themeShade="80"/>
                <w:kern w:val="2"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12A85C7A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532DA2B0" w:rsidR="005A5832" w:rsidRPr="007D490A" w:rsidRDefault="00711567" w:rsidP="00AF0AC7">
            <w:pPr>
              <w:jc w:val="both"/>
              <w:rPr>
                <w:i/>
                <w:kern w:val="2"/>
                <w:sz w:val="22"/>
                <w:szCs w:val="22"/>
                <w:highlight w:val="lightGray"/>
              </w:rPr>
            </w:pPr>
            <w:r w:rsidRPr="007D490A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3A956B5D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711567" w:rsidRPr="00086B5F" w:rsidRDefault="00711567" w:rsidP="00711567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1144A4E2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11761A44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ADA63F6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2739DC9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1D04905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5E8E3F8C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1228CC15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4229FC86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5FC971AD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  <w:tr w:rsidR="00711567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711567" w:rsidRPr="00086B5F" w:rsidRDefault="00711567" w:rsidP="007115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4E1AE140" w:rsidR="00711567" w:rsidRPr="00086B5F" w:rsidRDefault="00711567" w:rsidP="00711567">
            <w:pPr>
              <w:jc w:val="both"/>
              <w:rPr>
                <w:kern w:val="2"/>
                <w:sz w:val="22"/>
                <w:szCs w:val="22"/>
              </w:rPr>
            </w:pPr>
            <w:r w:rsidRPr="000A3953">
              <w:rPr>
                <w:i/>
                <w:kern w:val="2"/>
                <w:sz w:val="22"/>
                <w:szCs w:val="22"/>
                <w:highlight w:val="lightGray"/>
              </w:rPr>
              <w:t>(Įrašyti)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DE60B0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D490A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DE60B0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6B3012D" w:rsidR="002F2CDA" w:rsidRDefault="002F2CDA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6C40DC13" w14:textId="77777777" w:rsidR="00CB043C" w:rsidRPr="0008006B" w:rsidRDefault="00CB043C" w:rsidP="61DA09A8">
            <w:pPr>
              <w:pStyle w:val="CommentText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</w:p>
          <w:p w14:paraId="41737144" w14:textId="56AD4AE9" w:rsidR="002F2CDA" w:rsidRPr="0008006B" w:rsidRDefault="002F2CDA" w:rsidP="0008006B">
            <w:pPr>
              <w:pStyle w:val="CommentText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Pr="61DA09A8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vardas, pavardė, tel., el. paštas)</w:t>
            </w:r>
            <w:r w:rsidRPr="61DA09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DE60B0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500F9AC1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211DB2FA" w14:textId="77777777" w:rsidTr="00DE60B0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3. SUTARTIES DALYKAS</w:t>
            </w:r>
          </w:p>
        </w:tc>
      </w:tr>
      <w:tr w:rsidR="005A5832" w:rsidRPr="00086B5F" w14:paraId="31901FED" w14:textId="77777777" w:rsidTr="00DE60B0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4D507E5F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711567" w:rsidRPr="007D490A">
              <w:rPr>
                <w:iCs/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6D9D8319" w14:textId="4B64F6FE" w:rsidR="00041420" w:rsidRPr="008E7CF8" w:rsidRDefault="00041420" w:rsidP="00041420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8E7CF8">
              <w:rPr>
                <w:i/>
                <w:color w:val="000000" w:themeColor="text1"/>
                <w:kern w:val="2"/>
                <w:sz w:val="22"/>
                <w:szCs w:val="22"/>
              </w:rPr>
              <w:t>(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Taikoma </w:t>
            </w:r>
            <w:r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>4</w:t>
            </w:r>
            <w:r w:rsidRPr="008E7CF8"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Pirkimo </w:t>
            </w:r>
            <w:r w:rsidRPr="008E7CF8">
              <w:rPr>
                <w:rFonts w:cstheme="minorHAnsi"/>
                <w:i/>
                <w:sz w:val="22"/>
                <w:szCs w:val="22"/>
                <w:highlight w:val="lightGray"/>
              </w:rPr>
              <w:t>daliai</w:t>
            </w:r>
            <w:r w:rsidRPr="008E7CF8">
              <w:rPr>
                <w:rFonts w:cstheme="minorHAnsi"/>
                <w:i/>
                <w:sz w:val="22"/>
                <w:szCs w:val="22"/>
              </w:rPr>
              <w:t>)</w:t>
            </w:r>
            <w:r w:rsidRPr="008E7CF8">
              <w:rPr>
                <w:rFonts w:cstheme="minorHAnsi"/>
                <w:sz w:val="22"/>
                <w:szCs w:val="22"/>
              </w:rPr>
              <w:t xml:space="preserve"> kompiuteris</w:t>
            </w:r>
            <w:r w:rsidR="00CE5750">
              <w:rPr>
                <w:rFonts w:cstheme="minorHAnsi"/>
                <w:sz w:val="22"/>
                <w:szCs w:val="22"/>
              </w:rPr>
              <w:t xml:space="preserve"> „C1“</w:t>
            </w:r>
            <w:r>
              <w:rPr>
                <w:rFonts w:cstheme="minorHAnsi"/>
                <w:sz w:val="22"/>
                <w:szCs w:val="22"/>
              </w:rPr>
              <w:t>, įskaitant jų sumontavimą ir instaliavimą Pirkėjo nurodytose patalpose</w:t>
            </w:r>
            <w:r w:rsidRPr="008E7CF8">
              <w:rPr>
                <w:rFonts w:cstheme="minorHAnsi"/>
                <w:sz w:val="22"/>
                <w:szCs w:val="22"/>
              </w:rPr>
              <w:t xml:space="preserve"> </w:t>
            </w:r>
            <w:r w:rsidRPr="008E7CF8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8E7CF8">
              <w:rPr>
                <w:b/>
                <w:color w:val="000000"/>
                <w:kern w:val="2"/>
                <w:sz w:val="22"/>
                <w:szCs w:val="22"/>
              </w:rPr>
              <w:t>Prekės</w:t>
            </w:r>
            <w:r w:rsidRPr="008E7CF8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09E775F2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Pr="00711567">
              <w:rPr>
                <w:color w:val="000000"/>
                <w:kern w:val="2"/>
                <w:sz w:val="22"/>
                <w:szCs w:val="22"/>
              </w:rPr>
              <w:t>Nr</w:t>
            </w:r>
            <w:r w:rsidRPr="007D490A">
              <w:rPr>
                <w:color w:val="000000"/>
                <w:kern w:val="2"/>
                <w:sz w:val="22"/>
                <w:szCs w:val="22"/>
              </w:rPr>
              <w:t>.</w:t>
            </w:r>
            <w:r w:rsidR="00711567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041420" w:rsidRPr="00711567">
              <w:rPr>
                <w:color w:val="000000"/>
                <w:kern w:val="2"/>
                <w:sz w:val="22"/>
                <w:szCs w:val="22"/>
              </w:rPr>
              <w:t>1</w:t>
            </w:r>
            <w:r w:rsidRPr="00711567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711567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AB362F" w:rsidRPr="007D490A">
              <w:rPr>
                <w:color w:val="000000"/>
                <w:kern w:val="2"/>
                <w:sz w:val="22"/>
                <w:szCs w:val="22"/>
              </w:rPr>
              <w:t>2</w:t>
            </w:r>
            <w:r w:rsidRPr="007D490A">
              <w:rPr>
                <w:i/>
                <w:iCs/>
                <w:color w:val="000000"/>
                <w:kern w:val="2"/>
                <w:sz w:val="22"/>
                <w:szCs w:val="22"/>
              </w:rPr>
              <w:t>_</w:t>
            </w:r>
            <w:r w:rsidRPr="00711567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711567">
              <w:rPr>
                <w:color w:val="000000"/>
                <w:kern w:val="2"/>
                <w:sz w:val="22"/>
                <w:szCs w:val="22"/>
              </w:rPr>
              <w:t>Tiekėjo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DE60B0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5F76ACCD" w:rsidR="005A5832" w:rsidRPr="00086B5F" w:rsidRDefault="00E05B26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711567">
              <w:rPr>
                <w:kern w:val="2"/>
                <w:sz w:val="22"/>
                <w:szCs w:val="22"/>
              </w:rPr>
              <w:t>„</w:t>
            </w:r>
            <w:r w:rsidRPr="007D490A">
              <w:rPr>
                <w:kern w:val="2"/>
                <w:sz w:val="22"/>
                <w:szCs w:val="22"/>
              </w:rPr>
              <w:t>.</w:t>
            </w:r>
            <w:r w:rsidR="00A2718B" w:rsidRPr="007D490A">
              <w:rPr>
                <w:kern w:val="2"/>
                <w:sz w:val="22"/>
                <w:szCs w:val="22"/>
              </w:rPr>
              <w:t>Kompiuterinė įranga</w:t>
            </w:r>
            <w:r w:rsidRPr="00711567">
              <w:rPr>
                <w:kern w:val="2"/>
                <w:sz w:val="22"/>
                <w:szCs w:val="22"/>
              </w:rPr>
              <w:t>“</w:t>
            </w:r>
            <w:r>
              <w:rPr>
                <w:kern w:val="2"/>
                <w:sz w:val="22"/>
                <w:szCs w:val="22"/>
              </w:rPr>
              <w:t xml:space="preserve"> CVPIS ID. </w:t>
            </w:r>
            <w:r w:rsidR="00CD3068">
              <w:rPr>
                <w:kern w:val="2"/>
                <w:sz w:val="22"/>
                <w:szCs w:val="22"/>
              </w:rPr>
              <w:t>5853653</w:t>
            </w:r>
            <w:r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2"/>
                <w:sz w:val="22"/>
                <w:szCs w:val="22"/>
              </w:rPr>
              <w:t>EcoCost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Nr. </w:t>
            </w:r>
            <w:r w:rsidR="00664108">
              <w:rPr>
                <w:kern w:val="2"/>
                <w:sz w:val="22"/>
                <w:szCs w:val="22"/>
              </w:rPr>
              <w:t>14540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00C06AEA" w14:textId="77777777" w:rsidTr="007D490A">
        <w:trPr>
          <w:trHeight w:val="1016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2F476EA3" w14:textId="3029C0C8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Europos Sąjungos lėšomis bendrai finansuojamo projekto Nr. </w:t>
            </w:r>
            <w:r w:rsidR="00743D92" w:rsidRPr="007D490A">
              <w:rPr>
                <w:kern w:val="2"/>
                <w:sz w:val="22"/>
                <w:szCs w:val="22"/>
              </w:rPr>
              <w:t>10-042-P-0001</w:t>
            </w:r>
            <w:r w:rsidRPr="007D490A">
              <w:rPr>
                <w:kern w:val="2"/>
                <w:sz w:val="22"/>
                <w:szCs w:val="22"/>
              </w:rPr>
              <w:t>,</w:t>
            </w:r>
            <w:r w:rsidRPr="00711567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711567">
              <w:rPr>
                <w:kern w:val="2"/>
                <w:sz w:val="22"/>
                <w:szCs w:val="22"/>
              </w:rPr>
              <w:t>pa</w:t>
            </w:r>
            <w:r w:rsidRPr="00086B5F">
              <w:rPr>
                <w:kern w:val="2"/>
                <w:sz w:val="22"/>
                <w:szCs w:val="22"/>
              </w:rPr>
              <w:t>vadinimas</w:t>
            </w:r>
            <w:r w:rsidR="00597DE4">
              <w:rPr>
                <w:sz w:val="22"/>
                <w:szCs w:val="22"/>
              </w:rPr>
              <w:t xml:space="preserve"> „Dirbtinio intelekto kompetencijos centras tvariam gyvenimui ir darbui (</w:t>
            </w:r>
            <w:proofErr w:type="spellStart"/>
            <w:r w:rsidR="00597DE4">
              <w:rPr>
                <w:sz w:val="22"/>
                <w:szCs w:val="22"/>
              </w:rPr>
              <w:t>SustAInLivWork</w:t>
            </w:r>
            <w:proofErr w:type="spellEnd"/>
            <w:r w:rsidR="00597DE4">
              <w:rPr>
                <w:sz w:val="22"/>
                <w:szCs w:val="22"/>
              </w:rPr>
              <w:t>)“</w:t>
            </w:r>
            <w:r w:rsidR="00C17482">
              <w:rPr>
                <w:sz w:val="22"/>
                <w:szCs w:val="22"/>
              </w:rPr>
              <w:t>.</w:t>
            </w:r>
          </w:p>
          <w:p w14:paraId="4FFEE5BD" w14:textId="294608FB" w:rsidR="005A5832" w:rsidRPr="0008006B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DE60B0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DE60B0">
        <w:trPr>
          <w:trHeight w:val="300"/>
        </w:trPr>
        <w:tc>
          <w:tcPr>
            <w:tcW w:w="2704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240CD5C2" w:rsidR="005A5832" w:rsidRPr="00086B5F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937E74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1</w:t>
            </w:r>
            <w:r w:rsidR="00472D72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937E74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vien</w:t>
            </w:r>
            <w:r w:rsidR="00A63C50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ą</w:t>
            </w:r>
            <w:r w:rsidR="00472D72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) mėnes</w:t>
            </w:r>
            <w:r w:rsidR="00A63C50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į</w:t>
            </w:r>
            <w:r w:rsidR="00472D72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nuo Sutarties įsigaliojimo dienos </w:t>
            </w:r>
            <w:r w:rsidR="00711567">
              <w:rPr>
                <w:color w:val="000000" w:themeColor="text1"/>
                <w:kern w:val="2"/>
                <w:sz w:val="22"/>
                <w:szCs w:val="22"/>
              </w:rPr>
              <w:t>T</w:t>
            </w:r>
            <w:r w:rsidR="00100F9F">
              <w:rPr>
                <w:color w:val="000000" w:themeColor="text1"/>
                <w:kern w:val="2"/>
                <w:sz w:val="22"/>
                <w:szCs w:val="22"/>
              </w:rPr>
              <w:t>echninėje specifikacijoje numatytu adresu.</w:t>
            </w:r>
          </w:p>
          <w:p w14:paraId="3B3613F4" w14:textId="7A8BF8D3" w:rsidR="0054557C" w:rsidRPr="00086B5F" w:rsidRDefault="0054557C" w:rsidP="00016A65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2E203811" w14:textId="141DD2FC" w:rsidR="005A5832" w:rsidRPr="0008006B" w:rsidRDefault="0054557C" w:rsidP="007D490A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*</w:t>
            </w:r>
            <w:r w:rsidRPr="00086B5F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</w:tc>
      </w:tr>
      <w:tr w:rsidR="005A5832" w:rsidRPr="00086B5F" w14:paraId="5E1D61E9" w14:textId="77777777" w:rsidTr="00DE60B0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2350DB70" w14:textId="2F09AC6C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01E8691" w14:textId="0E770E66" w:rsidR="00C805D6" w:rsidRPr="00086B5F" w:rsidRDefault="00C805D6" w:rsidP="00472D7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DE60B0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5692CAB6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06AA4A73" w14:textId="790F6601" w:rsidR="002C1549" w:rsidRPr="00086B5F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1F1594" w14:textId="77777777" w:rsidTr="00DE60B0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35E0628" w14:textId="25DC1B3A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F0E6CF" w14:textId="77777777" w:rsidTr="00DE60B0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51D9F96E" w14:textId="77777777" w:rsidR="00C805D6" w:rsidRPr="00086B5F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77777777" w:rsidR="00C805D6" w:rsidRPr="00711567" w:rsidRDefault="00A10867" w:rsidP="00215FEB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D490A">
              <w:rPr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7D490A">
              <w:rPr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805D6" w:rsidRPr="00711567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5483DE87" w14:textId="1B7145C0" w:rsidR="00C805D6" w:rsidRPr="0008006B" w:rsidRDefault="00897ED2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CD1C34">
              <w:rPr>
                <w:sz w:val="22"/>
                <w:szCs w:val="22"/>
              </w:rPr>
              <w:t>Prekių antrinės pakuotės tinkamumą perdirbti (</w:t>
            </w:r>
            <w:proofErr w:type="spellStart"/>
            <w:r w:rsidRPr="00CD1C34">
              <w:rPr>
                <w:sz w:val="22"/>
                <w:szCs w:val="22"/>
              </w:rPr>
              <w:t>perdirbamumą</w:t>
            </w:r>
            <w:proofErr w:type="spellEnd"/>
            <w:r w:rsidRPr="00CD1C34">
              <w:rPr>
                <w:sz w:val="22"/>
                <w:szCs w:val="22"/>
              </w:rPr>
              <w:t>) patvirtinantys dokumentai (</w:t>
            </w:r>
            <w:r w:rsidRPr="00CD1C34">
              <w:rPr>
                <w:i/>
                <w:sz w:val="22"/>
                <w:szCs w:val="22"/>
              </w:rPr>
              <w:t>taikoma, jei Prekės bus supakuotos į antrinę pakuotę</w:t>
            </w:r>
            <w:r w:rsidRPr="00A40110">
              <w:rPr>
                <w:sz w:val="22"/>
                <w:szCs w:val="22"/>
              </w:rPr>
              <w:t>).</w:t>
            </w:r>
          </w:p>
          <w:p w14:paraId="669BCD58" w14:textId="77777777" w:rsidR="00C805D6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*N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DE60B0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 SUTARTIES KAINA IR ATSISKAITYMO TVARKA</w:t>
            </w:r>
          </w:p>
        </w:tc>
      </w:tr>
      <w:tr w:rsidR="005A5832" w:rsidRPr="00086B5F" w14:paraId="5C4AAE35" w14:textId="77777777" w:rsidTr="00DE60B0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5A57259C" w14:textId="15420962" w:rsidR="005A5832" w:rsidRPr="00086B5F" w:rsidRDefault="005A5832" w:rsidP="007D5723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DE60B0">
        <w:trPr>
          <w:trHeight w:val="300"/>
        </w:trPr>
        <w:tc>
          <w:tcPr>
            <w:tcW w:w="2704" w:type="dxa"/>
          </w:tcPr>
          <w:p w14:paraId="380A0D9B" w14:textId="77777777" w:rsidR="005A5832" w:rsidRPr="007D490A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D490A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7D490A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7D490A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7D490A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7D490A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7D490A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7D490A" w:rsidRDefault="005A5832" w:rsidP="002527E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7D490A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7D490A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 sumą skaičiais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7D490A">
              <w:rPr>
                <w:kern w:val="2"/>
                <w:sz w:val="22"/>
                <w:szCs w:val="22"/>
              </w:rPr>
              <w:t xml:space="preserve">Eur,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sumą žodžiais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7D490A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7D490A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D490A">
              <w:rPr>
                <w:kern w:val="2"/>
                <w:sz w:val="22"/>
                <w:szCs w:val="22"/>
              </w:rPr>
              <w:t xml:space="preserve">PVM sudaro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 sumą skaičiais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7D490A">
              <w:rPr>
                <w:kern w:val="2"/>
                <w:sz w:val="22"/>
                <w:szCs w:val="22"/>
              </w:rPr>
              <w:t xml:space="preserve">Eur,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 sumą žodžiais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7D490A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7D490A">
              <w:rPr>
                <w:kern w:val="2"/>
                <w:sz w:val="22"/>
                <w:szCs w:val="22"/>
              </w:rPr>
              <w:t xml:space="preserve">Sutarties kaina yra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 sumą skaičiais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7D490A">
              <w:rPr>
                <w:kern w:val="2"/>
                <w:sz w:val="22"/>
                <w:szCs w:val="22"/>
              </w:rPr>
              <w:t xml:space="preserve"> Eur,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7D490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 sumą žodžiais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7D490A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7D490A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7D490A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D490A">
              <w:rPr>
                <w:kern w:val="2"/>
                <w:sz w:val="22"/>
                <w:szCs w:val="22"/>
              </w:rPr>
              <w:t>*</w:t>
            </w:r>
            <w:r w:rsidR="00A10867" w:rsidRPr="007D490A">
              <w:rPr>
                <w:kern w:val="2"/>
                <w:sz w:val="22"/>
                <w:szCs w:val="22"/>
              </w:rPr>
              <w:t>Šioje Sutartyje P</w:t>
            </w:r>
            <w:r w:rsidR="00A10867" w:rsidRPr="007D490A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711567">
        <w:trPr>
          <w:trHeight w:val="633"/>
        </w:trPr>
        <w:tc>
          <w:tcPr>
            <w:tcW w:w="2704" w:type="dxa"/>
          </w:tcPr>
          <w:p w14:paraId="5A0DD655" w14:textId="132DBFEE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</w:tc>
        <w:tc>
          <w:tcPr>
            <w:tcW w:w="6930" w:type="dxa"/>
            <w:gridSpan w:val="2"/>
          </w:tcPr>
          <w:p w14:paraId="042F3175" w14:textId="77777777" w:rsidR="00711567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kaina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>bus perskaičiuojam</w:t>
            </w:r>
            <w:r w:rsidR="00A85949">
              <w:rPr>
                <w:kern w:val="2"/>
                <w:sz w:val="22"/>
                <w:szCs w:val="22"/>
              </w:rPr>
              <w:t>a</w:t>
            </w:r>
            <w:r w:rsidRPr="00086B5F">
              <w:rPr>
                <w:kern w:val="2"/>
                <w:sz w:val="22"/>
                <w:szCs w:val="22"/>
              </w:rPr>
              <w:t>:</w:t>
            </w:r>
            <w:r w:rsidR="007068EC">
              <w:rPr>
                <w:kern w:val="2"/>
                <w:sz w:val="22"/>
                <w:szCs w:val="22"/>
              </w:rPr>
              <w:t xml:space="preserve"> </w:t>
            </w:r>
          </w:p>
          <w:p w14:paraId="6FAC7917" w14:textId="638D9B28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</w:t>
            </w:r>
            <w:r w:rsidR="00711567">
              <w:rPr>
                <w:kern w:val="2"/>
                <w:sz w:val="22"/>
                <w:szCs w:val="22"/>
              </w:rPr>
              <w:t>.</w:t>
            </w:r>
          </w:p>
          <w:p w14:paraId="1E50BEC5" w14:textId="694FF8C4" w:rsidR="005A5832" w:rsidRPr="00086B5F" w:rsidRDefault="005A5832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EC723A1" w14:textId="77777777" w:rsidTr="00DE60B0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DE60B0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366F0BC" w14:textId="47E60368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DE60B0">
        <w:trPr>
          <w:trHeight w:val="300"/>
        </w:trPr>
        <w:tc>
          <w:tcPr>
            <w:tcW w:w="2704" w:type="dxa"/>
          </w:tcPr>
          <w:p w14:paraId="40F22A52" w14:textId="51F8F93D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</w:tc>
        <w:tc>
          <w:tcPr>
            <w:tcW w:w="6930" w:type="dxa"/>
            <w:gridSpan w:val="2"/>
          </w:tcPr>
          <w:p w14:paraId="254E646E" w14:textId="77777777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07F7DEE8" w14:textId="40FE3F2A" w:rsidR="004319B4" w:rsidRPr="00086B5F" w:rsidRDefault="004319B4" w:rsidP="00E371DE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DE60B0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DE60B0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C2FF02" w14:textId="26723844" w:rsidR="004319B4" w:rsidRPr="00086B5F" w:rsidRDefault="004319B4" w:rsidP="00494E8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DE60B0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73DFC5FC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711567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D490A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C115AF" w:rsidRPr="007D490A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DE60B0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5741DFA2" w:rsidR="005A5832" w:rsidRPr="00086B5F" w:rsidRDefault="00A10867" w:rsidP="00711567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DE60B0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661BE58A" w:rsidR="005A5832" w:rsidRPr="00086B5F" w:rsidRDefault="00A10867" w:rsidP="00C115A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DE60B0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4A864784" w:rsidR="00862AE6" w:rsidRPr="00086B5F" w:rsidRDefault="00A10867" w:rsidP="00084BA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Prekėms nustatomas </w:t>
            </w:r>
            <w:r w:rsidR="00B25D35" w:rsidRPr="007D490A">
              <w:rPr>
                <w:color w:val="000000" w:themeColor="text1"/>
                <w:kern w:val="2"/>
                <w:sz w:val="22"/>
                <w:szCs w:val="22"/>
              </w:rPr>
              <w:t>Techninėje specifikacijoje nustatytas</w:t>
            </w:r>
            <w:r w:rsidR="00B25D35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garantinis terminas, kuris yra</w:t>
            </w:r>
            <w:r w:rsidR="00711567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A63C50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12</w:t>
            </w:r>
            <w:r w:rsidR="00A7694A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63C50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dvylika</w:t>
            </w:r>
            <w:r w:rsidR="00A7694A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) mėnesi</w:t>
            </w:r>
            <w:r w:rsidR="00A63C50" w:rsidRPr="007D490A">
              <w:rPr>
                <w:b/>
                <w:color w:val="000000" w:themeColor="text1"/>
                <w:kern w:val="2"/>
                <w:sz w:val="22"/>
                <w:szCs w:val="22"/>
              </w:rPr>
              <w:t>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086B5F">
              <w:rPr>
                <w:kern w:val="2"/>
                <w:sz w:val="22"/>
                <w:szCs w:val="22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086B5F" w14:paraId="56B82456" w14:textId="77777777" w:rsidTr="00DE60B0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36F318C2" w14:textId="7BE449BB" w:rsidR="00A44E2A" w:rsidRDefault="00460B1C" w:rsidP="000B3039">
            <w:pPr>
              <w:jc w:val="both"/>
              <w:rPr>
                <w:kern w:val="2"/>
                <w:sz w:val="22"/>
                <w:szCs w:val="22"/>
              </w:rPr>
            </w:pPr>
            <w:commentRangeStart w:id="0"/>
            <w:r>
              <w:rPr>
                <w:kern w:val="2"/>
                <w:sz w:val="22"/>
                <w:szCs w:val="22"/>
              </w:rPr>
              <w:t>Netaikoma</w:t>
            </w:r>
            <w:commentRangeEnd w:id="0"/>
            <w:r w:rsidR="00711567">
              <w:rPr>
                <w:rStyle w:val="CommentReference"/>
              </w:rPr>
              <w:commentReference w:id="0"/>
            </w:r>
          </w:p>
          <w:p w14:paraId="01C3FC71" w14:textId="6F4611FD" w:rsidR="00A44E2A" w:rsidRPr="00086B5F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6B141B" w:rsidRPr="00086B5F" w14:paraId="4545A2F9" w14:textId="77777777" w:rsidTr="00DE60B0">
        <w:trPr>
          <w:trHeight w:val="300"/>
        </w:trPr>
        <w:tc>
          <w:tcPr>
            <w:tcW w:w="2704" w:type="dxa"/>
          </w:tcPr>
          <w:p w14:paraId="01A3BAF6" w14:textId="73AA9E4C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01481476" w14:textId="39FADAAF" w:rsidR="005B2514" w:rsidRPr="00086B5F" w:rsidRDefault="005B2514" w:rsidP="00EF77E0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D76801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D490A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DE60B0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7BDFB421" w14:textId="7387CFA7" w:rsidR="00BC67D9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Nr. 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“</w:t>
            </w:r>
          </w:p>
        </w:tc>
      </w:tr>
      <w:tr w:rsidR="005A5832" w:rsidRPr="00086B5F" w14:paraId="47D02750" w14:textId="77777777" w:rsidTr="00DE60B0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DE60B0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3061E378" w:rsidR="005A5832" w:rsidRPr="00086B5F" w:rsidRDefault="00A10867" w:rsidP="00940AF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1A429A">
              <w:rPr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DE60B0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0962C2CA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DE60B0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7B0104" w14:textId="15D460CE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DE60B0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DE60B0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7D490A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D490A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7D490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D490A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7D490A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7D490A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D76801">
              <w:rPr>
                <w:color w:val="000000"/>
                <w:kern w:val="2"/>
                <w:sz w:val="22"/>
                <w:szCs w:val="22"/>
              </w:rPr>
              <w:t xml:space="preserve"> delspinigius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8D49456" w14:textId="0F926BA5" w:rsidR="00BC67D9" w:rsidRPr="00086B5F" w:rsidRDefault="00ED2291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</w:tc>
      </w:tr>
      <w:tr w:rsidR="005A5832" w:rsidRPr="00086B5F" w14:paraId="230744DA" w14:textId="77777777" w:rsidTr="00DE60B0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D490A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D490A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7D490A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DE60B0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9.3. Tiekėjui / Pirkėjui taikoma bauda nutraukus Sutartį dėl esminio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7D490A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7D490A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7D490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</w:t>
            </w:r>
            <w:r w:rsidR="00A10867" w:rsidRPr="00086B5F">
              <w:rPr>
                <w:kern w:val="2"/>
                <w:sz w:val="22"/>
                <w:szCs w:val="22"/>
              </w:rPr>
              <w:lastRenderedPageBreak/>
              <w:t xml:space="preserve">nuo Pradinės Sutarties vertės be PVM, nurodytos Specialiųjų sąlygų 5.2 punkte. </w:t>
            </w:r>
          </w:p>
          <w:p w14:paraId="0D54A314" w14:textId="316A8D6B" w:rsidR="005A5832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7D490A">
              <w:rPr>
                <w:kern w:val="2"/>
                <w:sz w:val="22"/>
                <w:szCs w:val="22"/>
              </w:rPr>
              <w:t>10% (dešimties procentų)</w:t>
            </w:r>
            <w:r w:rsidRPr="00D76801">
              <w:rPr>
                <w:kern w:val="2"/>
                <w:sz w:val="22"/>
                <w:szCs w:val="22"/>
              </w:rPr>
              <w:t xml:space="preserve"> p</w:t>
            </w:r>
            <w:r w:rsidRPr="00442EA7">
              <w:rPr>
                <w:kern w:val="2"/>
                <w:sz w:val="22"/>
                <w:szCs w:val="22"/>
              </w:rPr>
              <w:t>rocentų dydžio bauda nuo Pradinės Sutarties vertės, nurodytos Specialiųjų sąlygų 5.2 punkte.</w:t>
            </w:r>
          </w:p>
        </w:tc>
      </w:tr>
      <w:tr w:rsidR="005A5832" w:rsidRPr="00086B5F" w14:paraId="656F9FCC" w14:textId="77777777" w:rsidTr="00DE60B0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DE60B0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630A90C8" w14:textId="07BD9F72" w:rsidR="005A5832" w:rsidRPr="00086B5F" w:rsidRDefault="00024D77" w:rsidP="00024D77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A657CB">
              <w:rPr>
                <w:kern w:val="2"/>
                <w:sz w:val="22"/>
                <w:szCs w:val="22"/>
                <w:shd w:val="clear" w:color="auto" w:fill="FFFFFF"/>
              </w:rPr>
              <w:t xml:space="preserve">Nustačius, kad Tiekėjas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nesilaiko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Techninėje specifikacijoje ir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Sutarties 1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3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.1 punkte nurodytų reikalavimų, už kiekvieno 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atskiro 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pažeidim</w:t>
            </w:r>
            <w:r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o atvejį</w:t>
            </w:r>
            <w:r w:rsidRPr="00A657CB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taikoma 0,1</w:t>
            </w:r>
            <w:r w:rsidRPr="00A657CB">
              <w:rPr>
                <w:color w:val="000000" w:themeColor="text1"/>
                <w:kern w:val="2"/>
                <w:sz w:val="22"/>
                <w:szCs w:val="22"/>
              </w:rPr>
              <w:t xml:space="preserve"> % (vienos dešimtosios) </w:t>
            </w:r>
            <w:r w:rsidRPr="00A657CB">
              <w:rPr>
                <w:kern w:val="2"/>
                <w:sz w:val="22"/>
                <w:szCs w:val="22"/>
              </w:rPr>
              <w:t>nuo Pradinės Sutarties vertės be PVM dydžio bauda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2A193676" w14:textId="77777777" w:rsidTr="00DE60B0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DE60B0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49C3DB2C" w14:textId="50383AC7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DE60B0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34933D72" w14:textId="00E30A0F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DE60B0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78957C90" w:rsidR="005A5832" w:rsidRPr="0008006B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30% (trisdešimties procentų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) nuo Pradinės Sutarties vertės be PVM dydžio bauda.</w:t>
            </w:r>
          </w:p>
        </w:tc>
      </w:tr>
      <w:tr w:rsidR="00CA0497" w:rsidRPr="00086B5F" w14:paraId="34AFCB4B" w14:textId="77777777" w:rsidTr="00DE60B0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DE60B0">
        <w:trPr>
          <w:trHeight w:val="300"/>
        </w:trPr>
        <w:tc>
          <w:tcPr>
            <w:tcW w:w="9634" w:type="dxa"/>
            <w:gridSpan w:val="3"/>
          </w:tcPr>
          <w:p w14:paraId="307B9F7A" w14:textId="7F6F2B7A" w:rsidR="005A5832" w:rsidRPr="00DE60B0" w:rsidRDefault="00A10867">
            <w:pPr>
              <w:jc w:val="both"/>
              <w:rPr>
                <w:b/>
                <w:bCs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  <w:p w14:paraId="0B6E8F8A" w14:textId="362D78AD" w:rsidR="005A5832" w:rsidRPr="00086B5F" w:rsidRDefault="005A583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CA0497" w:rsidRPr="00086B5F" w14:paraId="740C0C91" w14:textId="77777777" w:rsidTr="00DE60B0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lastRenderedPageBreak/>
              <w:t>3.1. punktas - Sutarties dalykas;</w:t>
            </w:r>
          </w:p>
          <w:p w14:paraId="30897437" w14:textId="1983A49D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 punkta</w:t>
            </w:r>
            <w:r w:rsidR="00D76801">
              <w:rPr>
                <w:kern w:val="2"/>
                <w:sz w:val="22"/>
                <w:szCs w:val="22"/>
              </w:rPr>
              <w:t>s</w:t>
            </w:r>
            <w:r w:rsidRPr="0008006B">
              <w:rPr>
                <w:kern w:val="2"/>
                <w:sz w:val="22"/>
                <w:szCs w:val="22"/>
              </w:rPr>
              <w:t xml:space="preserve">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</w:t>
            </w:r>
            <w:r w:rsidR="00D76801">
              <w:rPr>
                <w:kern w:val="2"/>
                <w:sz w:val="22"/>
                <w:szCs w:val="22"/>
              </w:rPr>
              <w:t>;</w:t>
            </w:r>
          </w:p>
          <w:p w14:paraId="34A4C669" w14:textId="4C924E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679FAF11" w14:textId="109A95A2" w:rsidR="00CA0497" w:rsidRPr="00086B5F" w:rsidRDefault="00CA0497" w:rsidP="007D490A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="00D76801">
              <w:rPr>
                <w:kern w:val="2"/>
                <w:sz w:val="22"/>
                <w:szCs w:val="22"/>
              </w:rPr>
              <w:t>.</w:t>
            </w:r>
          </w:p>
        </w:tc>
      </w:tr>
      <w:tr w:rsidR="00CA0497" w:rsidRPr="00086B5F" w14:paraId="33586B2F" w14:textId="77777777" w:rsidTr="00DE60B0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05373E29" w14:textId="5FA46C0F" w:rsidR="0008006B" w:rsidRPr="0008006B" w:rsidRDefault="00B91F89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B3260C">
              <w:rPr>
                <w:sz w:val="22"/>
                <w:szCs w:val="22"/>
              </w:rPr>
              <w:t xml:space="preserve">Tiekėjo uždelsimas, trunkantis daugiau nei </w:t>
            </w:r>
            <w:r w:rsidR="001B60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(</w:t>
            </w:r>
            <w:r w:rsidR="001B6090">
              <w:rPr>
                <w:sz w:val="22"/>
                <w:szCs w:val="22"/>
              </w:rPr>
              <w:t>penkias</w:t>
            </w:r>
            <w:r>
              <w:rPr>
                <w:sz w:val="22"/>
                <w:szCs w:val="22"/>
              </w:rPr>
              <w:t xml:space="preserve">) </w:t>
            </w:r>
            <w:r w:rsidRPr="00B3260C">
              <w:rPr>
                <w:sz w:val="22"/>
                <w:szCs w:val="22"/>
              </w:rPr>
              <w:t>darbo dienas</w:t>
            </w:r>
            <w:r>
              <w:rPr>
                <w:sz w:val="22"/>
                <w:szCs w:val="22"/>
              </w:rPr>
              <w:t>,</w:t>
            </w:r>
            <w:r w:rsidRPr="00B3260C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ie</w:t>
            </w:r>
            <w:r w:rsidRPr="00B3260C">
              <w:rPr>
                <w:sz w:val="22"/>
                <w:szCs w:val="22"/>
              </w:rPr>
              <w:t xml:space="preserve">kti </w:t>
            </w:r>
            <w:r>
              <w:rPr>
                <w:sz w:val="22"/>
                <w:szCs w:val="22"/>
              </w:rPr>
              <w:t>P</w:t>
            </w:r>
            <w:r w:rsidRPr="00B3260C">
              <w:rPr>
                <w:sz w:val="22"/>
                <w:szCs w:val="22"/>
              </w:rPr>
              <w:t xml:space="preserve">rekes </w:t>
            </w:r>
            <w:r>
              <w:rPr>
                <w:sz w:val="22"/>
                <w:szCs w:val="22"/>
              </w:rPr>
              <w:t xml:space="preserve">Sutarties 4.1 punkte </w:t>
            </w:r>
            <w:r w:rsidRPr="00B3260C">
              <w:rPr>
                <w:sz w:val="22"/>
                <w:szCs w:val="22"/>
              </w:rPr>
              <w:t xml:space="preserve"> nu</w:t>
            </w:r>
            <w:r>
              <w:rPr>
                <w:sz w:val="22"/>
                <w:szCs w:val="22"/>
              </w:rPr>
              <w:t>statytais terminais.</w:t>
            </w:r>
            <w:r w:rsidDel="00D74240">
              <w:rPr>
                <w:i/>
                <w:kern w:val="2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AB456F" w:rsidRPr="00086B5F" w14:paraId="20A2100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DE60B0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5D58A24B" w:rsidR="00AB456F" w:rsidRPr="00086B5F" w:rsidRDefault="00AB456F" w:rsidP="00924BC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</w:t>
            </w:r>
            <w:r w:rsidRPr="007D490A">
              <w:rPr>
                <w:b/>
                <w:color w:val="000000"/>
                <w:kern w:val="2"/>
                <w:sz w:val="22"/>
                <w:szCs w:val="22"/>
              </w:rPr>
              <w:t xml:space="preserve">negali būti ilgesnis kaip </w:t>
            </w:r>
            <w:r w:rsidR="008766C6" w:rsidRPr="007D490A">
              <w:rPr>
                <w:b/>
                <w:color w:val="000000"/>
                <w:kern w:val="2"/>
                <w:sz w:val="22"/>
                <w:szCs w:val="22"/>
              </w:rPr>
              <w:t>3 (trys) mėnesiai.</w:t>
            </w:r>
            <w:r w:rsidR="008766C6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AB456F" w:rsidRPr="00086B5F" w14:paraId="26D60B31" w14:textId="77777777" w:rsidTr="00DE60B0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30633D8E" w:rsidR="00AB456F" w:rsidRPr="00086B5F" w:rsidRDefault="00AB456F" w:rsidP="00924BC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46E549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7D490A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1DAC6EB6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7D490A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60DC42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192ABDC6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>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17BF11D9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181C7F29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18470CC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78C11F2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 ir dėl Prekių pristatymo vėlavimo Prekės tampa nebereikalingos;</w:t>
            </w:r>
          </w:p>
          <w:p w14:paraId="1BE57D42" w14:textId="23D60419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.2.7. Tiekėjas daugiau kaip 2 (du) kartus pristato Prekes, kurios neatitinka Sutartyje ir (ar) Įstatymuose nustatytų reikalavimų Prekėms;</w:t>
            </w:r>
          </w:p>
          <w:p w14:paraId="4DB0C179" w14:textId="64680B9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.2.8. Tiekėjo kvalifikacija tapo nebeatitinkančia pirkimo dokumentuose nustatytų Sutarties tinkamam vykdymui būtinų reikalavimų ir šie 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lastRenderedPageBreak/>
              <w:t>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0690CDB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7C317C23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.2.10. Tiekėjas pažeidžia šios Sutarties nuostatas, reglamentuojančias konkurenciją, intelektinės nuosavybės ar konfidencialios informacijos valdymą;</w:t>
            </w:r>
          </w:p>
          <w:p w14:paraId="3AAAB068" w14:textId="11743890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.2.11. Tiekėjas pažeidžia Bendrųjų sąlygų nuostatas dėl Sutarties vykdymui pasitelkiamų naujų subtiekėjų ir (ar specialistų) / esamų subtiekėjų ir (ar) specialistų keitimo.</w:t>
            </w:r>
          </w:p>
          <w:p w14:paraId="38B892EC" w14:textId="7B1FF37C" w:rsidR="00AB456F" w:rsidRPr="00086B5F" w:rsidRDefault="00A01FC7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</w:tc>
      </w:tr>
      <w:tr w:rsidR="00AB456F" w:rsidRPr="00086B5F" w14:paraId="0FB09618" w14:textId="77777777" w:rsidTr="00DE60B0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39596F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30C0CC95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554877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II skyriaus </w:t>
            </w:r>
            <w:r w:rsidR="00121020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4.1</w:t>
            </w:r>
            <w:r w:rsidR="006D20B3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</w:t>
            </w:r>
            <w:r w:rsidR="00E31A8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nktu</w:t>
            </w:r>
            <w:proofErr w:type="spellEnd"/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6F753104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7D490A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6208C2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39596F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579810AD" w14:textId="1005F1A3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B5B65A6" w14:textId="77777777" w:rsidTr="0039596F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611CDD1C" w14:textId="4F13A1C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6E768F02" w14:textId="77777777" w:rsidTr="0039596F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1B06C9C0" w14:textId="3C62EE45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7963F87C" w14:textId="77777777" w:rsidTr="0039596F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35B4EFE5" w14:textId="3755CFAF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02042C1" w14:textId="77777777" w:rsidTr="0039596F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DE60B0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AB456F" w:rsidRPr="00086B5F" w14:paraId="6234BA49" w14:textId="77777777" w:rsidTr="0039596F">
        <w:trPr>
          <w:trHeight w:val="300"/>
        </w:trPr>
        <w:tc>
          <w:tcPr>
            <w:tcW w:w="2704" w:type="dxa"/>
          </w:tcPr>
          <w:p w14:paraId="0B25CB9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2E6EC547" w:rsidR="00AB456F" w:rsidRPr="007D490A" w:rsidRDefault="006208C2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7D490A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AB456F" w:rsidRPr="00086B5F" w14:paraId="370D7866" w14:textId="77777777" w:rsidTr="0039596F">
        <w:trPr>
          <w:trHeight w:val="300"/>
        </w:trPr>
        <w:tc>
          <w:tcPr>
            <w:tcW w:w="2704" w:type="dxa"/>
          </w:tcPr>
          <w:p w14:paraId="1BDB6D4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42BC9E60" w:rsidR="00AB456F" w:rsidRPr="007D490A" w:rsidRDefault="000B307C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7D490A">
              <w:rPr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AB456F" w:rsidRPr="00086B5F" w14:paraId="4C131708" w14:textId="77777777" w:rsidTr="0039596F">
        <w:trPr>
          <w:trHeight w:val="300"/>
        </w:trPr>
        <w:tc>
          <w:tcPr>
            <w:tcW w:w="2704" w:type="dxa"/>
          </w:tcPr>
          <w:p w14:paraId="1AD0B73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9F22BA4" w:rsidR="00AB456F" w:rsidRPr="007D490A" w:rsidRDefault="000B307C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7D490A">
              <w:rPr>
                <w:bCs/>
                <w:kern w:val="2"/>
                <w:sz w:val="22"/>
                <w:szCs w:val="22"/>
              </w:rPr>
              <w:t xml:space="preserve">Prekių perdavimo </w:t>
            </w:r>
            <w:r w:rsidR="000B1A7C" w:rsidRPr="007D490A">
              <w:rPr>
                <w:bCs/>
                <w:kern w:val="2"/>
                <w:sz w:val="22"/>
                <w:szCs w:val="22"/>
              </w:rPr>
              <w:t>–</w:t>
            </w:r>
            <w:r w:rsidRPr="007D490A">
              <w:rPr>
                <w:bCs/>
                <w:kern w:val="2"/>
                <w:sz w:val="22"/>
                <w:szCs w:val="22"/>
              </w:rPr>
              <w:t xml:space="preserve"> priėmimo</w:t>
            </w:r>
            <w:r w:rsidR="000B1A7C" w:rsidRPr="007D490A">
              <w:rPr>
                <w:bCs/>
                <w:kern w:val="2"/>
                <w:sz w:val="22"/>
                <w:szCs w:val="22"/>
              </w:rPr>
              <w:t xml:space="preserve"> aktas</w:t>
            </w:r>
          </w:p>
        </w:tc>
      </w:tr>
      <w:tr w:rsidR="00AB456F" w:rsidRPr="00086B5F" w14:paraId="4AEC5898" w14:textId="77777777" w:rsidTr="007D490A">
        <w:trPr>
          <w:trHeight w:val="300"/>
        </w:trPr>
        <w:tc>
          <w:tcPr>
            <w:tcW w:w="2704" w:type="dxa"/>
          </w:tcPr>
          <w:p w14:paraId="1367702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7D490A">
        <w:trPr>
          <w:trHeight w:val="300"/>
        </w:trPr>
        <w:tc>
          <w:tcPr>
            <w:tcW w:w="2704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DE60B0">
        <w:tc>
          <w:tcPr>
            <w:tcW w:w="9634" w:type="dxa"/>
            <w:gridSpan w:val="3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AB456F" w:rsidRPr="0008006B" w:rsidRDefault="00AB456F" w:rsidP="00AB456F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5C488548" w14:textId="77777777" w:rsidTr="00DE60B0">
        <w:tc>
          <w:tcPr>
            <w:tcW w:w="4815" w:type="dxa"/>
            <w:gridSpan w:val="2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lastRenderedPageBreak/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DE60B0">
        <w:tc>
          <w:tcPr>
            <w:tcW w:w="4815" w:type="dxa"/>
            <w:gridSpan w:val="2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DE60B0">
        <w:tc>
          <w:tcPr>
            <w:tcW w:w="4815" w:type="dxa"/>
            <w:gridSpan w:val="2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DE60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gnė Sližienė" w:date="2025-12-16T14:37:00Z" w:initials="US">
    <w:p w14:paraId="5408B19A" w14:textId="69BC94E3" w:rsidR="00711567" w:rsidRDefault="00711567">
      <w:pPr>
        <w:pStyle w:val="CommentText"/>
      </w:pPr>
      <w:r>
        <w:rPr>
          <w:rStyle w:val="CommentReference"/>
        </w:rPr>
        <w:annotationRef/>
      </w:r>
      <w:r>
        <w:t xml:space="preserve">Jei nustatomas garantinis terminas, tai ar tikrai per šį laiką nebus atliekama jokia garantinė priežiūra?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08B1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08B19A" w16cid:durableId="2CEBED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AD41" w14:textId="77777777" w:rsidR="00535594" w:rsidRDefault="0053559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2CB30AD" w14:textId="77777777" w:rsidR="00535594" w:rsidRDefault="0053559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B7A880D" w14:textId="77777777" w:rsidR="00535594" w:rsidRDefault="0053559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0F8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BE6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883A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2DB3" w14:textId="77777777" w:rsidR="00535594" w:rsidRDefault="0053559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3CC4AD1" w14:textId="77777777" w:rsidR="00535594" w:rsidRDefault="0053559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63F3356" w14:textId="77777777" w:rsidR="00535594" w:rsidRDefault="0053559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F52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1C7807" w:rsidRDefault="001C7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914" w14:textId="77777777" w:rsidR="001C7807" w:rsidRPr="00A10867" w:rsidRDefault="001C780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154" w14:textId="77777777" w:rsidR="001C7807" w:rsidRDefault="001C780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5644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gnė Sližienė">
    <w15:presenceInfo w15:providerId="AD" w15:userId="S-1-5-21-2677351174-263178073-1053538075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4D77"/>
    <w:rsid w:val="0002726C"/>
    <w:rsid w:val="000375C1"/>
    <w:rsid w:val="00041420"/>
    <w:rsid w:val="0008006B"/>
    <w:rsid w:val="00084BA2"/>
    <w:rsid w:val="00086B5F"/>
    <w:rsid w:val="000B1A7C"/>
    <w:rsid w:val="000B3039"/>
    <w:rsid w:val="000B307C"/>
    <w:rsid w:val="000D0F51"/>
    <w:rsid w:val="000F1B5F"/>
    <w:rsid w:val="000F24B1"/>
    <w:rsid w:val="00100F9F"/>
    <w:rsid w:val="00121020"/>
    <w:rsid w:val="00135786"/>
    <w:rsid w:val="001933E1"/>
    <w:rsid w:val="001A0665"/>
    <w:rsid w:val="001A429A"/>
    <w:rsid w:val="001B6090"/>
    <w:rsid w:val="001C7807"/>
    <w:rsid w:val="001E66A4"/>
    <w:rsid w:val="001F1ED2"/>
    <w:rsid w:val="00215FEB"/>
    <w:rsid w:val="00245FAD"/>
    <w:rsid w:val="002527E7"/>
    <w:rsid w:val="00270D83"/>
    <w:rsid w:val="00283AD2"/>
    <w:rsid w:val="002A277C"/>
    <w:rsid w:val="002B635C"/>
    <w:rsid w:val="002C1549"/>
    <w:rsid w:val="002D20DC"/>
    <w:rsid w:val="002E12AF"/>
    <w:rsid w:val="002E3026"/>
    <w:rsid w:val="002F2CDA"/>
    <w:rsid w:val="002F7D53"/>
    <w:rsid w:val="0031653E"/>
    <w:rsid w:val="00322C49"/>
    <w:rsid w:val="00373FFD"/>
    <w:rsid w:val="00383F5C"/>
    <w:rsid w:val="0038643E"/>
    <w:rsid w:val="0039596F"/>
    <w:rsid w:val="003B3D21"/>
    <w:rsid w:val="003F2888"/>
    <w:rsid w:val="00400987"/>
    <w:rsid w:val="00412C02"/>
    <w:rsid w:val="00421168"/>
    <w:rsid w:val="004319B4"/>
    <w:rsid w:val="00442EA7"/>
    <w:rsid w:val="004451A5"/>
    <w:rsid w:val="00460B1C"/>
    <w:rsid w:val="00472D72"/>
    <w:rsid w:val="00494E89"/>
    <w:rsid w:val="004E7FB6"/>
    <w:rsid w:val="004F220A"/>
    <w:rsid w:val="005178B1"/>
    <w:rsid w:val="00535594"/>
    <w:rsid w:val="005452AB"/>
    <w:rsid w:val="0054557C"/>
    <w:rsid w:val="00554877"/>
    <w:rsid w:val="00556A29"/>
    <w:rsid w:val="005646D7"/>
    <w:rsid w:val="005856BD"/>
    <w:rsid w:val="00597DE4"/>
    <w:rsid w:val="005A5832"/>
    <w:rsid w:val="005B2514"/>
    <w:rsid w:val="005B2C60"/>
    <w:rsid w:val="005C15F4"/>
    <w:rsid w:val="005C6E30"/>
    <w:rsid w:val="005D71C3"/>
    <w:rsid w:val="005F5B23"/>
    <w:rsid w:val="0060186C"/>
    <w:rsid w:val="006208C2"/>
    <w:rsid w:val="0063410E"/>
    <w:rsid w:val="00637011"/>
    <w:rsid w:val="00664108"/>
    <w:rsid w:val="006832BC"/>
    <w:rsid w:val="00696765"/>
    <w:rsid w:val="006B141B"/>
    <w:rsid w:val="006D20B3"/>
    <w:rsid w:val="006F16C5"/>
    <w:rsid w:val="006F2F69"/>
    <w:rsid w:val="007068EC"/>
    <w:rsid w:val="00711567"/>
    <w:rsid w:val="00730C12"/>
    <w:rsid w:val="007356DE"/>
    <w:rsid w:val="00743D92"/>
    <w:rsid w:val="00754298"/>
    <w:rsid w:val="00760E97"/>
    <w:rsid w:val="007A4110"/>
    <w:rsid w:val="007B11D6"/>
    <w:rsid w:val="007D3DE0"/>
    <w:rsid w:val="007D490A"/>
    <w:rsid w:val="007D5723"/>
    <w:rsid w:val="007F2EF2"/>
    <w:rsid w:val="00802DAF"/>
    <w:rsid w:val="008056E2"/>
    <w:rsid w:val="0081000B"/>
    <w:rsid w:val="0081425A"/>
    <w:rsid w:val="008449D7"/>
    <w:rsid w:val="00847B84"/>
    <w:rsid w:val="00862AE6"/>
    <w:rsid w:val="008766C6"/>
    <w:rsid w:val="00880C42"/>
    <w:rsid w:val="00897ED2"/>
    <w:rsid w:val="008B1CDF"/>
    <w:rsid w:val="008B3A7F"/>
    <w:rsid w:val="008B411E"/>
    <w:rsid w:val="008C5297"/>
    <w:rsid w:val="008D2776"/>
    <w:rsid w:val="008D7FA1"/>
    <w:rsid w:val="008E0660"/>
    <w:rsid w:val="009059F3"/>
    <w:rsid w:val="00924BC9"/>
    <w:rsid w:val="00937E74"/>
    <w:rsid w:val="00940AFF"/>
    <w:rsid w:val="009C236E"/>
    <w:rsid w:val="009C4F36"/>
    <w:rsid w:val="009E3641"/>
    <w:rsid w:val="009F08BA"/>
    <w:rsid w:val="009F33C7"/>
    <w:rsid w:val="00A01FC7"/>
    <w:rsid w:val="00A07983"/>
    <w:rsid w:val="00A10867"/>
    <w:rsid w:val="00A2718B"/>
    <w:rsid w:val="00A44E2A"/>
    <w:rsid w:val="00A63C50"/>
    <w:rsid w:val="00A7694A"/>
    <w:rsid w:val="00A85949"/>
    <w:rsid w:val="00AB362F"/>
    <w:rsid w:val="00AB456F"/>
    <w:rsid w:val="00AE255E"/>
    <w:rsid w:val="00AF0AC7"/>
    <w:rsid w:val="00AF4839"/>
    <w:rsid w:val="00B0511C"/>
    <w:rsid w:val="00B252E9"/>
    <w:rsid w:val="00B25D35"/>
    <w:rsid w:val="00B466BA"/>
    <w:rsid w:val="00B75779"/>
    <w:rsid w:val="00B91F89"/>
    <w:rsid w:val="00BA2750"/>
    <w:rsid w:val="00BB3589"/>
    <w:rsid w:val="00BC67D9"/>
    <w:rsid w:val="00BF1688"/>
    <w:rsid w:val="00BF36F2"/>
    <w:rsid w:val="00C068DB"/>
    <w:rsid w:val="00C115AF"/>
    <w:rsid w:val="00C17482"/>
    <w:rsid w:val="00C20F4A"/>
    <w:rsid w:val="00C5650D"/>
    <w:rsid w:val="00C6667D"/>
    <w:rsid w:val="00C805D6"/>
    <w:rsid w:val="00C941D8"/>
    <w:rsid w:val="00CA0497"/>
    <w:rsid w:val="00CB043C"/>
    <w:rsid w:val="00CD3068"/>
    <w:rsid w:val="00CE5750"/>
    <w:rsid w:val="00D12D6B"/>
    <w:rsid w:val="00D13F52"/>
    <w:rsid w:val="00D20FB5"/>
    <w:rsid w:val="00D43CD9"/>
    <w:rsid w:val="00D50136"/>
    <w:rsid w:val="00D621F9"/>
    <w:rsid w:val="00D76801"/>
    <w:rsid w:val="00D856A3"/>
    <w:rsid w:val="00DD6C6A"/>
    <w:rsid w:val="00DE60B0"/>
    <w:rsid w:val="00E02606"/>
    <w:rsid w:val="00E05B26"/>
    <w:rsid w:val="00E31A8B"/>
    <w:rsid w:val="00E371DE"/>
    <w:rsid w:val="00E45EA2"/>
    <w:rsid w:val="00E72DCC"/>
    <w:rsid w:val="00E752D8"/>
    <w:rsid w:val="00EA7FF1"/>
    <w:rsid w:val="00ED2291"/>
    <w:rsid w:val="00EF77E0"/>
    <w:rsid w:val="00F161CE"/>
    <w:rsid w:val="00F40B75"/>
    <w:rsid w:val="00F43B8C"/>
    <w:rsid w:val="00F45135"/>
    <w:rsid w:val="00FC3077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5" ma:contentTypeDescription="Kurkite naują dokumentą." ma:contentTypeScope="" ma:versionID="c7f8fab566d20e0a2ad46ea85abb9c16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e62b5af659cde85bf3494c671188b8a6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3.xml><?xml version="1.0" encoding="utf-8"?>
<ds:datastoreItem xmlns:ds="http://schemas.openxmlformats.org/officeDocument/2006/customXml" ds:itemID="{DC677C10-000C-4A1B-9500-F3FD56366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C98A5-AA72-4ABC-BE52-7771B9D18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10258</Words>
  <Characters>5848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16074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Almina Zinevičienė</cp:lastModifiedBy>
  <cp:revision>4</cp:revision>
  <cp:lastPrinted>2024-05-24T11:26:00Z</cp:lastPrinted>
  <dcterms:created xsi:type="dcterms:W3CDTF">2025-12-17T07:48:00Z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  <property fmtid="{D5CDD505-2E9C-101B-9397-08002B2CF9AE}" pid="3" name="MediaServiceImageTags">
    <vt:lpwstr/>
  </property>
</Properties>
</file>