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 xml:space="preserve">Viešoji įstaiga, Eivenių g. 2, 50161 Kaunas, tel. (8 </w:t>
      </w:r>
      <w:r w:rsidR="004B71F7" w:rsidRPr="00545CDB">
        <w:rPr>
          <w:rFonts w:ascii="Cambria" w:hAnsi="Cambria"/>
          <w:sz w:val="18"/>
          <w:szCs w:val="18"/>
        </w:rPr>
        <w:t xml:space="preserve">37) 32 63 60, (8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 xml:space="preserve">aks. (8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790D69">
      <w:pPr>
        <w:tabs>
          <w:tab w:val="right" w:leader="underscore" w:pos="8640"/>
        </w:tabs>
        <w:ind w:left="5387" w:hanging="567"/>
        <w:rPr>
          <w:rFonts w:ascii="Cambria" w:hAnsi="Cambria"/>
          <w:sz w:val="20"/>
          <w:szCs w:val="20"/>
        </w:rPr>
      </w:pPr>
      <w:r w:rsidRPr="004F776D">
        <w:rPr>
          <w:sz w:val="20"/>
          <w:szCs w:val="20"/>
        </w:rPr>
        <w:t xml:space="preserve">        </w:t>
      </w:r>
      <w:r w:rsidR="003232DC">
        <w:rPr>
          <w:sz w:val="20"/>
          <w:szCs w:val="20"/>
        </w:rPr>
        <w:tab/>
      </w:r>
      <w:r w:rsidRPr="004F776D">
        <w:rPr>
          <w:sz w:val="20"/>
          <w:szCs w:val="20"/>
        </w:rPr>
        <w:t xml:space="preserve">  </w:t>
      </w:r>
      <w:r w:rsidR="00790D69">
        <w:rPr>
          <w:sz w:val="20"/>
          <w:szCs w:val="20"/>
        </w:rPr>
        <w:t xml:space="preserve"> </w:t>
      </w:r>
      <w:r w:rsidR="00074A0F"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790D69">
        <w:rPr>
          <w:rFonts w:ascii="Cambria" w:hAnsi="Cambria"/>
          <w:sz w:val="20"/>
          <w:szCs w:val="20"/>
        </w:rPr>
        <w:t>ė</w:t>
      </w:r>
    </w:p>
    <w:p w:rsidR="00445A9F" w:rsidRPr="00B8507A" w:rsidRDefault="00445A9F" w:rsidP="00790D69">
      <w:pPr>
        <w:tabs>
          <w:tab w:val="right" w:leader="underscore" w:pos="8640"/>
        </w:tabs>
        <w:ind w:left="5529" w:hanging="1134"/>
        <w:rPr>
          <w:rFonts w:ascii="Cambria" w:hAnsi="Cambria"/>
          <w:sz w:val="20"/>
          <w:szCs w:val="20"/>
        </w:rPr>
      </w:pPr>
      <w:r w:rsidRPr="00B8507A">
        <w:rPr>
          <w:rFonts w:ascii="Cambria" w:hAnsi="Cambria"/>
          <w:sz w:val="20"/>
          <w:szCs w:val="20"/>
        </w:rPr>
        <w:t xml:space="preserve">         </w:t>
      </w:r>
      <w:r w:rsidR="003232DC">
        <w:rPr>
          <w:rFonts w:ascii="Cambria" w:hAnsi="Cambria"/>
          <w:sz w:val="20"/>
          <w:szCs w:val="20"/>
        </w:rPr>
        <w:tab/>
      </w:r>
      <w:r w:rsidR="0094473E">
        <w:rPr>
          <w:rFonts w:ascii="Cambria" w:hAnsi="Cambria"/>
          <w:sz w:val="20"/>
          <w:szCs w:val="20"/>
        </w:rPr>
        <w:t>Vaida Koniuchovienė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r w:rsidR="003232DC">
        <w:rPr>
          <w:rFonts w:ascii="Cambria" w:hAnsi="Cambria"/>
          <w:i/>
          <w:sz w:val="22"/>
          <w:szCs w:val="22"/>
        </w:rPr>
        <w:t>__</w:t>
      </w:r>
      <w:r w:rsidR="00790D69">
        <w:rPr>
          <w:rFonts w:ascii="Cambria" w:hAnsi="Cambria"/>
          <w:i/>
          <w:sz w:val="22"/>
          <w:szCs w:val="22"/>
        </w:rPr>
        <w:t>_____</w:t>
      </w:r>
    </w:p>
    <w:p w:rsidR="00DD7018" w:rsidRPr="00472EA9" w:rsidRDefault="008E6792" w:rsidP="00790D69">
      <w:pPr>
        <w:tabs>
          <w:tab w:val="right" w:leader="underscore" w:pos="8640"/>
        </w:tabs>
        <w:ind w:left="7088" w:hanging="1418"/>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90A76" w:rsidRPr="00472EA9" w:rsidRDefault="0094473E" w:rsidP="007D54D0">
      <w:pPr>
        <w:tabs>
          <w:tab w:val="right" w:leader="underscore" w:pos="8505"/>
        </w:tabs>
        <w:jc w:val="center"/>
        <w:rPr>
          <w:rFonts w:ascii="Cambria" w:hAnsi="Cambria"/>
          <w:b/>
          <w:color w:val="FF0000"/>
          <w:sz w:val="20"/>
          <w:szCs w:val="20"/>
        </w:rPr>
      </w:pPr>
      <w:r>
        <w:rPr>
          <w:rFonts w:ascii="Cambria" w:hAnsi="Cambria"/>
          <w:b/>
          <w:sz w:val="20"/>
          <w:szCs w:val="20"/>
        </w:rPr>
        <w:t xml:space="preserve">MAIŠAI INFUZINIŲ TIRPALŲ </w:t>
      </w:r>
      <w:r w:rsidR="00AB34A2">
        <w:rPr>
          <w:rFonts w:ascii="Cambria" w:hAnsi="Cambria"/>
          <w:b/>
          <w:sz w:val="20"/>
          <w:szCs w:val="20"/>
        </w:rPr>
        <w:t>M</w:t>
      </w:r>
      <w:r>
        <w:rPr>
          <w:rFonts w:ascii="Cambria" w:hAnsi="Cambria"/>
          <w:b/>
          <w:sz w:val="20"/>
          <w:szCs w:val="20"/>
        </w:rPr>
        <w:t xml:space="preserve">IŠINIUI RUOŠTI  </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94473E">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94473E">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94473E">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94473E">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94473E">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94473E">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94473E">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94473E">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94473E">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94473E">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94473E">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94473E"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94473E">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94473E">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94473E">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94473E">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0" w:name="_Toc488306761"/>
      <w:bookmarkStart w:id="1" w:name="_Toc60525482"/>
      <w:bookmarkStart w:id="2" w:name="_Toc47844928"/>
      <w:bookmarkStart w:id="3" w:name="_Toc227136937"/>
      <w:r w:rsidRPr="00472EA9">
        <w:rPr>
          <w:rFonts w:ascii="Cambria" w:hAnsi="Cambria"/>
          <w:b/>
          <w:sz w:val="20"/>
        </w:rPr>
        <w:lastRenderedPageBreak/>
        <w:t>BENDROSIOS NUOSTATOS</w:t>
      </w:r>
      <w:bookmarkEnd w:id="0"/>
    </w:p>
    <w:p w:rsidR="00B90A76" w:rsidRPr="00472EA9" w:rsidRDefault="00B90A76" w:rsidP="00B90A76">
      <w:pPr>
        <w:ind w:left="1622"/>
        <w:rPr>
          <w:rFonts w:ascii="Cambria" w:hAnsi="Cambria"/>
          <w:b/>
          <w:color w:val="000000"/>
          <w:sz w:val="20"/>
          <w:szCs w:val="20"/>
        </w:rPr>
      </w:pPr>
    </w:p>
    <w:p w:rsidR="00B90A76" w:rsidRPr="00472EA9" w:rsidRDefault="00B90A76" w:rsidP="00343B4B">
      <w:pPr>
        <w:pStyle w:val="Body2"/>
        <w:tabs>
          <w:tab w:val="left" w:pos="993"/>
        </w:tabs>
        <w:rPr>
          <w:rFonts w:ascii="Cambria" w:hAnsi="Cambria" w:cs="Times New Roman"/>
          <w:color w:val="auto"/>
          <w:sz w:val="20"/>
          <w:szCs w:val="20"/>
          <w:lang w:val="lt-LT"/>
        </w:rPr>
      </w:pPr>
      <w:bookmarkStart w:id="4" w:name="_Toc60525483"/>
      <w:bookmarkStart w:id="5" w:name="_Toc47844929"/>
      <w:bookmarkStart w:id="6" w:name="_Toc227136938"/>
      <w:bookmarkEnd w:id="1"/>
      <w:bookmarkEnd w:id="2"/>
      <w:bookmarkEnd w:id="3"/>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įsigyti</w:t>
      </w:r>
      <w:r w:rsidR="00AB34A2">
        <w:rPr>
          <w:rFonts w:ascii="Cambria" w:hAnsi="Cambria" w:cs="Times New Roman"/>
          <w:color w:val="auto"/>
          <w:sz w:val="20"/>
          <w:szCs w:val="20"/>
        </w:rPr>
        <w:t xml:space="preserve"> maišus </w:t>
      </w:r>
      <w:bookmarkStart w:id="7" w:name="_GoBack"/>
      <w:bookmarkEnd w:id="7"/>
      <w:r w:rsidR="00AB34A2">
        <w:rPr>
          <w:rFonts w:ascii="Cambria" w:hAnsi="Cambria" w:cs="Times New Roman"/>
          <w:color w:val="auto"/>
          <w:sz w:val="20"/>
          <w:szCs w:val="20"/>
        </w:rPr>
        <w:t>infuzinių tirpalų mišiniui ruošti</w:t>
      </w:r>
      <w:r w:rsidR="00B83C5E">
        <w:rPr>
          <w:rFonts w:ascii="Cambria" w:hAnsi="Cambria" w:cs="Times New Roman"/>
          <w:color w:val="auto"/>
          <w:sz w:val="20"/>
          <w:szCs w:val="20"/>
        </w:rPr>
        <w:t>.</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 xml:space="preserve">Pirkimo dokumentų sudedamoji </w:t>
      </w:r>
      <w:proofErr w:type="gramStart"/>
      <w:r w:rsidR="00061BE7" w:rsidRPr="00472EA9">
        <w:rPr>
          <w:rFonts w:ascii="Cambria" w:hAnsi="Cambria" w:cs="Times New Roman"/>
          <w:color w:val="auto"/>
          <w:sz w:val="20"/>
          <w:szCs w:val="20"/>
        </w:rPr>
        <w:t>d</w:t>
      </w:r>
      <w:r w:rsidR="00490C99" w:rsidRPr="00472EA9">
        <w:rPr>
          <w:rFonts w:ascii="Cambria" w:hAnsi="Cambria" w:cs="Times New Roman"/>
          <w:color w:val="auto"/>
          <w:sz w:val="20"/>
          <w:szCs w:val="20"/>
        </w:rPr>
        <w:t>alis</w:t>
      </w:r>
      <w:proofErr w:type="gramEnd"/>
      <w:r w:rsidR="00490C99" w:rsidRPr="00472EA9">
        <w:rPr>
          <w:rFonts w:ascii="Cambria" w:hAnsi="Cambria" w:cs="Times New Roman"/>
          <w:color w:val="auto"/>
          <w:sz w:val="20"/>
          <w:szCs w:val="20"/>
        </w:rPr>
        <w:t xml:space="preserve">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 xml:space="preserve">Bet kokia informacija, konkurso sąlygų paaiškinimai, </w:t>
      </w:r>
      <w:proofErr w:type="gramStart"/>
      <w:r w:rsidRPr="00472EA9">
        <w:rPr>
          <w:rFonts w:ascii="Cambria" w:hAnsi="Cambria"/>
          <w:sz w:val="20"/>
          <w:szCs w:val="20"/>
        </w:rPr>
        <w:t>pranešimai</w:t>
      </w:r>
      <w:proofErr w:type="gramEnd"/>
      <w:r w:rsidRPr="00472EA9">
        <w:rPr>
          <w:rFonts w:ascii="Cambria" w:hAnsi="Cambria"/>
          <w:sz w:val="20"/>
          <w:szCs w:val="20"/>
        </w:rPr>
        <w:t xml:space="preserve">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w:t>
      </w:r>
      <w:r w:rsidR="0053169B">
        <w:rPr>
          <w:rFonts w:ascii="Cambria" w:hAnsi="Cambria"/>
          <w:sz w:val="20"/>
          <w:szCs w:val="20"/>
        </w:rPr>
        <w:t xml:space="preserve">                                          </w:t>
      </w:r>
      <w:r w:rsidR="00EE4D2D" w:rsidRPr="00472EA9">
        <w:rPr>
          <w:rFonts w:ascii="Cambria" w:hAnsi="Cambria"/>
          <w:sz w:val="20"/>
          <w:szCs w:val="20"/>
        </w:rPr>
        <w:t xml:space="preserve">tel. (8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8" w:name="_Toc487805677"/>
      <w:bookmarkStart w:id="9"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10" w:name="_Toc60525484"/>
      <w:bookmarkStart w:id="11" w:name="_Toc47844930"/>
      <w:bookmarkStart w:id="12" w:name="_Toc227136939"/>
      <w:bookmarkEnd w:id="4"/>
      <w:bookmarkEnd w:id="5"/>
      <w:bookmarkEnd w:id="6"/>
      <w:bookmarkEnd w:id="8"/>
      <w:bookmarkEnd w:id="9"/>
    </w:p>
    <w:p w:rsidR="005B0020" w:rsidRPr="00472EA9" w:rsidRDefault="005B0020" w:rsidP="005B0020">
      <w:pPr>
        <w:rPr>
          <w:rFonts w:ascii="Cambria" w:hAnsi="Cambria"/>
          <w:lang w:eastAsia="lt-LT"/>
        </w:rPr>
      </w:pPr>
    </w:p>
    <w:p w:rsidR="00D769D8" w:rsidRDefault="00643FB5" w:rsidP="00643FB5">
      <w:pPr>
        <w:pStyle w:val="ListParagraph"/>
        <w:tabs>
          <w:tab w:val="left" w:pos="1134"/>
          <w:tab w:val="left" w:pos="1276"/>
          <w:tab w:val="left" w:pos="1418"/>
          <w:tab w:val="left" w:pos="1560"/>
        </w:tabs>
        <w:ind w:left="992"/>
        <w:rPr>
          <w:rFonts w:ascii="Cambria" w:hAnsi="Cambria"/>
          <w:sz w:val="20"/>
          <w:szCs w:val="20"/>
        </w:rPr>
      </w:pPr>
      <w:r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2438E0">
        <w:rPr>
          <w:rFonts w:ascii="Cambria" w:hAnsi="Cambria"/>
          <w:sz w:val="20"/>
          <w:szCs w:val="20"/>
        </w:rPr>
        <w:t xml:space="preserve">maišai infuzinių </w:t>
      </w:r>
      <w:r w:rsidR="006A6774">
        <w:rPr>
          <w:rFonts w:ascii="Cambria" w:hAnsi="Cambria"/>
          <w:sz w:val="20"/>
          <w:szCs w:val="20"/>
        </w:rPr>
        <w:t>tirpalų mišiniui ruošti</w:t>
      </w:r>
      <w:r w:rsidR="00790D69">
        <w:rPr>
          <w:rFonts w:ascii="Cambria" w:hAnsi="Cambria"/>
          <w:sz w:val="20"/>
          <w:szCs w:val="20"/>
        </w:rPr>
        <w:t>.</w:t>
      </w:r>
    </w:p>
    <w:p w:rsidR="00BA2C3A" w:rsidRPr="00472EA9" w:rsidRDefault="00202970" w:rsidP="00214A90">
      <w:pPr>
        <w:pStyle w:val="Heading2"/>
        <w:numPr>
          <w:ilvl w:val="0"/>
          <w:numId w:val="0"/>
        </w:numPr>
        <w:tabs>
          <w:tab w:val="left" w:pos="1276"/>
          <w:tab w:val="left" w:pos="1418"/>
          <w:tab w:val="left" w:pos="1560"/>
        </w:tabs>
        <w:ind w:firstLine="900"/>
        <w:rPr>
          <w:rFonts w:ascii="Cambria" w:hAnsi="Cambria"/>
          <w:b/>
          <w:bCs/>
          <w:sz w:val="20"/>
        </w:rPr>
      </w:pPr>
      <w:r w:rsidRPr="00472EA9">
        <w:rPr>
          <w:rFonts w:ascii="Cambria" w:hAnsi="Cambria"/>
          <w:sz w:val="20"/>
        </w:rPr>
        <w:t xml:space="preserve">  </w:t>
      </w:r>
      <w:r w:rsidR="00BA2C3A" w:rsidRPr="00472EA9">
        <w:rPr>
          <w:rFonts w:ascii="Cambria" w:hAnsi="Cambria"/>
          <w:sz w:val="20"/>
        </w:rPr>
        <w:t>2.2. Vadovaujantis LR Viešųjų pirkimų įstatymo 27 straipsnio nuostatomis, Centrinėje viešųjų pirkimų informacinėje sistemoje buvo viešai skelbta iša</w:t>
      </w:r>
      <w:r w:rsidR="00B83C5E">
        <w:rPr>
          <w:rFonts w:ascii="Cambria" w:hAnsi="Cambria"/>
          <w:sz w:val="20"/>
        </w:rPr>
        <w:t xml:space="preserve">nkstinė rinkos konsultacija dėl </w:t>
      </w:r>
      <w:r w:rsidR="00D01ED8">
        <w:rPr>
          <w:rFonts w:ascii="Cambria" w:hAnsi="Cambria"/>
          <w:sz w:val="20"/>
        </w:rPr>
        <w:t xml:space="preserve">maišų infuzini tirpalų </w:t>
      </w:r>
      <w:r w:rsidR="00724B68">
        <w:rPr>
          <w:rFonts w:ascii="Cambria" w:hAnsi="Cambria"/>
          <w:sz w:val="20"/>
        </w:rPr>
        <w:t>mišiniui</w:t>
      </w:r>
      <w:r w:rsidR="00306BD6">
        <w:rPr>
          <w:rFonts w:ascii="Cambria" w:hAnsi="Cambria"/>
          <w:sz w:val="20"/>
        </w:rPr>
        <w:t xml:space="preserve"> ruošti</w:t>
      </w:r>
      <w:r w:rsidR="00790D69">
        <w:rPr>
          <w:rFonts w:ascii="Cambria" w:hAnsi="Cambria"/>
          <w:sz w:val="20"/>
        </w:rPr>
        <w:t xml:space="preserve"> </w:t>
      </w:r>
      <w:r w:rsidR="0053169B">
        <w:rPr>
          <w:rFonts w:ascii="Cambria" w:hAnsi="Cambria"/>
          <w:sz w:val="20"/>
        </w:rPr>
        <w:t xml:space="preserve"> </w:t>
      </w:r>
      <w:r w:rsidR="00571202">
        <w:rPr>
          <w:rFonts w:ascii="Cambria" w:hAnsi="Cambria"/>
          <w:sz w:val="20"/>
        </w:rPr>
        <w:t>pir</w:t>
      </w:r>
      <w:r w:rsidR="005B262A">
        <w:rPr>
          <w:rFonts w:ascii="Cambria" w:hAnsi="Cambria"/>
          <w:sz w:val="20"/>
        </w:rPr>
        <w:t xml:space="preserve">kimo </w:t>
      </w:r>
      <w:r w:rsidR="00574DD7" w:rsidRPr="00472EA9">
        <w:rPr>
          <w:rFonts w:ascii="Cambria" w:hAnsi="Cambria"/>
          <w:sz w:val="20"/>
        </w:rPr>
        <w:t>(Nr. </w:t>
      </w:r>
      <w:r w:rsidR="00306BD6">
        <w:rPr>
          <w:rFonts w:ascii="Cambria" w:hAnsi="Cambria"/>
          <w:sz w:val="20"/>
        </w:rPr>
        <w:t>5633403</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 xml:space="preserve">Šis pirkimas </w:t>
      </w:r>
      <w:r w:rsidR="005309B3">
        <w:rPr>
          <w:rFonts w:ascii="Cambria" w:hAnsi="Cambria"/>
          <w:sz w:val="20"/>
          <w:szCs w:val="20"/>
          <w:lang w:eastAsia="lt-LT"/>
        </w:rPr>
        <w:t>nėra</w:t>
      </w:r>
      <w:r w:rsidR="00B83C5E" w:rsidRPr="00B83C5E">
        <w:rPr>
          <w:rFonts w:ascii="Cambria" w:hAnsi="Cambria"/>
          <w:sz w:val="20"/>
          <w:szCs w:val="20"/>
          <w:lang w:eastAsia="lt-LT"/>
        </w:rPr>
        <w:t xml:space="preserve"> skaidomas į pirkimo dalis</w:t>
      </w:r>
      <w:r w:rsidR="005309B3">
        <w:rPr>
          <w:rFonts w:ascii="Cambria" w:hAnsi="Cambria"/>
          <w:sz w:val="20"/>
          <w:szCs w:val="20"/>
          <w:lang w:eastAsia="lt-LT"/>
        </w:rPr>
        <w:t>.</w:t>
      </w:r>
      <w:r w:rsidR="00B83C5E" w:rsidRPr="00B83C5E">
        <w:rPr>
          <w:rFonts w:ascii="Cambria" w:hAnsi="Cambria"/>
          <w:sz w:val="20"/>
          <w:szCs w:val="20"/>
          <w:lang w:eastAsia="lt-LT"/>
        </w:rPr>
        <w:t xml:space="preserve">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w:t>
      </w:r>
      <w:r w:rsidR="005309B3">
        <w:rPr>
          <w:rFonts w:ascii="Cambria" w:hAnsi="Cambria"/>
          <w:sz w:val="20"/>
          <w:szCs w:val="20"/>
          <w:lang w:eastAsia="lt-LT"/>
        </w:rPr>
        <w:t>tik vieną pasiūlymą visam pirkimui.</w:t>
      </w:r>
      <w:r w:rsidRPr="00B83C5E">
        <w:rPr>
          <w:rFonts w:ascii="Cambria" w:hAnsi="Cambria"/>
          <w:sz w:val="20"/>
          <w:szCs w:val="20"/>
          <w:lang w:eastAsia="lt-LT"/>
        </w:rPr>
        <w:t xml:space="preserve"> Pasiūlymas turi būti pateiktas </w:t>
      </w:r>
      <w:r w:rsidR="005309B3">
        <w:rPr>
          <w:rFonts w:ascii="Cambria" w:hAnsi="Cambria"/>
          <w:sz w:val="20"/>
          <w:szCs w:val="20"/>
          <w:lang w:eastAsia="lt-LT"/>
        </w:rPr>
        <w:t xml:space="preserve">pirkimo sąlygų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3"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3"/>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17247B" w:rsidRPr="00472EA9">
        <w:rPr>
          <w:rFonts w:asciiTheme="majorHAnsi" w:hAnsiTheme="majorHAnsi"/>
          <w:sz w:val="20"/>
          <w:szCs w:val="20"/>
        </w:rPr>
        <w:t>dėl</w:t>
      </w:r>
      <w:proofErr w:type="gramEnd"/>
      <w:r w:rsidR="0017247B" w:rsidRPr="00472EA9">
        <w:rPr>
          <w:rFonts w:asciiTheme="majorHAnsi" w:hAnsiTheme="majorHAnsi"/>
          <w:sz w:val="20"/>
          <w:szCs w:val="20"/>
        </w:rPr>
        <w:t xml:space="preserve">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3.5.</w:t>
      </w:r>
      <w:r w:rsidR="00EC1B0B" w:rsidRPr="00472EA9">
        <w:rPr>
          <w:rFonts w:ascii="Cambria" w:eastAsia="Arial Unicode MS" w:hAnsi="Cambria"/>
          <w:color w:val="000000"/>
          <w:sz w:val="20"/>
          <w:szCs w:val="20"/>
          <w:bdr w:val="nil"/>
          <w:lang w:val="en-US" w:eastAsia="lt-LT"/>
        </w:rPr>
        <w:t xml:space="preserve"> Perkančioji organizacija, priimdama sprendimus dėl tiekėjo pašalinimo iš pirkimo procedūros VPĮ 46 straipsnio 4 dalyje nurodytais pašalinimo pagrindais, atsižvelgia į tai, ar vertinant tiekėjo patikimumą tiekėjo </w:t>
      </w:r>
      <w:r w:rsidR="00EC1B0B" w:rsidRPr="00472EA9">
        <w:rPr>
          <w:rFonts w:ascii="Cambria" w:eastAsia="Arial Unicode MS" w:hAnsi="Cambria"/>
          <w:color w:val="000000"/>
          <w:sz w:val="20"/>
          <w:szCs w:val="20"/>
          <w:bdr w:val="nil"/>
          <w:lang w:val="en-US" w:eastAsia="lt-LT"/>
        </w:rPr>
        <w:lastRenderedPageBreak/>
        <w:t>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3.7.1. </w:t>
      </w:r>
      <w:proofErr w:type="gramStart"/>
      <w:r w:rsidRPr="00545CDB">
        <w:rPr>
          <w:rFonts w:ascii="Cambria" w:eastAsia="Arial Unicode MS" w:hAnsi="Cambria"/>
          <w:color w:val="000000"/>
          <w:sz w:val="20"/>
          <w:szCs w:val="20"/>
          <w:bdr w:val="nil"/>
          <w:lang w:val="en-US" w:eastAsia="lt-LT"/>
        </w:rPr>
        <w:t>priesaikos</w:t>
      </w:r>
      <w:proofErr w:type="gramEnd"/>
      <w:r w:rsidRPr="00545CDB">
        <w:rPr>
          <w:rFonts w:ascii="Cambria" w:eastAsia="Arial Unicode MS" w:hAnsi="Cambria"/>
          <w:color w:val="000000"/>
          <w:sz w:val="20"/>
          <w:szCs w:val="20"/>
          <w:bdr w:val="nil"/>
          <w:lang w:val="en-US" w:eastAsia="lt-LT"/>
        </w:rPr>
        <w:t xml:space="preserve">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3.7.2. </w:t>
      </w:r>
      <w:proofErr w:type="gramStart"/>
      <w:r w:rsidRPr="00545CDB">
        <w:rPr>
          <w:rFonts w:ascii="Cambria" w:eastAsia="Arial Unicode MS" w:hAnsi="Cambria"/>
          <w:color w:val="000000"/>
          <w:sz w:val="20"/>
          <w:szCs w:val="20"/>
          <w:bdr w:val="nil"/>
          <w:lang w:val="en-US" w:eastAsia="lt-LT"/>
        </w:rPr>
        <w:t>oficialia</w:t>
      </w:r>
      <w:proofErr w:type="gramEnd"/>
      <w:r w:rsidRPr="00545CDB">
        <w:rPr>
          <w:rFonts w:ascii="Cambria" w:eastAsia="Arial Unicode MS" w:hAnsi="Cambria"/>
          <w:color w:val="000000"/>
          <w:sz w:val="20"/>
          <w:szCs w:val="20"/>
          <w:bdr w:val="nil"/>
          <w:lang w:val="en-US"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nebuvimą patvirtinančių dokumentų pagal EBVPD galutinis pateikimo </w:t>
            </w:r>
            <w:r w:rsidRPr="00545CDB">
              <w:rPr>
                <w:rFonts w:ascii="Cambria" w:hAnsi="Cambria"/>
                <w:color w:val="000000"/>
                <w:sz w:val="20"/>
                <w:szCs w:val="20"/>
                <w:lang w:eastAsia="lt-LT"/>
              </w:rPr>
              <w:lastRenderedPageBreak/>
              <w:t>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w:t>
            </w:r>
            <w:r w:rsidRPr="00545CDB">
              <w:rPr>
                <w:rFonts w:ascii="Cambria" w:hAnsi="Cambria"/>
                <w:bCs/>
                <w:color w:val="000000"/>
                <w:sz w:val="20"/>
                <w:szCs w:val="20"/>
                <w:lang w:eastAsia="lt-LT"/>
              </w:rPr>
              <w:lastRenderedPageBreak/>
              <w:t>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dokumentą, arba valstybės įmonės Registrų centras Lietuvos Respublikos </w:t>
            </w:r>
            <w:r w:rsidRPr="00545CDB">
              <w:rPr>
                <w:rFonts w:ascii="Cambria" w:hAnsi="Cambria"/>
                <w:sz w:val="20"/>
                <w:szCs w:val="20"/>
              </w:rPr>
              <w:lastRenderedPageBreak/>
              <w:t xml:space="preserve">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94473E"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94473E"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94473E"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94473E"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545CDB">
        <w:rPr>
          <w:rFonts w:ascii="Cambria" w:eastAsia="Arial Unicode MS" w:hAnsi="Cambria"/>
          <w:i/>
          <w:iCs/>
          <w:color w:val="000000"/>
          <w:sz w:val="20"/>
          <w:szCs w:val="20"/>
          <w:bdr w:val="nil"/>
          <w:lang w:eastAsia="lt-LT"/>
        </w:rPr>
        <w:t>Apostille</w:t>
      </w:r>
      <w:r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 xml:space="preserve">Jeigu tiekėjo kvalifikacija </w:t>
      </w:r>
      <w:proofErr w:type="gramStart"/>
      <w:r w:rsidRPr="00545CDB">
        <w:rPr>
          <w:rFonts w:ascii="Cambria" w:eastAsia="Arial Unicode MS" w:hAnsi="Cambria"/>
          <w:color w:val="000000"/>
          <w:sz w:val="20"/>
          <w:szCs w:val="20"/>
          <w:bdr w:val="nil"/>
          <w:lang w:val="en-US" w:eastAsia="lt-LT"/>
        </w:rPr>
        <w:t>dėl</w:t>
      </w:r>
      <w:proofErr w:type="gramEnd"/>
      <w:r w:rsidRPr="00545CDB">
        <w:rPr>
          <w:rFonts w:ascii="Cambria" w:eastAsia="Arial Unicode MS" w:hAnsi="Cambria"/>
          <w:color w:val="000000"/>
          <w:sz w:val="20"/>
          <w:szCs w:val="20"/>
          <w:bdr w:val="nil"/>
          <w:lang w:val="en-US" w:eastAsia="lt-LT"/>
        </w:rPr>
        <w:t xml:space="preserve">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4" w:name="_Toc487805678"/>
      <w:bookmarkStart w:id="15" w:name="_Toc488306764"/>
      <w:bookmarkStart w:id="16" w:name="_Toc227136940"/>
      <w:bookmarkStart w:id="17" w:name="_Toc227136953"/>
      <w:bookmarkEnd w:id="10"/>
      <w:bookmarkEnd w:id="11"/>
      <w:bookmarkEnd w:id="12"/>
      <w:r>
        <w:rPr>
          <w:rFonts w:ascii="Cambria" w:hAnsi="Cambria"/>
          <w:b/>
          <w:sz w:val="20"/>
          <w:lang w:eastAsia="lt-LT"/>
        </w:rPr>
        <w:t>4. </w:t>
      </w:r>
      <w:r w:rsidR="00B90A76" w:rsidRPr="00545CDB">
        <w:rPr>
          <w:rFonts w:ascii="Cambria" w:hAnsi="Cambria"/>
          <w:b/>
          <w:sz w:val="20"/>
          <w:lang w:eastAsia="lt-LT"/>
        </w:rPr>
        <w:t>ŪKIO SUBJEKTŲ GRUPĖS DALYVAVIMAS PIRKIMO PROCEDŪROSE</w:t>
      </w:r>
      <w:bookmarkEnd w:id="14"/>
      <w:bookmarkEnd w:id="15"/>
    </w:p>
    <w:p w:rsidR="004327DD" w:rsidRPr="00545CDB" w:rsidRDefault="004327DD" w:rsidP="004327DD">
      <w:pPr>
        <w:rPr>
          <w:rFonts w:ascii="Cambria" w:hAnsi="Cambria"/>
          <w:sz w:val="20"/>
          <w:szCs w:val="20"/>
          <w:lang w:eastAsia="lt-LT"/>
        </w:rPr>
      </w:pPr>
    </w:p>
    <w:bookmarkEnd w:id="16"/>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 xml:space="preserve">ūrose dalyvauja ūkio subjektų grupė, ji pateikia jungtinės veiklos sutartį arba tinkamai patvirtintą </w:t>
      </w:r>
      <w:proofErr w:type="gramStart"/>
      <w:r w:rsidR="007A47C6" w:rsidRPr="00545CDB">
        <w:rPr>
          <w:rFonts w:ascii="Cambria" w:hAnsi="Cambria" w:cs="Times New Roman"/>
          <w:sz w:val="20"/>
          <w:szCs w:val="20"/>
        </w:rPr>
        <w:t>jos</w:t>
      </w:r>
      <w:proofErr w:type="gramEnd"/>
      <w:r w:rsidR="007A47C6" w:rsidRPr="00545CDB">
        <w:rPr>
          <w:rFonts w:ascii="Cambria" w:hAnsi="Cambria" w:cs="Times New Roman"/>
          <w:sz w:val="20"/>
          <w:szCs w:val="20"/>
        </w:rPr>
        <w:t xml:space="preserve">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lastRenderedPageBreak/>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 xml:space="preserve">ėjas neatsižvelgia į </w:t>
      </w:r>
      <w:proofErr w:type="gramStart"/>
      <w:r w:rsidRPr="00545CDB">
        <w:rPr>
          <w:rFonts w:ascii="Cambria" w:hAnsi="Cambria" w:cs="Times New Roman"/>
          <w:sz w:val="20"/>
          <w:szCs w:val="20"/>
        </w:rPr>
        <w:t>tai</w:t>
      </w:r>
      <w:proofErr w:type="gramEnd"/>
      <w:r w:rsidRPr="00545CDB">
        <w:rPr>
          <w:rFonts w:ascii="Cambria" w:hAnsi="Cambria" w:cs="Times New Roman"/>
          <w:sz w:val="20"/>
          <w:szCs w:val="20"/>
        </w:rPr>
        <w:t>,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8" w:name="_Toc60525485"/>
      <w:bookmarkStart w:id="19" w:name="_Toc47844931"/>
      <w:bookmarkStart w:id="20" w:name="_Toc227136943"/>
      <w:bookmarkStart w:id="21" w:name="_Toc487805679"/>
      <w:bookmarkStart w:id="22"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8"/>
      <w:bookmarkEnd w:id="19"/>
      <w:bookmarkEnd w:id="20"/>
      <w:bookmarkEnd w:id="21"/>
      <w:bookmarkEnd w:id="22"/>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3" w:name="_Ref58463908"/>
      <w:bookmarkStart w:id="24" w:name="_Ref60481947"/>
      <w:bookmarkStart w:id="25"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ūlymą, </w:t>
      </w:r>
      <w:proofErr w:type="gramStart"/>
      <w:r w:rsidR="007A47C6" w:rsidRPr="00545CDB">
        <w:rPr>
          <w:rFonts w:ascii="Cambria" w:hAnsi="Cambria" w:cs="Times New Roman"/>
          <w:sz w:val="20"/>
          <w:szCs w:val="20"/>
        </w:rPr>
        <w:t>jo</w:t>
      </w:r>
      <w:proofErr w:type="gramEnd"/>
      <w:r w:rsidR="007A47C6" w:rsidRPr="00545CDB">
        <w:rPr>
          <w:rFonts w:ascii="Cambria" w:hAnsi="Cambria" w:cs="Times New Roman"/>
          <w:sz w:val="20"/>
          <w:szCs w:val="20"/>
        </w:rPr>
        <w:t xml:space="preserve">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w:t>
      </w:r>
      <w:proofErr w:type="gramStart"/>
      <w:r w:rsidR="007A47C6" w:rsidRPr="00545CDB">
        <w:rPr>
          <w:rFonts w:ascii="Cambria" w:hAnsi="Cambria" w:cs="Times New Roman"/>
          <w:sz w:val="20"/>
          <w:szCs w:val="20"/>
        </w:rPr>
        <w:t>pvz.,</w:t>
      </w:r>
      <w:proofErr w:type="gramEnd"/>
      <w:r w:rsidR="007A47C6" w:rsidRPr="00545CDB">
        <w:rPr>
          <w:rFonts w:ascii="Cambria" w:hAnsi="Cambria" w:cs="Times New Roman"/>
          <w:sz w:val="20"/>
          <w:szCs w:val="20"/>
        </w:rPr>
        <w:t xml:space="preserve">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w:t>
      </w:r>
      <w:proofErr w:type="gramStart"/>
      <w:r w:rsidR="007A47C6" w:rsidRPr="00545CDB">
        <w:rPr>
          <w:rFonts w:ascii="Cambria" w:hAnsi="Cambria" w:cs="Times New Roman"/>
          <w:sz w:val="20"/>
          <w:szCs w:val="20"/>
          <w:lang w:val="nl-NL"/>
        </w:rPr>
        <w:t>pvz.,</w:t>
      </w:r>
      <w:proofErr w:type="gramEnd"/>
      <w:r w:rsidR="007A47C6" w:rsidRPr="00545CDB">
        <w:rPr>
          <w:rFonts w:ascii="Cambria" w:hAnsi="Cambria" w:cs="Times New Roman"/>
          <w:sz w:val="20"/>
          <w:szCs w:val="20"/>
          <w:lang w:val="nl-NL"/>
        </w:rPr>
        <w:t xml:space="preserve">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324035">
        <w:rPr>
          <w:rFonts w:ascii="Cambria" w:hAnsi="Cambria" w:cs="Times New Roman"/>
          <w:b/>
          <w:iCs/>
          <w:color w:val="auto"/>
          <w:sz w:val="20"/>
          <w:szCs w:val="20"/>
        </w:rPr>
        <w:t>5</w:t>
      </w:r>
      <w:r w:rsidR="006D4DFF" w:rsidRPr="00545CDB">
        <w:rPr>
          <w:rFonts w:ascii="Cambria" w:hAnsi="Cambria" w:cs="Times New Roman"/>
          <w:b/>
          <w:iCs/>
          <w:color w:val="auto"/>
          <w:sz w:val="20"/>
          <w:szCs w:val="20"/>
        </w:rPr>
        <w:t xml:space="preserve"> m. </w:t>
      </w:r>
      <w:r w:rsidR="00FA2A7A">
        <w:rPr>
          <w:rFonts w:ascii="Cambria" w:hAnsi="Cambria" w:cs="Times New Roman"/>
          <w:b/>
          <w:iCs/>
          <w:color w:val="auto"/>
          <w:sz w:val="20"/>
          <w:szCs w:val="20"/>
        </w:rPr>
        <w:t>gruodžio 30</w:t>
      </w:r>
      <w:r w:rsidR="00C55EDB" w:rsidRPr="00545CDB">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6D471C">
        <w:rPr>
          <w:rFonts w:ascii="Cambria" w:hAnsi="Cambria" w:cs="Times New Roman"/>
          <w:b/>
          <w:iCs/>
          <w:color w:val="auto"/>
          <w:sz w:val="20"/>
          <w:szCs w:val="20"/>
        </w:rPr>
        <w:t>10</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 xml:space="preserve">ėjas sutinka su šiais pirkimo dokumentais ir patvirtina, kad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 xml:space="preserve">.8. Pasiūlyme turi būti nurodytas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w:t>
      </w:r>
      <w:r w:rsidR="00385C13">
        <w:rPr>
          <w:rFonts w:ascii="Cambria" w:hAnsi="Cambria" w:cs="Times New Roman"/>
          <w:color w:val="auto"/>
          <w:sz w:val="20"/>
          <w:szCs w:val="20"/>
          <w:lang w:val="it-IT"/>
        </w:rPr>
        <w:t> </w:t>
      </w:r>
      <w:r w:rsidR="000A0844">
        <w:rPr>
          <w:rFonts w:ascii="Cambria" w:hAnsi="Cambria" w:cs="Times New Roman"/>
          <w:color w:val="auto"/>
          <w:sz w:val="20"/>
          <w:szCs w:val="20"/>
          <w:lang w:val="it-IT"/>
        </w:rPr>
        <w:t>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w:t>
      </w:r>
      <w:proofErr w:type="gramStart"/>
      <w:r w:rsidR="007A47C6" w:rsidRPr="00545CDB">
        <w:rPr>
          <w:rFonts w:ascii="Cambria" w:hAnsi="Cambria" w:cs="Times New Roman"/>
          <w:sz w:val="20"/>
          <w:szCs w:val="20"/>
        </w:rPr>
        <w:t>ko</w:t>
      </w:r>
      <w:proofErr w:type="gramEnd"/>
      <w:r w:rsidR="007A47C6" w:rsidRPr="00545CDB">
        <w:rPr>
          <w:rFonts w:ascii="Cambria" w:hAnsi="Cambria" w:cs="Times New Roman"/>
          <w:sz w:val="20"/>
          <w:szCs w:val="20"/>
        </w:rPr>
        <w:t xml:space="preserve">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lastRenderedPageBreak/>
        <w:tab/>
      </w:r>
      <w:r w:rsidR="00F5120F">
        <w:rPr>
          <w:rFonts w:ascii="Cambria" w:hAnsi="Cambria" w:cs="Times New Roman"/>
          <w:sz w:val="20"/>
          <w:szCs w:val="20"/>
        </w:rPr>
        <w:t>P</w:t>
      </w:r>
      <w:r w:rsidR="00385C13">
        <w:rPr>
          <w:rFonts w:ascii="Cambria" w:hAnsi="Cambria" w:cs="Times New Roman"/>
          <w:sz w:val="20"/>
          <w:szCs w:val="20"/>
        </w:rPr>
        <w:t>asiūlymo kaina</w:t>
      </w:r>
      <w:r w:rsidRPr="00545CDB">
        <w:rPr>
          <w:rFonts w:ascii="Cambria" w:hAnsi="Cambria"/>
          <w:sz w:val="20"/>
          <w:szCs w:val="20"/>
          <w:lang w:val="lt-LT"/>
        </w:rPr>
        <w:t xml:space="preserve">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6D471C" w:rsidRPr="00C662E2" w:rsidRDefault="000353DD" w:rsidP="006D471C">
      <w:pPr>
        <w:pStyle w:val="Body2"/>
        <w:spacing w:after="0"/>
        <w:ind w:firstLine="851"/>
        <w:rPr>
          <w:rFonts w:ascii="Cambria" w:hAnsi="Cambria" w:cs="Times New Roman"/>
          <w:iCs/>
          <w:color w:val="auto"/>
          <w:sz w:val="20"/>
          <w:szCs w:val="20"/>
          <w:lang w:val="lt-LT"/>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xml:space="preserve">. </w:t>
      </w:r>
      <w:r w:rsidR="006D471C" w:rsidRPr="00C662E2">
        <w:rPr>
          <w:rFonts w:ascii="Cambria" w:hAnsi="Cambria" w:cs="Times New Roman"/>
          <w:color w:val="auto"/>
          <w:sz w:val="20"/>
          <w:szCs w:val="20"/>
          <w:lang w:val="lt-LT"/>
        </w:rPr>
        <w:t xml:space="preserve">Tiekėjai turi pateikti pasiūlyme nurodytų parametrų teisingumą įrodančius gamintojo dokumentus (katalogus, techninius aprašus, bukletus ir pan.) originalo, o reikalaujamų parametrų – ir lietuvių kalbomis </w:t>
      </w:r>
      <w:r w:rsidR="006D471C" w:rsidRPr="00C662E2">
        <w:rPr>
          <w:rFonts w:ascii="Cambria" w:hAnsi="Cambria" w:cs="Times New Roman"/>
          <w:color w:val="auto"/>
          <w:sz w:val="20"/>
          <w:szCs w:val="20"/>
        </w:rPr>
        <w:t>(tais atvejais, kai parametrų teisingumą įrodančių gamintojo dokumentų (katalogų, techninių aprašų, bukletų ir pan.) originalo kalba yra anglų kalba, pateikti vertimus į lietuvių kalbą kartu su pasiūlymu nėra privaloma, tačiau tokie vertimai turės būti pateikti viešojo pirkimo komisijai pareikalavus).</w:t>
      </w:r>
      <w:r w:rsidR="006D471C" w:rsidRPr="00C662E2">
        <w:rPr>
          <w:rFonts w:ascii="Cambria" w:hAnsi="Cambria" w:cs="Times New Roman"/>
          <w:color w:val="auto"/>
          <w:sz w:val="20"/>
          <w:szCs w:val="20"/>
          <w:lang w:val="lt-LT"/>
        </w:rPr>
        <w:t xml:space="preserve"> Pageidautina, kad originaliame gamintojo dokumente būtų atžyma, kurį techninės specifikacijos parametrą patvirtina nurodytas parametras.</w:t>
      </w:r>
      <w:r w:rsidR="006D471C" w:rsidRPr="00C662E2">
        <w:rPr>
          <w:rFonts w:ascii="Cambria" w:hAnsi="Cambria" w:cs="Times New Roman"/>
          <w:iCs/>
          <w:color w:val="auto"/>
          <w:sz w:val="20"/>
          <w:szCs w:val="20"/>
          <w:lang w:val="lt-LT"/>
        </w:rPr>
        <w:t xml:space="preserve"> Pateikiamos skaitmeninės dokumentų kopijos.</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 xml:space="preserve">tiekėjo vadovo ar </w:t>
      </w:r>
      <w:proofErr w:type="gramStart"/>
      <w:r w:rsidR="000A0844">
        <w:rPr>
          <w:rFonts w:ascii="Cambria" w:hAnsi="Cambria" w:cs="Times New Roman"/>
          <w:sz w:val="20"/>
          <w:szCs w:val="20"/>
          <w:lang w:val="sv-SE"/>
        </w:rPr>
        <w:t>jo</w:t>
      </w:r>
      <w:proofErr w:type="gramEnd"/>
      <w:r w:rsidR="000A0844">
        <w:rPr>
          <w:rFonts w:ascii="Cambria" w:hAnsi="Cambria" w:cs="Times New Roman"/>
          <w:sz w:val="20"/>
          <w:szCs w:val="20"/>
          <w:lang w:val="sv-SE"/>
        </w:rPr>
        <w:t xml:space="preserve">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3"/>
      <w:bookmarkEnd w:id="24"/>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6"/>
      <w:r>
        <w:rPr>
          <w:rFonts w:ascii="Cambria" w:hAnsi="Cambria"/>
          <w:b/>
          <w:sz w:val="20"/>
        </w:rPr>
        <w:t>6. </w:t>
      </w:r>
      <w:r w:rsidR="00984FAD" w:rsidRPr="00545CDB">
        <w:rPr>
          <w:rFonts w:ascii="Cambria" w:hAnsi="Cambria"/>
          <w:b/>
          <w:sz w:val="20"/>
        </w:rPr>
        <w:t>PASIŪLYMŲ ŠIFRAVIMAS</w:t>
      </w:r>
      <w:bookmarkEnd w:id="26"/>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lastRenderedPageBreak/>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7"/>
      <w:r>
        <w:rPr>
          <w:rFonts w:ascii="Cambria" w:hAnsi="Cambria"/>
          <w:b/>
          <w:sz w:val="20"/>
        </w:rPr>
        <w:t>7. </w:t>
      </w:r>
      <w:r w:rsidR="001C0ED8" w:rsidRPr="00545CDB">
        <w:rPr>
          <w:rFonts w:ascii="Cambria" w:hAnsi="Cambria"/>
          <w:b/>
          <w:sz w:val="20"/>
        </w:rPr>
        <w:t>PASIŪLYMŲ GALIOJIMO UŽTIKRINIMAS</w:t>
      </w:r>
      <w:bookmarkEnd w:id="27"/>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8" w:name="_Toc488306768"/>
      <w:r>
        <w:rPr>
          <w:rFonts w:ascii="Cambria" w:hAnsi="Cambria"/>
          <w:b/>
          <w:sz w:val="20"/>
        </w:rPr>
        <w:t>8. </w:t>
      </w:r>
      <w:r w:rsidR="001C0ED8" w:rsidRPr="00545CDB">
        <w:rPr>
          <w:rFonts w:ascii="Cambria" w:hAnsi="Cambria"/>
          <w:b/>
          <w:sz w:val="20"/>
        </w:rPr>
        <w:t>PAVYZDŽIŲ PATEIKIMAS</w:t>
      </w:r>
      <w:bookmarkEnd w:id="28"/>
    </w:p>
    <w:p w:rsidR="00C207AC" w:rsidRPr="00545CDB" w:rsidRDefault="00C207AC" w:rsidP="00C207AC">
      <w:pPr>
        <w:rPr>
          <w:rFonts w:ascii="Cambria" w:hAnsi="Cambria"/>
          <w:sz w:val="14"/>
          <w:szCs w:val="14"/>
        </w:rPr>
      </w:pPr>
    </w:p>
    <w:p w:rsidR="006D471C" w:rsidRPr="00C662E2" w:rsidRDefault="00984FAD" w:rsidP="006D471C">
      <w:pPr>
        <w:pStyle w:val="Body2"/>
        <w:ind w:firstLine="840"/>
        <w:rPr>
          <w:rFonts w:ascii="Cambria" w:hAnsi="Cambria" w:cs="Times New Roman"/>
          <w:color w:val="FF0000"/>
          <w:sz w:val="20"/>
          <w:szCs w:val="20"/>
          <w:lang w:val="lt-LT"/>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w:t>
      </w:r>
      <w:r w:rsidR="006D471C" w:rsidRPr="00C662E2">
        <w:rPr>
          <w:rFonts w:ascii="Cambria" w:hAnsi="Cambria" w:cs="Times New Roman"/>
          <w:color w:val="auto"/>
          <w:sz w:val="20"/>
          <w:szCs w:val="20"/>
          <w:lang w:val="lt-LT"/>
        </w:rPr>
        <w:t>Komisijai pareikalavus, komisijos nurodytu terminu, Tiekėjai turi pateikti siūlomų prekių pavyzdžius.</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9"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9"/>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w:t>
      </w:r>
      <w:proofErr w:type="gramStart"/>
      <w:r w:rsidR="00984FAD" w:rsidRPr="00545CDB">
        <w:rPr>
          <w:rFonts w:ascii="Cambria" w:hAnsi="Cambria" w:cs="Times New Roman"/>
          <w:color w:val="auto"/>
          <w:sz w:val="20"/>
          <w:szCs w:val="20"/>
        </w:rPr>
        <w:t>dėl</w:t>
      </w:r>
      <w:proofErr w:type="gramEnd"/>
      <w:r w:rsidR="00984FAD" w:rsidRPr="00545CDB">
        <w:rPr>
          <w:rFonts w:ascii="Cambria" w:hAnsi="Cambria" w:cs="Times New Roman"/>
          <w:color w:val="auto"/>
          <w:sz w:val="20"/>
          <w:szCs w:val="20"/>
        </w:rPr>
        <w:t xml:space="preserve">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proofErr w:type="gramStart"/>
      <w:r w:rsidR="00984FAD" w:rsidRPr="00545CDB">
        <w:rPr>
          <w:rFonts w:ascii="Cambria" w:hAnsi="Cambria" w:cs="Times New Roman"/>
          <w:color w:val="auto"/>
          <w:sz w:val="20"/>
          <w:szCs w:val="20"/>
          <w:lang w:val="pt-PT"/>
        </w:rPr>
        <w:t>dalis</w:t>
      </w:r>
      <w:proofErr w:type="gramEnd"/>
      <w:r w:rsidR="00984FAD" w:rsidRPr="00545CDB">
        <w:rPr>
          <w:rFonts w:ascii="Cambria" w:hAnsi="Cambria" w:cs="Times New Roman"/>
          <w:color w:val="auto"/>
          <w:sz w:val="20"/>
          <w:szCs w:val="20"/>
          <w:lang w:val="pt-PT"/>
        </w:rPr>
        <w:t>.</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 xml:space="preserve">kinimai, </w:t>
      </w:r>
      <w:proofErr w:type="gramStart"/>
      <w:r w:rsidR="00984FAD" w:rsidRPr="00545CDB">
        <w:rPr>
          <w:rFonts w:ascii="Cambria" w:hAnsi="Cambria" w:cs="Times New Roman"/>
          <w:sz w:val="20"/>
          <w:szCs w:val="20"/>
          <w:lang w:val="pt-PT"/>
        </w:rPr>
        <w:t>prane</w:t>
      </w:r>
      <w:r w:rsidR="00984FAD" w:rsidRPr="00545CDB">
        <w:rPr>
          <w:rFonts w:ascii="Cambria" w:hAnsi="Cambria" w:cs="Times New Roman"/>
          <w:sz w:val="20"/>
          <w:szCs w:val="20"/>
        </w:rPr>
        <w:t>šimai</w:t>
      </w:r>
      <w:proofErr w:type="gramEnd"/>
      <w:r w:rsidR="00984FAD" w:rsidRPr="00545CDB">
        <w:rPr>
          <w:rFonts w:ascii="Cambria" w:hAnsi="Cambria" w:cs="Times New Roman"/>
          <w:sz w:val="20"/>
          <w:szCs w:val="20"/>
        </w:rPr>
        <w:t xml:space="preserve">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 xml:space="preserve">ų su tiekėjais </w:t>
      </w:r>
      <w:proofErr w:type="gramStart"/>
      <w:r w:rsidR="00984FAD" w:rsidRPr="00545CDB">
        <w:rPr>
          <w:rFonts w:ascii="Cambria" w:hAnsi="Cambria" w:cs="Times New Roman"/>
          <w:sz w:val="20"/>
          <w:szCs w:val="20"/>
        </w:rPr>
        <w:t>dėl</w:t>
      </w:r>
      <w:proofErr w:type="gramEnd"/>
      <w:r w:rsidR="00984FAD" w:rsidRPr="00545CDB">
        <w:rPr>
          <w:rFonts w:ascii="Cambria" w:hAnsi="Cambria" w:cs="Times New Roman"/>
          <w:sz w:val="20"/>
          <w:szCs w:val="20"/>
        </w:rPr>
        <w:t xml:space="preserve"> pirkimo dokumentų paaiškinimų.</w:t>
      </w:r>
      <w:bookmarkEnd w:id="25"/>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30" w:name="_Toc487805680"/>
      <w:bookmarkStart w:id="31" w:name="_Toc488306770"/>
      <w:r>
        <w:rPr>
          <w:rFonts w:ascii="Cambria" w:hAnsi="Cambria"/>
          <w:b/>
          <w:sz w:val="20"/>
          <w:lang w:eastAsia="lt-LT"/>
        </w:rPr>
        <w:t>10. </w:t>
      </w:r>
      <w:r w:rsidR="00B90A76" w:rsidRPr="00545CDB">
        <w:rPr>
          <w:rFonts w:ascii="Cambria" w:hAnsi="Cambria"/>
          <w:b/>
          <w:sz w:val="20"/>
          <w:lang w:eastAsia="lt-LT"/>
        </w:rPr>
        <w:t>SUSIPAŽINIMO SU DALYVIŲ PASIŪLYMAIS PROCEDŪROS</w:t>
      </w:r>
      <w:bookmarkEnd w:id="30"/>
      <w:bookmarkEnd w:id="31"/>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324035">
        <w:rPr>
          <w:rFonts w:ascii="Cambria" w:hAnsi="Cambria"/>
          <w:b/>
          <w:iCs/>
          <w:sz w:val="20"/>
          <w:szCs w:val="20"/>
        </w:rPr>
        <w:t>5</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D97401">
        <w:rPr>
          <w:rFonts w:ascii="Cambria" w:hAnsi="Cambria"/>
          <w:b/>
          <w:iCs/>
          <w:sz w:val="20"/>
          <w:szCs w:val="20"/>
        </w:rPr>
        <w:t>gruodžio 30</w:t>
      </w:r>
      <w:r w:rsidR="00385C13">
        <w:rPr>
          <w:rFonts w:ascii="Cambria" w:hAnsi="Cambria"/>
          <w:b/>
          <w:iCs/>
          <w:sz w:val="20"/>
          <w:szCs w:val="20"/>
        </w:rPr>
        <w:t> </w:t>
      </w:r>
      <w:r w:rsidR="00E42B4B" w:rsidRPr="00545CDB">
        <w:rPr>
          <w:rFonts w:ascii="Cambria" w:hAnsi="Cambria"/>
          <w:b/>
          <w:iCs/>
          <w:sz w:val="20"/>
          <w:szCs w:val="20"/>
        </w:rPr>
        <w:t>d.</w:t>
      </w:r>
      <w:r w:rsidR="005F0E15" w:rsidRPr="00545CDB">
        <w:rPr>
          <w:rFonts w:ascii="Cambria" w:hAnsi="Cambria"/>
          <w:b/>
          <w:iCs/>
          <w:sz w:val="20"/>
          <w:szCs w:val="20"/>
        </w:rPr>
        <w:t xml:space="preserve"> </w:t>
      </w:r>
      <w:r w:rsidR="006D471C">
        <w:rPr>
          <w:rFonts w:ascii="Cambria" w:hAnsi="Cambria"/>
          <w:b/>
          <w:iCs/>
          <w:sz w:val="20"/>
          <w:szCs w:val="20"/>
        </w:rPr>
        <w:t>10</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324035">
        <w:rPr>
          <w:rFonts w:ascii="Cambria" w:hAnsi="Cambria"/>
          <w:b/>
          <w:iCs/>
          <w:sz w:val="20"/>
          <w:szCs w:val="20"/>
          <w:u w:val="single"/>
        </w:rPr>
        <w:t>5</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964E7F" w:rsidRPr="00545CDB">
        <w:rPr>
          <w:rFonts w:ascii="Cambria" w:hAnsi="Cambria"/>
          <w:b/>
          <w:iCs/>
          <w:sz w:val="20"/>
          <w:szCs w:val="20"/>
          <w:u w:val="single"/>
        </w:rPr>
        <w:t xml:space="preserve"> </w:t>
      </w:r>
      <w:r w:rsidR="00D97401">
        <w:rPr>
          <w:rFonts w:ascii="Cambria" w:hAnsi="Cambria"/>
          <w:b/>
          <w:iCs/>
          <w:sz w:val="20"/>
          <w:szCs w:val="20"/>
          <w:u w:val="single"/>
        </w:rPr>
        <w:t>gruodžio 30</w:t>
      </w:r>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6D471C">
        <w:rPr>
          <w:rFonts w:ascii="Cambria" w:hAnsi="Cambria"/>
          <w:b/>
          <w:iCs/>
          <w:sz w:val="20"/>
          <w:szCs w:val="20"/>
          <w:u w:val="single"/>
        </w:rPr>
        <w:t>10</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6D471C">
        <w:rPr>
          <w:rFonts w:ascii="Cambria" w:hAnsi="Cambria"/>
          <w:b/>
          <w:iCs/>
          <w:sz w:val="20"/>
          <w:szCs w:val="20"/>
          <w:u w:val="single"/>
        </w:rPr>
        <w:t>10</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2" w:name="_Toc487805681"/>
      <w:bookmarkStart w:id="33" w:name="_Toc227136946"/>
      <w:bookmarkStart w:id="34" w:name="_Toc488306771"/>
      <w:r>
        <w:rPr>
          <w:rFonts w:ascii="Cambria" w:hAnsi="Cambria"/>
          <w:b/>
          <w:spacing w:val="-8"/>
          <w:sz w:val="20"/>
          <w:lang w:eastAsia="lt-LT"/>
        </w:rPr>
        <w:lastRenderedPageBreak/>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2"/>
      <w:bookmarkEnd w:id="33"/>
      <w:bookmarkEnd w:id="34"/>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5" w:name="_Toc60525491"/>
      <w:bookmarkStart w:id="36" w:name="_Toc47844937"/>
      <w:bookmarkStart w:id="37"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w:t>
      </w:r>
      <w:proofErr w:type="gramStart"/>
      <w:r w:rsidRPr="00545CDB">
        <w:rPr>
          <w:rFonts w:ascii="Cambria" w:hAnsi="Cambria" w:cs="Times New Roman"/>
          <w:sz w:val="20"/>
          <w:szCs w:val="20"/>
        </w:rPr>
        <w:t>nagrinėja</w:t>
      </w:r>
      <w:proofErr w:type="gramEnd"/>
      <w:r w:rsidRPr="00545CDB">
        <w:rPr>
          <w:rFonts w:ascii="Cambria" w:hAnsi="Cambria" w:cs="Times New Roman"/>
          <w:sz w:val="20"/>
          <w:szCs w:val="20"/>
        </w:rPr>
        <w:t xml:space="preserve">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proofErr w:type="gramStart"/>
      <w:r w:rsidRPr="00545CDB">
        <w:rPr>
          <w:rFonts w:ascii="Cambria" w:hAnsi="Cambria" w:cs="Times New Roman"/>
          <w:sz w:val="20"/>
          <w:szCs w:val="20"/>
          <w:lang w:val="lt-LT"/>
        </w:rPr>
        <w:t>įvertina</w:t>
      </w:r>
      <w:proofErr w:type="gramEnd"/>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proofErr w:type="gramStart"/>
      <w:r w:rsidR="00F86165" w:rsidRPr="00545CDB">
        <w:rPr>
          <w:rFonts w:ascii="Cambria" w:hAnsi="Cambria" w:cs="Times New Roman"/>
          <w:color w:val="auto"/>
          <w:sz w:val="20"/>
          <w:szCs w:val="20"/>
          <w:lang w:val="lt-LT"/>
        </w:rPr>
        <w:t>tikrina</w:t>
      </w:r>
      <w:proofErr w:type="gramEnd"/>
      <w:r w:rsidR="00F86165" w:rsidRPr="00545CDB">
        <w:rPr>
          <w:rFonts w:ascii="Cambria" w:hAnsi="Cambria" w:cs="Times New Roman"/>
          <w:color w:val="auto"/>
          <w:sz w:val="20"/>
          <w:szCs w:val="20"/>
          <w:lang w:val="lt-LT"/>
        </w:rPr>
        <w:t xml:space="preserve">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proofErr w:type="gramStart"/>
      <w:r w:rsidR="00FF11FC" w:rsidRPr="00545CDB">
        <w:rPr>
          <w:rFonts w:ascii="Cambria" w:hAnsi="Cambria" w:cs="Times New Roman"/>
          <w:sz w:val="20"/>
          <w:szCs w:val="20"/>
        </w:rPr>
        <w:t>tikrina</w:t>
      </w:r>
      <w:proofErr w:type="gramEnd"/>
      <w:r w:rsidR="00FF11FC" w:rsidRPr="00545CDB">
        <w:rPr>
          <w:rFonts w:ascii="Cambria" w:hAnsi="Cambria" w:cs="Times New Roman"/>
          <w:sz w:val="20"/>
          <w:szCs w:val="20"/>
        </w:rPr>
        <w:t xml:space="preserve">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r w:rsidR="00743242">
        <w:rPr>
          <w:rFonts w:ascii="Cambria" w:hAnsi="Cambria" w:cs="Times New Roman"/>
          <w:sz w:val="20"/>
          <w:szCs w:val="20"/>
        </w:rPr>
        <w:t xml:space="preserve"> (įskaitant ir prekių pavyzdžius, jei taikoma)</w:t>
      </w:r>
      <w:r w:rsidR="00FF11FC" w:rsidRPr="00545CDB">
        <w:rPr>
          <w:rFonts w:ascii="Cambria" w:hAnsi="Cambria" w:cs="Times New Roman"/>
          <w:sz w:val="20"/>
          <w:szCs w:val="20"/>
        </w:rPr>
        <w:t>;</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w:t>
      </w:r>
      <w:proofErr w:type="gramStart"/>
      <w:r w:rsidRPr="00545CDB">
        <w:rPr>
          <w:rFonts w:ascii="Cambria" w:hAnsi="Cambria" w:cs="Times New Roman"/>
          <w:color w:val="auto"/>
          <w:sz w:val="20"/>
          <w:szCs w:val="20"/>
        </w:rPr>
        <w:t>tikrina</w:t>
      </w:r>
      <w:proofErr w:type="gramEnd"/>
      <w:r w:rsidRPr="00545CDB">
        <w:rPr>
          <w:rFonts w:ascii="Cambria" w:hAnsi="Cambria" w:cs="Times New Roman"/>
          <w:color w:val="auto"/>
          <w:sz w:val="20"/>
          <w:szCs w:val="20"/>
        </w:rPr>
        <w:t xml:space="preserve">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w:t>
      </w:r>
      <w:r w:rsidR="006D471C">
        <w:rPr>
          <w:rFonts w:ascii="Cambria" w:hAnsi="Cambria" w:cs="Times New Roman"/>
          <w:color w:val="auto"/>
          <w:sz w:val="20"/>
          <w:szCs w:val="20"/>
        </w:rPr>
        <w:t xml:space="preserve">jeigu taikytina </w:t>
      </w:r>
      <w:r w:rsidR="003800C8" w:rsidRPr="003800C8">
        <w:rPr>
          <w:rFonts w:ascii="Cambria" w:hAnsi="Cambria" w:cs="Times New Roman"/>
          <w:color w:val="auto"/>
          <w:sz w:val="20"/>
          <w:szCs w:val="20"/>
          <w:lang w:val="it-IT"/>
        </w:rPr>
        <w:t xml:space="preserve">atitinka </w:t>
      </w:r>
      <w:r w:rsidR="006D471C">
        <w:rPr>
          <w:rFonts w:ascii="Cambria" w:hAnsi="Cambria" w:cs="Times New Roman"/>
          <w:color w:val="auto"/>
          <w:sz w:val="20"/>
          <w:szCs w:val="20"/>
          <w:lang w:val="it-IT"/>
        </w:rPr>
        <w:t xml:space="preserve">nurodytus </w:t>
      </w:r>
      <w:r w:rsidR="003800C8" w:rsidRPr="003800C8">
        <w:rPr>
          <w:rFonts w:ascii="Cambria" w:hAnsi="Cambria" w:cs="Times New Roman"/>
          <w:color w:val="auto"/>
          <w:sz w:val="20"/>
          <w:szCs w:val="20"/>
        </w:rPr>
        <w:t>kvalifikacijos reikalavimus ir</w:t>
      </w:r>
      <w:r w:rsidR="00385C13">
        <w:rPr>
          <w:rFonts w:ascii="Cambria" w:hAnsi="Cambria" w:cs="Times New Roman"/>
          <w:color w:val="auto"/>
          <w:sz w:val="20"/>
          <w:szCs w:val="20"/>
        </w:rPr>
        <w:t xml:space="preserve"> </w:t>
      </w:r>
      <w:r w:rsidR="006D471C">
        <w:rPr>
          <w:rFonts w:ascii="Cambria" w:hAnsi="Cambria" w:cs="Times New Roman"/>
          <w:color w:val="auto"/>
          <w:sz w:val="20"/>
          <w:szCs w:val="20"/>
        </w:rPr>
        <w:t>,</w:t>
      </w:r>
      <w:r w:rsidR="00385C13">
        <w:rPr>
          <w:rFonts w:ascii="Cambria" w:hAnsi="Cambria" w:cs="Times New Roman"/>
          <w:color w:val="auto"/>
          <w:sz w:val="20"/>
          <w:szCs w:val="20"/>
        </w:rPr>
        <w:t>jeigu taikytina</w:t>
      </w:r>
      <w:r w:rsidR="003800C8" w:rsidRPr="003800C8">
        <w:rPr>
          <w:rFonts w:ascii="Cambria" w:hAnsi="Cambria" w:cs="Times New Roman"/>
          <w:color w:val="auto"/>
          <w:sz w:val="20"/>
          <w:szCs w:val="20"/>
        </w:rPr>
        <w:t>, reikalaujamus kokybė</w:t>
      </w:r>
      <w:r w:rsidR="003800C8" w:rsidRPr="003800C8">
        <w:rPr>
          <w:rFonts w:ascii="Cambria" w:hAnsi="Cambria" w:cs="Times New Roman"/>
          <w:color w:val="auto"/>
          <w:sz w:val="20"/>
          <w:szCs w:val="20"/>
          <w:lang w:val="es-ES_tradnl"/>
        </w:rPr>
        <w:t>s vadybos sistemos ir (arba) aplinkos apsaugos vadybos sistemos standartus</w:t>
      </w:r>
      <w:r w:rsidR="00385C13">
        <w:rPr>
          <w:rFonts w:ascii="Cambria" w:hAnsi="Cambria" w:cs="Times New Roman"/>
          <w:color w:val="auto"/>
          <w:sz w:val="20"/>
          <w:szCs w:val="20"/>
          <w:lang w:val="es-ES_tradnl"/>
        </w:rPr>
        <w:t>.</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 xml:space="preserve">naudas, jeigu </w:t>
      </w:r>
      <w:proofErr w:type="gramStart"/>
      <w:r w:rsidR="002B0528" w:rsidRPr="00545CDB">
        <w:rPr>
          <w:rFonts w:ascii="Cambria" w:hAnsi="Cambria" w:cs="Times New Roman"/>
          <w:color w:val="auto"/>
          <w:sz w:val="20"/>
          <w:szCs w:val="20"/>
          <w:lang w:val="pt-PT"/>
        </w:rPr>
        <w:t>jos</w:t>
      </w:r>
      <w:proofErr w:type="gramEnd"/>
      <w:r w:rsidR="002B0528" w:rsidRPr="00545CDB">
        <w:rPr>
          <w:rFonts w:ascii="Cambria" w:hAnsi="Cambria" w:cs="Times New Roman"/>
          <w:color w:val="auto"/>
          <w:sz w:val="20"/>
          <w:szCs w:val="20"/>
          <w:lang w:val="pt-PT"/>
        </w:rPr>
        <w:t xml:space="preserve">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 xml:space="preserve">Perkančioji organizacija gali nevertinti viso tiekėjo pasiūlymo, jeigu patikrinusi </w:t>
      </w:r>
      <w:proofErr w:type="gramStart"/>
      <w:r w:rsidRPr="00545CDB">
        <w:rPr>
          <w:rFonts w:ascii="Cambria" w:hAnsi="Cambria"/>
          <w:color w:val="auto"/>
          <w:sz w:val="20"/>
          <w:szCs w:val="20"/>
        </w:rPr>
        <w:t>jo</w:t>
      </w:r>
      <w:proofErr w:type="gramEnd"/>
      <w:r w:rsidRPr="00545CDB">
        <w:rPr>
          <w:rFonts w:ascii="Cambria" w:hAnsi="Cambria"/>
          <w:color w:val="auto"/>
          <w:sz w:val="20"/>
          <w:szCs w:val="20"/>
        </w:rPr>
        <w:t xml:space="preserve">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CD5216" w:rsidRPr="00545CDB" w:rsidRDefault="00CD5216"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8" w:name="_Toc488306772"/>
      <w:r>
        <w:rPr>
          <w:rFonts w:ascii="Cambria" w:hAnsi="Cambria"/>
          <w:b/>
          <w:sz w:val="20"/>
        </w:rPr>
        <w:t>12. </w:t>
      </w:r>
      <w:r w:rsidR="0088019D" w:rsidRPr="00545CDB">
        <w:rPr>
          <w:rFonts w:ascii="Cambria" w:hAnsi="Cambria"/>
          <w:b/>
          <w:sz w:val="20"/>
        </w:rPr>
        <w:t>ELEKTRONINIS AUKCIONAS</w:t>
      </w:r>
      <w:bookmarkEnd w:id="38"/>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9"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9"/>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13.1.1. </w:t>
      </w:r>
      <w:proofErr w:type="gramStart"/>
      <w:r w:rsidRPr="00545CDB">
        <w:rPr>
          <w:rFonts w:ascii="Cambria" w:hAnsi="Cambria" w:cs="Times New Roman"/>
          <w:sz w:val="20"/>
          <w:szCs w:val="20"/>
        </w:rPr>
        <w:t>tiekė</w:t>
      </w:r>
      <w:r w:rsidRPr="00545CDB">
        <w:rPr>
          <w:rFonts w:ascii="Cambria" w:hAnsi="Cambria" w:cs="Times New Roman"/>
          <w:sz w:val="20"/>
          <w:szCs w:val="20"/>
          <w:lang w:val="es-ES_tradnl"/>
        </w:rPr>
        <w:t>jas</w:t>
      </w:r>
      <w:proofErr w:type="gramEnd"/>
      <w:r w:rsidRPr="00545CDB">
        <w:rPr>
          <w:rFonts w:ascii="Cambria" w:hAnsi="Cambria" w:cs="Times New Roman"/>
          <w:sz w:val="20"/>
          <w:szCs w:val="20"/>
          <w:lang w:val="es-ES_tradnl"/>
        </w:rPr>
        <w:t xml:space="preserve">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13.1.2. </w:t>
      </w:r>
      <w:proofErr w:type="gramStart"/>
      <w:r w:rsidRPr="00545CDB">
        <w:rPr>
          <w:rFonts w:ascii="Cambria" w:hAnsi="Cambria" w:cs="Times New Roman"/>
          <w:sz w:val="20"/>
          <w:szCs w:val="20"/>
        </w:rPr>
        <w:t>pasiūlymą</w:t>
      </w:r>
      <w:proofErr w:type="gramEnd"/>
      <w:r w:rsidRPr="00545CDB">
        <w:rPr>
          <w:rFonts w:ascii="Cambria" w:hAnsi="Cambria" w:cs="Times New Roman"/>
          <w:sz w:val="20"/>
          <w:szCs w:val="20"/>
        </w:rPr>
        <w:t xml:space="preserve">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lastRenderedPageBreak/>
        <w:tab/>
        <w:t>13.1.</w:t>
      </w:r>
      <w:r w:rsidR="00004ED7" w:rsidRPr="00545CDB">
        <w:rPr>
          <w:rFonts w:ascii="Cambria" w:hAnsi="Cambria" w:cs="Times New Roman"/>
          <w:sz w:val="20"/>
          <w:szCs w:val="20"/>
        </w:rPr>
        <w:t>3</w:t>
      </w:r>
      <w:r w:rsidRPr="00545CDB">
        <w:rPr>
          <w:rFonts w:ascii="Cambria" w:hAnsi="Cambria" w:cs="Times New Roman"/>
          <w:sz w:val="20"/>
          <w:szCs w:val="20"/>
        </w:rPr>
        <w:t xml:space="preserve">. </w:t>
      </w:r>
      <w:proofErr w:type="gramStart"/>
      <w:r w:rsidRPr="00545CDB">
        <w:rPr>
          <w:rFonts w:ascii="Cambria" w:hAnsi="Cambria" w:cs="Times New Roman"/>
          <w:sz w:val="20"/>
          <w:szCs w:val="20"/>
        </w:rPr>
        <w:t>pasiūlymą</w:t>
      </w:r>
      <w:proofErr w:type="gramEnd"/>
      <w:r w:rsidRPr="00545CDB">
        <w:rPr>
          <w:rFonts w:ascii="Cambria" w:hAnsi="Cambria" w:cs="Times New Roman"/>
          <w:sz w:val="20"/>
          <w:szCs w:val="20"/>
        </w:rPr>
        <w:t xml:space="preserve">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 xml:space="preserve">, </w:t>
      </w:r>
      <w:r w:rsidR="009F780C">
        <w:rPr>
          <w:rFonts w:ascii="Cambria" w:hAnsi="Cambria" w:cs="Times New Roman"/>
          <w:sz w:val="20"/>
          <w:szCs w:val="20"/>
        </w:rPr>
        <w:t xml:space="preserve"> </w:t>
      </w:r>
      <w:r w:rsidRPr="00545CDB">
        <w:rPr>
          <w:rFonts w:ascii="Cambria" w:hAnsi="Cambria" w:cs="Times New Roman"/>
          <w:sz w:val="20"/>
          <w:szCs w:val="20"/>
        </w:rPr>
        <w:t>neatitinka nustatytų minimalių kvalifikacijos reikalavimų</w:t>
      </w:r>
      <w:r w:rsidR="00743242">
        <w:rPr>
          <w:rFonts w:ascii="Cambria" w:hAnsi="Cambria" w:cs="Times New Roman"/>
          <w:sz w:val="20"/>
          <w:szCs w:val="20"/>
        </w:rPr>
        <w:t xml:space="preserve"> (jeigu taikytina)</w:t>
      </w:r>
      <w:r w:rsidRPr="00545CDB">
        <w:rPr>
          <w:rFonts w:ascii="Cambria" w:hAnsi="Cambria" w:cs="Times New Roman"/>
          <w:sz w:val="20"/>
          <w:szCs w:val="20"/>
        </w:rPr>
        <w:t>,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proofErr w:type="gramStart"/>
      <w:r w:rsidRPr="00545CDB">
        <w:rPr>
          <w:rFonts w:ascii="Cambria" w:hAnsi="Cambria" w:cs="Times New Roman"/>
          <w:sz w:val="20"/>
          <w:szCs w:val="20"/>
          <w:lang w:val="es-ES_tradnl"/>
        </w:rPr>
        <w:t>pasi</w:t>
      </w:r>
      <w:r w:rsidRPr="00545CDB">
        <w:rPr>
          <w:rFonts w:ascii="Cambria" w:hAnsi="Cambria" w:cs="Times New Roman"/>
          <w:sz w:val="20"/>
          <w:szCs w:val="20"/>
        </w:rPr>
        <w:t>ūlyta</w:t>
      </w:r>
      <w:proofErr w:type="gramEnd"/>
      <w:r w:rsidRPr="00545CDB">
        <w:rPr>
          <w:rFonts w:ascii="Cambria" w:hAnsi="Cambria" w:cs="Times New Roman"/>
          <w:sz w:val="20"/>
          <w:szCs w:val="20"/>
        </w:rPr>
        <w:t xml:space="preserve">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xml:space="preserve">. </w:t>
      </w:r>
      <w:proofErr w:type="gramStart"/>
      <w:r w:rsidRPr="00545CDB">
        <w:rPr>
          <w:rFonts w:ascii="Cambria" w:hAnsi="Cambria" w:cs="Times New Roman"/>
          <w:sz w:val="20"/>
          <w:szCs w:val="20"/>
        </w:rPr>
        <w:t>pasiūlymas</w:t>
      </w:r>
      <w:proofErr w:type="gramEnd"/>
      <w:r w:rsidRPr="00545CDB">
        <w:rPr>
          <w:rFonts w:ascii="Cambria" w:hAnsi="Cambria" w:cs="Times New Roman"/>
          <w:sz w:val="20"/>
          <w:szCs w:val="20"/>
        </w:rPr>
        <w:t xml:space="preserve">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 xml:space="preserve">Šiuo atveju </w:t>
      </w:r>
      <w:proofErr w:type="gramStart"/>
      <w:r w:rsidRPr="00545CDB">
        <w:rPr>
          <w:rFonts w:ascii="Cambria" w:hAnsi="Cambria" w:cs="Times New Roman"/>
          <w:color w:val="auto"/>
          <w:sz w:val="20"/>
          <w:szCs w:val="20"/>
        </w:rPr>
        <w:t>jo</w:t>
      </w:r>
      <w:proofErr w:type="gramEnd"/>
      <w:r w:rsidRPr="00545CDB">
        <w:rPr>
          <w:rFonts w:ascii="Cambria" w:hAnsi="Cambria" w:cs="Times New Roman"/>
          <w:color w:val="auto"/>
          <w:sz w:val="20"/>
          <w:szCs w:val="20"/>
        </w:rPr>
        <w:t xml:space="preserve"> pasiūlymas atmetamas kaip neatitinkantis pirkimo dokumentuose nustatytų reikalavimų;</w:t>
      </w:r>
    </w:p>
    <w:p w:rsidR="00D153A7"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40"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40"/>
      <w:proofErr w:type="gramStart"/>
      <w:r w:rsidRPr="00545CDB">
        <w:rPr>
          <w:rFonts w:ascii="Cambria" w:hAnsi="Cambria" w:cs="Times New Roman"/>
          <w:sz w:val="20"/>
          <w:szCs w:val="20"/>
        </w:rPr>
        <w:t>pateiktame</w:t>
      </w:r>
      <w:proofErr w:type="gramEnd"/>
      <w:r w:rsidRPr="00545CDB">
        <w:rPr>
          <w:rFonts w:ascii="Cambria" w:hAnsi="Cambria" w:cs="Times New Roman"/>
          <w:sz w:val="20"/>
          <w:szCs w:val="20"/>
        </w:rPr>
        <w:t xml:space="preserv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743242" w:rsidRPr="00C662E2" w:rsidRDefault="00743242" w:rsidP="00743242">
      <w:pPr>
        <w:pStyle w:val="Body2"/>
        <w:ind w:firstLine="1296"/>
        <w:rPr>
          <w:rFonts w:ascii="Cambria" w:hAnsi="Cambria" w:cs="Times New Roman"/>
          <w:sz w:val="20"/>
          <w:szCs w:val="20"/>
          <w:lang w:val="lt-LT"/>
        </w:rPr>
      </w:pPr>
      <w:r w:rsidRPr="00C662E2">
        <w:rPr>
          <w:rFonts w:ascii="Cambria" w:hAnsi="Cambria" w:cs="Times New Roman"/>
          <w:sz w:val="20"/>
          <w:szCs w:val="20"/>
          <w:lang w:val="lt-LT"/>
        </w:rPr>
        <w:t>13.1.8. per Komisijos nustatytą terminą, tiekėjas nepateikė prašomų prekių pavyzdžių (jei taikoma);</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743242">
        <w:rPr>
          <w:rFonts w:ascii="Cambria" w:hAnsi="Cambria" w:cs="Times New Roman"/>
          <w:sz w:val="20"/>
          <w:szCs w:val="20"/>
        </w:rPr>
        <w:t>9</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tiekėjas</w:t>
      </w:r>
      <w:proofErr w:type="gramEnd"/>
      <w:r w:rsidR="00D153A7" w:rsidRPr="00545CDB">
        <w:rPr>
          <w:rFonts w:ascii="Cambria" w:hAnsi="Cambria" w:cs="Times New Roman"/>
          <w:sz w:val="20"/>
          <w:szCs w:val="20"/>
        </w:rPr>
        <w:t>,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743242">
        <w:rPr>
          <w:rFonts w:ascii="Cambria" w:hAnsi="Cambria" w:cs="Times New Roman"/>
          <w:sz w:val="20"/>
          <w:szCs w:val="20"/>
        </w:rPr>
        <w:t>10</w:t>
      </w:r>
      <w:r w:rsidRPr="00545CDB">
        <w:rPr>
          <w:rFonts w:ascii="Cambria" w:hAnsi="Cambria" w:cs="Times New Roman"/>
          <w:sz w:val="20"/>
          <w:szCs w:val="20"/>
        </w:rPr>
        <w:t>.</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jei</w:t>
      </w:r>
      <w:proofErr w:type="gramEnd"/>
      <w:r w:rsidR="00D153A7" w:rsidRPr="00545CDB">
        <w:rPr>
          <w:rFonts w:ascii="Cambria" w:hAnsi="Cambria" w:cs="Times New Roman"/>
          <w:sz w:val="20"/>
          <w:szCs w:val="20"/>
        </w:rPr>
        <w:t xml:space="preserve">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1"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1"/>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2"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2"/>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 xml:space="preserve">Perkančioji organizacija, norėdama priimti sprendimą </w:t>
      </w:r>
      <w:proofErr w:type="gramStart"/>
      <w:r w:rsidR="005B161A" w:rsidRPr="00545CDB">
        <w:rPr>
          <w:rFonts w:ascii="Cambria" w:hAnsi="Cambria"/>
          <w:color w:val="auto"/>
          <w:sz w:val="20"/>
          <w:szCs w:val="20"/>
        </w:rPr>
        <w:t>dėl</w:t>
      </w:r>
      <w:proofErr w:type="gramEnd"/>
      <w:r w:rsidR="005B161A" w:rsidRPr="00545CDB">
        <w:rPr>
          <w:rFonts w:ascii="Cambria" w:hAnsi="Cambria"/>
          <w:color w:val="auto"/>
          <w:sz w:val="20"/>
          <w:szCs w:val="20"/>
        </w:rPr>
        <w:t xml:space="preserve">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 xml:space="preserve">ė nenustatoma ir </w:t>
      </w:r>
      <w:proofErr w:type="gramStart"/>
      <w:r w:rsidR="00D153A7" w:rsidRPr="00545CDB">
        <w:rPr>
          <w:rFonts w:ascii="Cambria" w:hAnsi="Cambria" w:cs="Times New Roman"/>
          <w:sz w:val="20"/>
          <w:szCs w:val="20"/>
        </w:rPr>
        <w:t>jo</w:t>
      </w:r>
      <w:proofErr w:type="gramEnd"/>
      <w:r w:rsidR="00D153A7" w:rsidRPr="00545CDB">
        <w:rPr>
          <w:rFonts w:ascii="Cambria" w:hAnsi="Cambria" w:cs="Times New Roman"/>
          <w:sz w:val="20"/>
          <w:szCs w:val="20"/>
        </w:rPr>
        <w:t xml:space="preserve">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priežastis. </w:t>
      </w:r>
      <w:r w:rsidRPr="00545CDB">
        <w:rPr>
          <w:rFonts w:ascii="Cambria" w:hAnsi="Cambria"/>
          <w:color w:val="auto"/>
          <w:sz w:val="20"/>
          <w:szCs w:val="20"/>
        </w:rPr>
        <w:t xml:space="preserve">Perkančioji organizacija taip pat turi nurodyti priežastis,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 xml:space="preserve">Viešųjų pirkimų įstatyme ir pirkimo dokumentuose nustatytomis sąlygomis arba tiekėjų grupė neįsteigia juridinio asmens, kaip nustatyta Viešųjų pirkimų įstatymo 86 straipsnio 4 dalyje, laikoma, kad jis (jie) atsisakė sudaryti </w:t>
      </w:r>
      <w:r w:rsidRPr="00545CDB">
        <w:rPr>
          <w:rFonts w:ascii="Cambria" w:hAnsi="Cambria"/>
          <w:color w:val="auto"/>
          <w:sz w:val="20"/>
          <w:szCs w:val="20"/>
        </w:rPr>
        <w:lastRenderedPageBreak/>
        <w:t>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3"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3"/>
    </w:p>
    <w:p w:rsidR="00697FCC" w:rsidRPr="00545CDB" w:rsidRDefault="00697FCC" w:rsidP="00697FCC">
      <w:pPr>
        <w:pStyle w:val="Body2"/>
        <w:ind w:left="360"/>
        <w:rPr>
          <w:rFonts w:ascii="Cambria" w:hAnsi="Cambria"/>
          <w:b/>
          <w:sz w:val="20"/>
        </w:rPr>
      </w:pPr>
    </w:p>
    <w:bookmarkEnd w:id="35"/>
    <w:bookmarkEnd w:id="36"/>
    <w:bookmarkEnd w:id="37"/>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w:t>
      </w:r>
      <w:proofErr w:type="gramStart"/>
      <w:r w:rsidRPr="00545CDB">
        <w:rPr>
          <w:rFonts w:ascii="Cambria" w:hAnsi="Cambria" w:cs="Times New Roman"/>
          <w:sz w:val="20"/>
          <w:szCs w:val="20"/>
        </w:rPr>
        <w:t>jos</w:t>
      </w:r>
      <w:proofErr w:type="gramEnd"/>
      <w:r w:rsidRPr="00545CDB">
        <w:rPr>
          <w:rFonts w:ascii="Cambria" w:hAnsi="Cambria" w:cs="Times New Roman"/>
          <w:sz w:val="20"/>
          <w:szCs w:val="20"/>
        </w:rPr>
        <w:t xml:space="preserve">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 xml:space="preserve">ti tik </w:t>
      </w:r>
      <w:proofErr w:type="gramStart"/>
      <w:r w:rsidRPr="00545CDB">
        <w:rPr>
          <w:rFonts w:ascii="Cambria" w:hAnsi="Cambria" w:cs="Times New Roman"/>
          <w:sz w:val="20"/>
          <w:szCs w:val="20"/>
          <w:lang w:val="nl-NL"/>
        </w:rPr>
        <w:t>tas</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 xml:space="preserve">ų pakartotinai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 xml:space="preserve">čiajai organizacija i nepagrįstai nutraukus pirkimo sutartį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16.10.1.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16.10.2.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w:t>
      </w:r>
      <w:proofErr w:type="gramStart"/>
      <w:r w:rsidRPr="00545CDB">
        <w:rPr>
          <w:rFonts w:ascii="Cambria" w:hAnsi="Cambria" w:cs="Times New Roman"/>
          <w:sz w:val="20"/>
          <w:szCs w:val="20"/>
        </w:rPr>
        <w:t>teismo</w:t>
      </w:r>
      <w:proofErr w:type="gramEnd"/>
      <w:r w:rsidRPr="00545CDB">
        <w:rPr>
          <w:rFonts w:ascii="Cambria" w:hAnsi="Cambria" w:cs="Times New Roman"/>
          <w:sz w:val="20"/>
          <w:szCs w:val="20"/>
        </w:rPr>
        <w:t xml:space="preserve">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16.11. Jeigu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 xml:space="preserve">ą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4" w:name="_Toc488306777"/>
      <w:r w:rsidRPr="00545CDB">
        <w:rPr>
          <w:rFonts w:ascii="Cambria" w:hAnsi="Cambria"/>
          <w:b/>
          <w:sz w:val="20"/>
        </w:rPr>
        <w:lastRenderedPageBreak/>
        <w:t>PIRKIMO SUTARTIES PASIRAŠYMAS IR SĄLYGOS</w:t>
      </w:r>
      <w:bookmarkStart w:id="45" w:name="_Hlk488958351"/>
      <w:bookmarkEnd w:id="44"/>
    </w:p>
    <w:p w:rsidR="00511021" w:rsidRPr="00545CDB" w:rsidRDefault="00197D08" w:rsidP="00165A44">
      <w:pPr>
        <w:pStyle w:val="BodyText30"/>
        <w:spacing w:after="0"/>
        <w:ind w:firstLine="1296"/>
        <w:jc w:val="both"/>
        <w:rPr>
          <w:rFonts w:ascii="Cambria" w:hAnsi="Cambria"/>
          <w:sz w:val="20"/>
          <w:szCs w:val="20"/>
        </w:rPr>
      </w:pPr>
      <w:r w:rsidRPr="00545CDB">
        <w:rPr>
          <w:rFonts w:ascii="Cambria" w:hAnsi="Cambria"/>
          <w:sz w:val="20"/>
          <w:szCs w:val="20"/>
        </w:rPr>
        <w:t>17</w:t>
      </w:r>
      <w:r w:rsidR="00165A44" w:rsidRPr="00545CDB">
        <w:rPr>
          <w:rFonts w:ascii="Cambria" w:hAnsi="Cambria"/>
          <w:sz w:val="20"/>
          <w:szCs w:val="20"/>
        </w:rPr>
        <w:t>.</w:t>
      </w:r>
      <w:r w:rsidR="00651C17" w:rsidRPr="00545CDB">
        <w:rPr>
          <w:rFonts w:ascii="Cambria" w:hAnsi="Cambria"/>
          <w:sz w:val="20"/>
          <w:szCs w:val="20"/>
          <w:lang w:val="en-US"/>
        </w:rPr>
        <w:t>1</w:t>
      </w:r>
      <w:r w:rsidR="00511021" w:rsidRPr="00545CDB">
        <w:rPr>
          <w:rFonts w:ascii="Cambria" w:hAnsi="Cambria"/>
          <w:sz w:val="20"/>
          <w:szCs w:val="20"/>
        </w:rPr>
        <w:t xml:space="preserve">. </w:t>
      </w:r>
      <w:bookmarkEnd w:id="45"/>
      <w:r w:rsidR="00511021" w:rsidRPr="00545CDB">
        <w:rPr>
          <w:rFonts w:ascii="Cambria" w:hAnsi="Cambria"/>
          <w:sz w:val="20"/>
          <w:szCs w:val="20"/>
          <w:lang w:val="sv-SE"/>
        </w:rPr>
        <w:t>Perkan</w:t>
      </w:r>
      <w:r w:rsidR="00511021" w:rsidRPr="00545CDB">
        <w:rPr>
          <w:rFonts w:ascii="Cambria" w:hAnsi="Cambria"/>
          <w:sz w:val="20"/>
          <w:szCs w:val="20"/>
        </w:rPr>
        <w:t>čioji organizacija sudaryti pirkimo sutartį raštu kviečia tą dalyvį, kurio pasiūlymas pripažintas laimėjusiu, kartu jam nu</w:t>
      </w:r>
      <w:r w:rsidR="001D4CFD" w:rsidRPr="00545CDB">
        <w:rPr>
          <w:rFonts w:ascii="Cambria" w:hAnsi="Cambria"/>
          <w:sz w:val="20"/>
          <w:szCs w:val="20"/>
        </w:rPr>
        <w:t>rodomas laikas, iki kada reikia</w:t>
      </w:r>
      <w:r w:rsidR="00165A44" w:rsidRPr="00545CDB">
        <w:rPr>
          <w:rFonts w:ascii="Cambria" w:hAnsi="Cambria"/>
          <w:sz w:val="20"/>
          <w:szCs w:val="20"/>
        </w:rPr>
        <w:t xml:space="preserve"> sudaryti pirkimo sutartį</w:t>
      </w:r>
      <w:r w:rsidR="00511021" w:rsidRPr="00545CDB">
        <w:rPr>
          <w:rFonts w:ascii="Cambria" w:hAnsi="Cambria"/>
          <w:sz w:val="20"/>
          <w:szCs w:val="20"/>
        </w:rPr>
        <w:t xml:space="preserve">. </w:t>
      </w:r>
    </w:p>
    <w:p w:rsidR="000E4739" w:rsidRPr="00545CDB" w:rsidRDefault="00197D08" w:rsidP="00165A44">
      <w:pPr>
        <w:pStyle w:val="Body2"/>
        <w:ind w:firstLine="1296"/>
        <w:rPr>
          <w:rFonts w:ascii="Cambria" w:hAnsi="Cambria" w:cs="Times New Roman"/>
          <w:color w:val="auto"/>
          <w:sz w:val="20"/>
          <w:szCs w:val="20"/>
        </w:rPr>
      </w:pPr>
      <w:r w:rsidRPr="00545CDB">
        <w:rPr>
          <w:rFonts w:ascii="Cambria" w:hAnsi="Cambria" w:cs="Times New Roman"/>
          <w:sz w:val="20"/>
          <w:szCs w:val="20"/>
        </w:rPr>
        <w:t>17</w:t>
      </w:r>
      <w:r w:rsidR="00165A44" w:rsidRPr="00545CDB">
        <w:rPr>
          <w:rFonts w:ascii="Cambria" w:hAnsi="Cambria" w:cs="Times New Roman"/>
          <w:sz w:val="20"/>
          <w:szCs w:val="20"/>
        </w:rPr>
        <w:t>.</w:t>
      </w:r>
      <w:r w:rsidR="00651C17" w:rsidRPr="00545CDB">
        <w:rPr>
          <w:rFonts w:ascii="Cambria" w:hAnsi="Cambria" w:cs="Times New Roman"/>
          <w:sz w:val="20"/>
          <w:szCs w:val="20"/>
        </w:rPr>
        <w:t>2</w:t>
      </w:r>
      <w:r w:rsidR="00511021" w:rsidRPr="00545CDB">
        <w:rPr>
          <w:rFonts w:ascii="Cambria" w:hAnsi="Cambria" w:cs="Times New Roman"/>
          <w:sz w:val="20"/>
          <w:szCs w:val="20"/>
        </w:rPr>
        <w:t xml:space="preserve">. Pirkimo sutarties </w:t>
      </w:r>
      <w:r w:rsidR="006C3206">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545CDB" w:rsidRDefault="00CD6DB5" w:rsidP="00CD6DB5">
      <w:pPr>
        <w:pStyle w:val="BodyTextIndent"/>
        <w:pBdr>
          <w:bottom w:val="single" w:sz="12" w:space="1" w:color="auto"/>
        </w:pBdr>
        <w:ind w:left="0" w:firstLine="1296"/>
        <w:jc w:val="both"/>
        <w:rPr>
          <w:rFonts w:ascii="Cambria" w:hAnsi="Cambria"/>
          <w:bCs/>
          <w:i/>
          <w:sz w:val="20"/>
          <w:szCs w:val="20"/>
        </w:rPr>
      </w:pPr>
      <w:r w:rsidRPr="00545CDB">
        <w:rPr>
          <w:rFonts w:ascii="Cambria" w:hAnsi="Cambria"/>
          <w:sz w:val="20"/>
          <w:szCs w:val="20"/>
        </w:rPr>
        <w:t xml:space="preserve">17.3. </w:t>
      </w:r>
      <w:r w:rsidRPr="00545CDB">
        <w:rPr>
          <w:rFonts w:ascii="Cambria" w:hAnsi="Cambria"/>
          <w:bCs/>
          <w:sz w:val="20"/>
          <w:szCs w:val="20"/>
        </w:rPr>
        <w:t>Taikoma kainodara – fiksuotas įkainis</w:t>
      </w:r>
      <w:r w:rsidR="00AC18DC" w:rsidRPr="00545CDB">
        <w:rPr>
          <w:rFonts w:ascii="Cambria" w:hAnsi="Cambria"/>
          <w:bCs/>
          <w:sz w:val="20"/>
          <w:szCs w:val="20"/>
        </w:rPr>
        <w:t>.</w:t>
      </w: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7"/>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6E2EA6" w:rsidRDefault="006E2EA6"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EC4016" w:rsidRDefault="00EC4016" w:rsidP="00B90A76">
      <w:pPr>
        <w:rPr>
          <w:rFonts w:ascii="Cambria" w:hAnsi="Cambria"/>
          <w:sz w:val="20"/>
          <w:szCs w:val="20"/>
        </w:rPr>
      </w:pPr>
    </w:p>
    <w:p w:rsidR="00EC4016" w:rsidRDefault="00EC4016" w:rsidP="00B90A76">
      <w:pPr>
        <w:rPr>
          <w:rFonts w:ascii="Cambria" w:hAnsi="Cambria"/>
          <w:sz w:val="20"/>
          <w:szCs w:val="20"/>
        </w:rPr>
      </w:pPr>
    </w:p>
    <w:p w:rsidR="00EC4016" w:rsidRDefault="00EC4016" w:rsidP="00B90A76">
      <w:pPr>
        <w:rPr>
          <w:rFonts w:ascii="Cambria" w:hAnsi="Cambria"/>
          <w:sz w:val="20"/>
          <w:szCs w:val="20"/>
        </w:rPr>
      </w:pPr>
    </w:p>
    <w:p w:rsidR="00EC4016" w:rsidRDefault="00EC4016" w:rsidP="00B90A76">
      <w:pPr>
        <w:rPr>
          <w:rFonts w:ascii="Cambria" w:hAnsi="Cambria"/>
          <w:sz w:val="20"/>
          <w:szCs w:val="20"/>
        </w:rPr>
      </w:pPr>
    </w:p>
    <w:p w:rsidR="00EC4016" w:rsidRDefault="00EC4016" w:rsidP="00B90A76">
      <w:pPr>
        <w:rPr>
          <w:rFonts w:ascii="Cambria" w:hAnsi="Cambria"/>
          <w:sz w:val="20"/>
          <w:szCs w:val="20"/>
        </w:rPr>
      </w:pPr>
    </w:p>
    <w:p w:rsidR="00EC4016" w:rsidRDefault="00EC4016" w:rsidP="00B90A76">
      <w:pPr>
        <w:rPr>
          <w:rFonts w:ascii="Cambria" w:hAnsi="Cambria"/>
          <w:sz w:val="20"/>
          <w:szCs w:val="20"/>
        </w:rPr>
      </w:pPr>
    </w:p>
    <w:p w:rsidR="00EC4016" w:rsidRDefault="00EC4016" w:rsidP="00B90A76">
      <w:pPr>
        <w:rPr>
          <w:rFonts w:ascii="Cambria" w:hAnsi="Cambria"/>
          <w:sz w:val="20"/>
          <w:szCs w:val="20"/>
        </w:rPr>
      </w:pPr>
    </w:p>
    <w:p w:rsidR="00EC4016" w:rsidRDefault="00EC4016" w:rsidP="00B90A76">
      <w:pPr>
        <w:rPr>
          <w:rFonts w:ascii="Cambria" w:hAnsi="Cambria"/>
          <w:sz w:val="20"/>
          <w:szCs w:val="20"/>
        </w:rPr>
      </w:pPr>
    </w:p>
    <w:p w:rsidR="00EC4016" w:rsidRDefault="00EC4016" w:rsidP="00B90A76">
      <w:pPr>
        <w:rPr>
          <w:rFonts w:ascii="Cambria" w:hAnsi="Cambria"/>
          <w:sz w:val="20"/>
          <w:szCs w:val="20"/>
        </w:rPr>
      </w:pPr>
    </w:p>
    <w:p w:rsidR="00EC4016" w:rsidRDefault="00EC4016" w:rsidP="00B90A76">
      <w:pPr>
        <w:rPr>
          <w:rFonts w:ascii="Cambria" w:hAnsi="Cambria"/>
          <w:sz w:val="20"/>
          <w:szCs w:val="20"/>
        </w:rPr>
      </w:pPr>
    </w:p>
    <w:p w:rsidR="00EC4016" w:rsidRDefault="00EC4016"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lastRenderedPageBreak/>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D7585C" w:rsidRPr="00545CDB" w:rsidRDefault="0038693C" w:rsidP="00D7585C">
      <w:pPr>
        <w:tabs>
          <w:tab w:val="right" w:leader="underscore" w:pos="8505"/>
        </w:tabs>
        <w:jc w:val="center"/>
        <w:rPr>
          <w:rFonts w:ascii="Cambria" w:hAnsi="Cambria"/>
          <w:b/>
          <w:bCs/>
          <w:sz w:val="20"/>
          <w:szCs w:val="20"/>
        </w:rPr>
      </w:pPr>
      <w:r w:rsidRPr="00545CDB">
        <w:rPr>
          <w:rFonts w:ascii="Cambria" w:hAnsi="Cambria"/>
          <w:b/>
          <w:bCs/>
          <w:sz w:val="20"/>
          <w:szCs w:val="20"/>
        </w:rPr>
        <w:t xml:space="preserve">DĖL </w:t>
      </w:r>
      <w:r>
        <w:rPr>
          <w:rFonts w:ascii="Cambria" w:hAnsi="Cambria"/>
          <w:b/>
          <w:bCs/>
          <w:sz w:val="20"/>
          <w:szCs w:val="20"/>
        </w:rPr>
        <w:t xml:space="preserve">MAIŠŲ INFUZINIŲ TIRPALŲ MIŠINIUI RUOŠTI PIRKIMO </w:t>
      </w:r>
    </w:p>
    <w:p w:rsidR="0007063A" w:rsidRPr="00545CDB" w:rsidRDefault="0007063A" w:rsidP="0007063A">
      <w:pPr>
        <w:shd w:val="clear" w:color="auto" w:fill="FFFFFF"/>
        <w:jc w:val="center"/>
        <w:rPr>
          <w:rFonts w:ascii="Cambria" w:hAnsi="Cambria"/>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131DBB">
      <w:pPr>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w:t>
      </w:r>
      <w:r w:rsidR="00BA462F" w:rsidRPr="00545CDB">
        <w:rPr>
          <w:rFonts w:ascii="Cambria" w:hAnsi="Cambria"/>
          <w:spacing w:val="-4"/>
          <w:sz w:val="20"/>
          <w:szCs w:val="20"/>
        </w:rPr>
        <w:t xml:space="preserve">kvalifikuotu </w:t>
      </w:r>
      <w:r w:rsidRPr="00545CDB">
        <w:rPr>
          <w:rFonts w:ascii="Cambria" w:hAnsi="Cambria"/>
          <w:spacing w:val="-4"/>
          <w:sz w:val="20"/>
          <w:szCs w:val="20"/>
        </w:rPr>
        <w:t>elektroniniu parašu,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lastRenderedPageBreak/>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EC4016">
      <w:pPr>
        <w:tabs>
          <w:tab w:val="left" w:pos="8647"/>
        </w:tabs>
        <w:jc w:val="both"/>
        <w:rPr>
          <w:rFonts w:ascii="Cambria" w:hAnsi="Cambria"/>
          <w:sz w:val="20"/>
          <w:szCs w:val="20"/>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r>
      <w:r w:rsidR="00EC4016">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545CDB">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9FA" w:rsidRDefault="000C69FA" w:rsidP="00B90A76">
      <w:r>
        <w:separator/>
      </w:r>
    </w:p>
  </w:endnote>
  <w:endnote w:type="continuationSeparator" w:id="0">
    <w:p w:rsidR="000C69FA" w:rsidRDefault="000C69FA"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73E" w:rsidRDefault="0094473E">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Content>
      <w:p w:rsidR="0094473E" w:rsidRPr="00623B65" w:rsidRDefault="0094473E">
        <w:pPr>
          <w:pStyle w:val="Footer"/>
          <w:jc w:val="right"/>
          <w:rPr>
            <w:sz w:val="20"/>
          </w:rPr>
        </w:pPr>
      </w:p>
    </w:sdtContent>
  </w:sdt>
  <w:p w:rsidR="0094473E" w:rsidRDefault="0094473E">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9FA" w:rsidRDefault="000C69FA" w:rsidP="00B90A76">
      <w:r>
        <w:separator/>
      </w:r>
    </w:p>
  </w:footnote>
  <w:footnote w:type="continuationSeparator" w:id="0">
    <w:p w:rsidR="000C69FA" w:rsidRDefault="000C69FA" w:rsidP="00B90A76">
      <w:r>
        <w:continuationSeparator/>
      </w:r>
    </w:p>
  </w:footnote>
  <w:footnote w:id="1">
    <w:p w:rsidR="0094473E" w:rsidRPr="00BA5459" w:rsidRDefault="0094473E"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94473E" w:rsidRPr="00BA5459" w:rsidRDefault="0094473E"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94473E" w:rsidRPr="00BA5459" w:rsidRDefault="0094473E"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4473E" w:rsidRDefault="0094473E" w:rsidP="005C1BD0">
      <w:pPr>
        <w:pStyle w:val="FootnoteText"/>
      </w:pPr>
    </w:p>
  </w:footnote>
  <w:footnote w:id="2">
    <w:p w:rsidR="0094473E" w:rsidRPr="00344E3D" w:rsidRDefault="0094473E"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94473E" w:rsidRPr="00344E3D" w:rsidRDefault="0094473E" w:rsidP="004B6E8C">
      <w:pPr>
        <w:pStyle w:val="FootnoteText"/>
        <w:numPr>
          <w:ilvl w:val="0"/>
          <w:numId w:val="9"/>
        </w:numPr>
        <w:spacing w:after="0"/>
        <w:rPr>
          <w:i/>
          <w:iCs/>
          <w:sz w:val="18"/>
          <w:szCs w:val="18"/>
        </w:rPr>
      </w:pPr>
      <w:r w:rsidRPr="00344E3D">
        <w:rPr>
          <w:i/>
          <w:iCs/>
          <w:sz w:val="18"/>
          <w:szCs w:val="18"/>
        </w:rPr>
        <w:t xml:space="preserve">priesaikos deklaracija; </w:t>
      </w:r>
    </w:p>
    <w:p w:rsidR="0094473E" w:rsidRPr="00344E3D" w:rsidRDefault="0094473E"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4473E" w:rsidRDefault="0094473E" w:rsidP="005C1BD0">
      <w:pPr>
        <w:pStyle w:val="FootnoteText"/>
      </w:pPr>
    </w:p>
  </w:footnote>
  <w:footnote w:id="3">
    <w:p w:rsidR="0094473E" w:rsidRPr="00D76940" w:rsidRDefault="0094473E"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94473E" w:rsidRPr="00D76940" w:rsidRDefault="0094473E" w:rsidP="004B6E8C">
      <w:pPr>
        <w:pStyle w:val="FootnoteText"/>
        <w:numPr>
          <w:ilvl w:val="0"/>
          <w:numId w:val="10"/>
        </w:numPr>
        <w:spacing w:after="0"/>
        <w:rPr>
          <w:i/>
          <w:iCs/>
          <w:sz w:val="18"/>
          <w:szCs w:val="18"/>
        </w:rPr>
      </w:pPr>
      <w:r w:rsidRPr="00D76940">
        <w:rPr>
          <w:i/>
          <w:iCs/>
          <w:sz w:val="18"/>
          <w:szCs w:val="18"/>
        </w:rPr>
        <w:t xml:space="preserve">priesaikos deklaracija; </w:t>
      </w:r>
    </w:p>
    <w:p w:rsidR="0094473E" w:rsidRPr="00D76940" w:rsidRDefault="0094473E"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4473E" w:rsidRDefault="0094473E"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73E" w:rsidRDefault="0094473E">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473E" w:rsidRDefault="0094473E">
    <w:pPr>
      <w:pStyle w:val="Header"/>
    </w:pPr>
  </w:p>
  <w:p w:rsidR="0094473E" w:rsidRDefault="009447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73E" w:rsidRDefault="0094473E">
    <w:pPr>
      <w:pStyle w:val="Header"/>
      <w:framePr w:wrap="auto" w:vAnchor="text" w:hAnchor="margin" w:xAlign="center" w:y="1"/>
      <w:rPr>
        <w:rStyle w:val="PageNumber"/>
      </w:rPr>
    </w:pPr>
  </w:p>
  <w:p w:rsidR="0094473E" w:rsidRDefault="0094473E">
    <w:pPr>
      <w:pStyle w:val="Header"/>
    </w:pPr>
  </w:p>
  <w:p w:rsidR="0094473E" w:rsidRDefault="009447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198"/>
    <w:rsid w:val="00027324"/>
    <w:rsid w:val="000307DD"/>
    <w:rsid w:val="00031594"/>
    <w:rsid w:val="000341FD"/>
    <w:rsid w:val="00034509"/>
    <w:rsid w:val="000353DD"/>
    <w:rsid w:val="000368AC"/>
    <w:rsid w:val="00036ED0"/>
    <w:rsid w:val="000407CB"/>
    <w:rsid w:val="0004352F"/>
    <w:rsid w:val="00045F16"/>
    <w:rsid w:val="000467E8"/>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3E1"/>
    <w:rsid w:val="00084C44"/>
    <w:rsid w:val="00086C43"/>
    <w:rsid w:val="00091A31"/>
    <w:rsid w:val="00095E79"/>
    <w:rsid w:val="000A0844"/>
    <w:rsid w:val="000A5563"/>
    <w:rsid w:val="000A5F6C"/>
    <w:rsid w:val="000B1342"/>
    <w:rsid w:val="000B1D99"/>
    <w:rsid w:val="000B3A0D"/>
    <w:rsid w:val="000B5D38"/>
    <w:rsid w:val="000C0F23"/>
    <w:rsid w:val="000C2D5A"/>
    <w:rsid w:val="000C34F3"/>
    <w:rsid w:val="000C3A57"/>
    <w:rsid w:val="000C69FA"/>
    <w:rsid w:val="000D0303"/>
    <w:rsid w:val="000D0470"/>
    <w:rsid w:val="000D11B3"/>
    <w:rsid w:val="000D214A"/>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72AC"/>
    <w:rsid w:val="00143584"/>
    <w:rsid w:val="001437F0"/>
    <w:rsid w:val="00144FA4"/>
    <w:rsid w:val="00146AA2"/>
    <w:rsid w:val="00151EA0"/>
    <w:rsid w:val="001520B3"/>
    <w:rsid w:val="00152F00"/>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5BF4"/>
    <w:rsid w:val="001B0B65"/>
    <w:rsid w:val="001B1A01"/>
    <w:rsid w:val="001C0ED8"/>
    <w:rsid w:val="001C1AD8"/>
    <w:rsid w:val="001C442D"/>
    <w:rsid w:val="001C4791"/>
    <w:rsid w:val="001C7487"/>
    <w:rsid w:val="001D0167"/>
    <w:rsid w:val="001D4CFD"/>
    <w:rsid w:val="001E0791"/>
    <w:rsid w:val="001F45DB"/>
    <w:rsid w:val="001F6427"/>
    <w:rsid w:val="001F6BA6"/>
    <w:rsid w:val="00202970"/>
    <w:rsid w:val="00202A15"/>
    <w:rsid w:val="00205BF5"/>
    <w:rsid w:val="00207021"/>
    <w:rsid w:val="00214A90"/>
    <w:rsid w:val="00220322"/>
    <w:rsid w:val="00223522"/>
    <w:rsid w:val="002257E7"/>
    <w:rsid w:val="00231B71"/>
    <w:rsid w:val="00234590"/>
    <w:rsid w:val="0024145C"/>
    <w:rsid w:val="00242184"/>
    <w:rsid w:val="00242F3B"/>
    <w:rsid w:val="002438E0"/>
    <w:rsid w:val="002448C5"/>
    <w:rsid w:val="00250D7A"/>
    <w:rsid w:val="00255035"/>
    <w:rsid w:val="002568B2"/>
    <w:rsid w:val="00257C3F"/>
    <w:rsid w:val="00260B0A"/>
    <w:rsid w:val="002624DB"/>
    <w:rsid w:val="002730BC"/>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1193"/>
    <w:rsid w:val="002E2F8D"/>
    <w:rsid w:val="002E31AA"/>
    <w:rsid w:val="002E4954"/>
    <w:rsid w:val="002F4BFC"/>
    <w:rsid w:val="002F5E93"/>
    <w:rsid w:val="002F613D"/>
    <w:rsid w:val="002F7F8E"/>
    <w:rsid w:val="00300049"/>
    <w:rsid w:val="00300CFD"/>
    <w:rsid w:val="00301F95"/>
    <w:rsid w:val="00302602"/>
    <w:rsid w:val="00305037"/>
    <w:rsid w:val="00305744"/>
    <w:rsid w:val="00305B83"/>
    <w:rsid w:val="003062E1"/>
    <w:rsid w:val="00306807"/>
    <w:rsid w:val="00306BD6"/>
    <w:rsid w:val="00306E3C"/>
    <w:rsid w:val="003070B5"/>
    <w:rsid w:val="00307865"/>
    <w:rsid w:val="003127AD"/>
    <w:rsid w:val="00315760"/>
    <w:rsid w:val="00315994"/>
    <w:rsid w:val="0031723C"/>
    <w:rsid w:val="00317CFC"/>
    <w:rsid w:val="003232DC"/>
    <w:rsid w:val="00324035"/>
    <w:rsid w:val="00331E97"/>
    <w:rsid w:val="0033415E"/>
    <w:rsid w:val="003379F7"/>
    <w:rsid w:val="00343B4B"/>
    <w:rsid w:val="003451D2"/>
    <w:rsid w:val="003455AC"/>
    <w:rsid w:val="003460A7"/>
    <w:rsid w:val="00354782"/>
    <w:rsid w:val="003606E9"/>
    <w:rsid w:val="003620DB"/>
    <w:rsid w:val="003626E7"/>
    <w:rsid w:val="0036321B"/>
    <w:rsid w:val="00363321"/>
    <w:rsid w:val="003800C8"/>
    <w:rsid w:val="00380E35"/>
    <w:rsid w:val="00381C02"/>
    <w:rsid w:val="00385C13"/>
    <w:rsid w:val="003861CD"/>
    <w:rsid w:val="0038693C"/>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D223A"/>
    <w:rsid w:val="003D7BAB"/>
    <w:rsid w:val="003E2374"/>
    <w:rsid w:val="003E2F1B"/>
    <w:rsid w:val="003E45C5"/>
    <w:rsid w:val="003E4749"/>
    <w:rsid w:val="003E50BB"/>
    <w:rsid w:val="003E56F9"/>
    <w:rsid w:val="003F0721"/>
    <w:rsid w:val="003F7DD9"/>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464FB"/>
    <w:rsid w:val="00450325"/>
    <w:rsid w:val="004512D5"/>
    <w:rsid w:val="004552D1"/>
    <w:rsid w:val="00461901"/>
    <w:rsid w:val="0046256F"/>
    <w:rsid w:val="00466924"/>
    <w:rsid w:val="00472EA9"/>
    <w:rsid w:val="00474435"/>
    <w:rsid w:val="00484EDF"/>
    <w:rsid w:val="004863A2"/>
    <w:rsid w:val="004866D9"/>
    <w:rsid w:val="00490C99"/>
    <w:rsid w:val="004943CC"/>
    <w:rsid w:val="00496887"/>
    <w:rsid w:val="004A46DB"/>
    <w:rsid w:val="004A51A4"/>
    <w:rsid w:val="004A73D2"/>
    <w:rsid w:val="004B29E1"/>
    <w:rsid w:val="004B2DE4"/>
    <w:rsid w:val="004B49EA"/>
    <w:rsid w:val="004B4B33"/>
    <w:rsid w:val="004B5528"/>
    <w:rsid w:val="004B6E8C"/>
    <w:rsid w:val="004B71F7"/>
    <w:rsid w:val="004C0929"/>
    <w:rsid w:val="004C40B1"/>
    <w:rsid w:val="004C42AC"/>
    <w:rsid w:val="004C4577"/>
    <w:rsid w:val="004C604A"/>
    <w:rsid w:val="004C6BED"/>
    <w:rsid w:val="004C7FE4"/>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37EE"/>
    <w:rsid w:val="005309B3"/>
    <w:rsid w:val="00530F3A"/>
    <w:rsid w:val="0053169B"/>
    <w:rsid w:val="0053234B"/>
    <w:rsid w:val="00533BF5"/>
    <w:rsid w:val="005356C4"/>
    <w:rsid w:val="005367F3"/>
    <w:rsid w:val="00541267"/>
    <w:rsid w:val="00541BFC"/>
    <w:rsid w:val="00545CDB"/>
    <w:rsid w:val="00546D26"/>
    <w:rsid w:val="00551DB0"/>
    <w:rsid w:val="00553FA7"/>
    <w:rsid w:val="00555FAA"/>
    <w:rsid w:val="0055652C"/>
    <w:rsid w:val="005605A7"/>
    <w:rsid w:val="00562A20"/>
    <w:rsid w:val="00564D29"/>
    <w:rsid w:val="00567D6D"/>
    <w:rsid w:val="00571202"/>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78E"/>
    <w:rsid w:val="005F0E15"/>
    <w:rsid w:val="005F3A3D"/>
    <w:rsid w:val="005F5F62"/>
    <w:rsid w:val="00600D2D"/>
    <w:rsid w:val="0060756A"/>
    <w:rsid w:val="00607A2F"/>
    <w:rsid w:val="006104CF"/>
    <w:rsid w:val="00610DB9"/>
    <w:rsid w:val="0061112D"/>
    <w:rsid w:val="00611A52"/>
    <w:rsid w:val="0061269A"/>
    <w:rsid w:val="00614A05"/>
    <w:rsid w:val="006160E9"/>
    <w:rsid w:val="006204EF"/>
    <w:rsid w:val="006227CF"/>
    <w:rsid w:val="0062372B"/>
    <w:rsid w:val="00623B65"/>
    <w:rsid w:val="006261CA"/>
    <w:rsid w:val="006316CF"/>
    <w:rsid w:val="006343AA"/>
    <w:rsid w:val="00636593"/>
    <w:rsid w:val="0063730A"/>
    <w:rsid w:val="00637772"/>
    <w:rsid w:val="0064147C"/>
    <w:rsid w:val="00641F3E"/>
    <w:rsid w:val="0064262D"/>
    <w:rsid w:val="00643FB5"/>
    <w:rsid w:val="006456AA"/>
    <w:rsid w:val="00646A25"/>
    <w:rsid w:val="006509BA"/>
    <w:rsid w:val="00650B6A"/>
    <w:rsid w:val="00651C17"/>
    <w:rsid w:val="006523F0"/>
    <w:rsid w:val="0065283D"/>
    <w:rsid w:val="00653029"/>
    <w:rsid w:val="00655794"/>
    <w:rsid w:val="006632A1"/>
    <w:rsid w:val="006715D3"/>
    <w:rsid w:val="00677380"/>
    <w:rsid w:val="00680777"/>
    <w:rsid w:val="0068135C"/>
    <w:rsid w:val="00682834"/>
    <w:rsid w:val="006828C2"/>
    <w:rsid w:val="00683BE5"/>
    <w:rsid w:val="006868B2"/>
    <w:rsid w:val="00690265"/>
    <w:rsid w:val="00693E59"/>
    <w:rsid w:val="00696C28"/>
    <w:rsid w:val="00697FCC"/>
    <w:rsid w:val="006A16EB"/>
    <w:rsid w:val="006A18B9"/>
    <w:rsid w:val="006A6774"/>
    <w:rsid w:val="006A6CA8"/>
    <w:rsid w:val="006B1D85"/>
    <w:rsid w:val="006B337E"/>
    <w:rsid w:val="006B4DAE"/>
    <w:rsid w:val="006C0D0D"/>
    <w:rsid w:val="006C13F7"/>
    <w:rsid w:val="006C2CA6"/>
    <w:rsid w:val="006C3206"/>
    <w:rsid w:val="006C5054"/>
    <w:rsid w:val="006D098F"/>
    <w:rsid w:val="006D3522"/>
    <w:rsid w:val="006D3918"/>
    <w:rsid w:val="006D3A07"/>
    <w:rsid w:val="006D471C"/>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24B68"/>
    <w:rsid w:val="0073144D"/>
    <w:rsid w:val="00732EAD"/>
    <w:rsid w:val="00737F47"/>
    <w:rsid w:val="00741C02"/>
    <w:rsid w:val="00742304"/>
    <w:rsid w:val="00742D71"/>
    <w:rsid w:val="00743102"/>
    <w:rsid w:val="00743242"/>
    <w:rsid w:val="0074483D"/>
    <w:rsid w:val="00745A6B"/>
    <w:rsid w:val="00747227"/>
    <w:rsid w:val="007503B7"/>
    <w:rsid w:val="00752694"/>
    <w:rsid w:val="00753DD8"/>
    <w:rsid w:val="00760216"/>
    <w:rsid w:val="0076030C"/>
    <w:rsid w:val="007626E1"/>
    <w:rsid w:val="00770BB6"/>
    <w:rsid w:val="00775071"/>
    <w:rsid w:val="0077587F"/>
    <w:rsid w:val="00775F9A"/>
    <w:rsid w:val="0077640C"/>
    <w:rsid w:val="007802AE"/>
    <w:rsid w:val="007842BE"/>
    <w:rsid w:val="0078678C"/>
    <w:rsid w:val="00787364"/>
    <w:rsid w:val="00790D69"/>
    <w:rsid w:val="00794B75"/>
    <w:rsid w:val="007962E4"/>
    <w:rsid w:val="0079766B"/>
    <w:rsid w:val="007A47C6"/>
    <w:rsid w:val="007A642C"/>
    <w:rsid w:val="007B12DC"/>
    <w:rsid w:val="007B5C64"/>
    <w:rsid w:val="007C1EE2"/>
    <w:rsid w:val="007C3461"/>
    <w:rsid w:val="007D54D0"/>
    <w:rsid w:val="007E2556"/>
    <w:rsid w:val="007E2F5F"/>
    <w:rsid w:val="007E433E"/>
    <w:rsid w:val="007F399C"/>
    <w:rsid w:val="007F6CB7"/>
    <w:rsid w:val="007F7E99"/>
    <w:rsid w:val="00805DB2"/>
    <w:rsid w:val="00805F1E"/>
    <w:rsid w:val="0080686E"/>
    <w:rsid w:val="00806A3B"/>
    <w:rsid w:val="00806A6D"/>
    <w:rsid w:val="0081026B"/>
    <w:rsid w:val="008133AC"/>
    <w:rsid w:val="00813F2A"/>
    <w:rsid w:val="0081482D"/>
    <w:rsid w:val="00817477"/>
    <w:rsid w:val="0082184B"/>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4DE9"/>
    <w:rsid w:val="0084638A"/>
    <w:rsid w:val="008510D3"/>
    <w:rsid w:val="0085244D"/>
    <w:rsid w:val="00854E14"/>
    <w:rsid w:val="00860CAC"/>
    <w:rsid w:val="0086155E"/>
    <w:rsid w:val="0086353C"/>
    <w:rsid w:val="00866EEC"/>
    <w:rsid w:val="008703D6"/>
    <w:rsid w:val="00870B1D"/>
    <w:rsid w:val="00871B87"/>
    <w:rsid w:val="00874052"/>
    <w:rsid w:val="0088019D"/>
    <w:rsid w:val="00884F40"/>
    <w:rsid w:val="008A1AD6"/>
    <w:rsid w:val="008A2636"/>
    <w:rsid w:val="008A2BDB"/>
    <w:rsid w:val="008A5431"/>
    <w:rsid w:val="008A593D"/>
    <w:rsid w:val="008A660A"/>
    <w:rsid w:val="008A7326"/>
    <w:rsid w:val="008B0ED9"/>
    <w:rsid w:val="008B2450"/>
    <w:rsid w:val="008B287E"/>
    <w:rsid w:val="008B5F61"/>
    <w:rsid w:val="008B6ADA"/>
    <w:rsid w:val="008B746A"/>
    <w:rsid w:val="008B7EDA"/>
    <w:rsid w:val="008C2B25"/>
    <w:rsid w:val="008C4CD8"/>
    <w:rsid w:val="008C4CE5"/>
    <w:rsid w:val="008C541C"/>
    <w:rsid w:val="008C5B11"/>
    <w:rsid w:val="008C5CEE"/>
    <w:rsid w:val="008D04B2"/>
    <w:rsid w:val="008D2AFD"/>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07CFF"/>
    <w:rsid w:val="00911B55"/>
    <w:rsid w:val="0091226F"/>
    <w:rsid w:val="00920F7F"/>
    <w:rsid w:val="009226BE"/>
    <w:rsid w:val="00923235"/>
    <w:rsid w:val="00923B08"/>
    <w:rsid w:val="00926C1B"/>
    <w:rsid w:val="009364A7"/>
    <w:rsid w:val="00936544"/>
    <w:rsid w:val="00936A6B"/>
    <w:rsid w:val="00942979"/>
    <w:rsid w:val="0094473E"/>
    <w:rsid w:val="0094626E"/>
    <w:rsid w:val="0095312B"/>
    <w:rsid w:val="009532D4"/>
    <w:rsid w:val="00954B9B"/>
    <w:rsid w:val="00955390"/>
    <w:rsid w:val="009565C5"/>
    <w:rsid w:val="009633EB"/>
    <w:rsid w:val="00963614"/>
    <w:rsid w:val="00964854"/>
    <w:rsid w:val="00964CB0"/>
    <w:rsid w:val="00964E7F"/>
    <w:rsid w:val="00965445"/>
    <w:rsid w:val="00966F8C"/>
    <w:rsid w:val="00971992"/>
    <w:rsid w:val="00973BBA"/>
    <w:rsid w:val="009745A9"/>
    <w:rsid w:val="00975547"/>
    <w:rsid w:val="0098040A"/>
    <w:rsid w:val="00982C4E"/>
    <w:rsid w:val="00984FAD"/>
    <w:rsid w:val="0098701F"/>
    <w:rsid w:val="00992DF0"/>
    <w:rsid w:val="009935D0"/>
    <w:rsid w:val="009A18BE"/>
    <w:rsid w:val="009A5FCD"/>
    <w:rsid w:val="009A7161"/>
    <w:rsid w:val="009B042B"/>
    <w:rsid w:val="009B4D91"/>
    <w:rsid w:val="009B4DBA"/>
    <w:rsid w:val="009B4F4A"/>
    <w:rsid w:val="009B5109"/>
    <w:rsid w:val="009B7DB7"/>
    <w:rsid w:val="009C02C1"/>
    <w:rsid w:val="009C0ACC"/>
    <w:rsid w:val="009C22D2"/>
    <w:rsid w:val="009C2341"/>
    <w:rsid w:val="009C2804"/>
    <w:rsid w:val="009C7EEC"/>
    <w:rsid w:val="009D003D"/>
    <w:rsid w:val="009D059D"/>
    <w:rsid w:val="009D1CC6"/>
    <w:rsid w:val="009D1D76"/>
    <w:rsid w:val="009D2CFA"/>
    <w:rsid w:val="009D3718"/>
    <w:rsid w:val="009D4672"/>
    <w:rsid w:val="009E007B"/>
    <w:rsid w:val="009E111F"/>
    <w:rsid w:val="009E513F"/>
    <w:rsid w:val="009E5FEF"/>
    <w:rsid w:val="009F0A3D"/>
    <w:rsid w:val="009F3B19"/>
    <w:rsid w:val="009F4108"/>
    <w:rsid w:val="009F780C"/>
    <w:rsid w:val="00A01413"/>
    <w:rsid w:val="00A06480"/>
    <w:rsid w:val="00A11B2D"/>
    <w:rsid w:val="00A134B4"/>
    <w:rsid w:val="00A137D5"/>
    <w:rsid w:val="00A13C1C"/>
    <w:rsid w:val="00A13D4B"/>
    <w:rsid w:val="00A13EB5"/>
    <w:rsid w:val="00A143F2"/>
    <w:rsid w:val="00A16D2C"/>
    <w:rsid w:val="00A1706B"/>
    <w:rsid w:val="00A17F79"/>
    <w:rsid w:val="00A2068F"/>
    <w:rsid w:val="00A20D89"/>
    <w:rsid w:val="00A2504B"/>
    <w:rsid w:val="00A27C96"/>
    <w:rsid w:val="00A30349"/>
    <w:rsid w:val="00A30898"/>
    <w:rsid w:val="00A37D52"/>
    <w:rsid w:val="00A405F7"/>
    <w:rsid w:val="00A44ED2"/>
    <w:rsid w:val="00A46D9E"/>
    <w:rsid w:val="00A53AE1"/>
    <w:rsid w:val="00A57C45"/>
    <w:rsid w:val="00A61F48"/>
    <w:rsid w:val="00A63964"/>
    <w:rsid w:val="00A676CD"/>
    <w:rsid w:val="00A70CE7"/>
    <w:rsid w:val="00A771F2"/>
    <w:rsid w:val="00A802FC"/>
    <w:rsid w:val="00A879AB"/>
    <w:rsid w:val="00A90038"/>
    <w:rsid w:val="00A94334"/>
    <w:rsid w:val="00A94F2C"/>
    <w:rsid w:val="00A95E0E"/>
    <w:rsid w:val="00A9603C"/>
    <w:rsid w:val="00A96F34"/>
    <w:rsid w:val="00A9742D"/>
    <w:rsid w:val="00A979F0"/>
    <w:rsid w:val="00AA1A74"/>
    <w:rsid w:val="00AA4BB7"/>
    <w:rsid w:val="00AA51F6"/>
    <w:rsid w:val="00AA524E"/>
    <w:rsid w:val="00AA6B4E"/>
    <w:rsid w:val="00AB34A2"/>
    <w:rsid w:val="00AB6289"/>
    <w:rsid w:val="00AB65BA"/>
    <w:rsid w:val="00AB72AC"/>
    <w:rsid w:val="00AC12DA"/>
    <w:rsid w:val="00AC18DC"/>
    <w:rsid w:val="00AC4B98"/>
    <w:rsid w:val="00AD21D1"/>
    <w:rsid w:val="00AD29F5"/>
    <w:rsid w:val="00AD4026"/>
    <w:rsid w:val="00AD40B8"/>
    <w:rsid w:val="00AE0D5C"/>
    <w:rsid w:val="00AE41C8"/>
    <w:rsid w:val="00AE6210"/>
    <w:rsid w:val="00AF2269"/>
    <w:rsid w:val="00AF2A34"/>
    <w:rsid w:val="00B0092B"/>
    <w:rsid w:val="00B0129B"/>
    <w:rsid w:val="00B03BFA"/>
    <w:rsid w:val="00B0674A"/>
    <w:rsid w:val="00B124C7"/>
    <w:rsid w:val="00B13220"/>
    <w:rsid w:val="00B1566C"/>
    <w:rsid w:val="00B20494"/>
    <w:rsid w:val="00B237EC"/>
    <w:rsid w:val="00B24708"/>
    <w:rsid w:val="00B262F4"/>
    <w:rsid w:val="00B27EBD"/>
    <w:rsid w:val="00B30595"/>
    <w:rsid w:val="00B310A7"/>
    <w:rsid w:val="00B3235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23E"/>
    <w:rsid w:val="00B779CD"/>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B1AE7"/>
    <w:rsid w:val="00BB2D63"/>
    <w:rsid w:val="00BB2E1A"/>
    <w:rsid w:val="00BB3EE8"/>
    <w:rsid w:val="00BB7093"/>
    <w:rsid w:val="00BB7671"/>
    <w:rsid w:val="00BC212F"/>
    <w:rsid w:val="00BC3548"/>
    <w:rsid w:val="00BC4035"/>
    <w:rsid w:val="00BD1B00"/>
    <w:rsid w:val="00BD2169"/>
    <w:rsid w:val="00BD4A83"/>
    <w:rsid w:val="00BD54CA"/>
    <w:rsid w:val="00BD5967"/>
    <w:rsid w:val="00BD5D86"/>
    <w:rsid w:val="00BD6B19"/>
    <w:rsid w:val="00BE0083"/>
    <w:rsid w:val="00BE0628"/>
    <w:rsid w:val="00BE24F4"/>
    <w:rsid w:val="00BE5F35"/>
    <w:rsid w:val="00BF0B09"/>
    <w:rsid w:val="00BF4583"/>
    <w:rsid w:val="00BF5801"/>
    <w:rsid w:val="00BF7D6E"/>
    <w:rsid w:val="00C012D4"/>
    <w:rsid w:val="00C01632"/>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401D"/>
    <w:rsid w:val="00C74A73"/>
    <w:rsid w:val="00C75D16"/>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C6E57"/>
    <w:rsid w:val="00CD172E"/>
    <w:rsid w:val="00CD42E2"/>
    <w:rsid w:val="00CD4587"/>
    <w:rsid w:val="00CD5216"/>
    <w:rsid w:val="00CD6DB5"/>
    <w:rsid w:val="00CD7CBF"/>
    <w:rsid w:val="00CE2254"/>
    <w:rsid w:val="00CE2344"/>
    <w:rsid w:val="00CF1504"/>
    <w:rsid w:val="00CF1F69"/>
    <w:rsid w:val="00CF293E"/>
    <w:rsid w:val="00CF425E"/>
    <w:rsid w:val="00CF430C"/>
    <w:rsid w:val="00CF4658"/>
    <w:rsid w:val="00D00158"/>
    <w:rsid w:val="00D01ED8"/>
    <w:rsid w:val="00D05EAF"/>
    <w:rsid w:val="00D153A7"/>
    <w:rsid w:val="00D16C16"/>
    <w:rsid w:val="00D214B3"/>
    <w:rsid w:val="00D2217F"/>
    <w:rsid w:val="00D221B1"/>
    <w:rsid w:val="00D239E2"/>
    <w:rsid w:val="00D2555D"/>
    <w:rsid w:val="00D279AB"/>
    <w:rsid w:val="00D31E4A"/>
    <w:rsid w:val="00D32FEB"/>
    <w:rsid w:val="00D352B7"/>
    <w:rsid w:val="00D36921"/>
    <w:rsid w:val="00D43A58"/>
    <w:rsid w:val="00D460E3"/>
    <w:rsid w:val="00D46BF8"/>
    <w:rsid w:val="00D51A4F"/>
    <w:rsid w:val="00D53BFC"/>
    <w:rsid w:val="00D54A89"/>
    <w:rsid w:val="00D55DE1"/>
    <w:rsid w:val="00D57214"/>
    <w:rsid w:val="00D5776B"/>
    <w:rsid w:val="00D63870"/>
    <w:rsid w:val="00D63B47"/>
    <w:rsid w:val="00D65737"/>
    <w:rsid w:val="00D67A60"/>
    <w:rsid w:val="00D72059"/>
    <w:rsid w:val="00D73AE0"/>
    <w:rsid w:val="00D7425B"/>
    <w:rsid w:val="00D7585C"/>
    <w:rsid w:val="00D769D8"/>
    <w:rsid w:val="00D802DB"/>
    <w:rsid w:val="00D811BC"/>
    <w:rsid w:val="00D83CA6"/>
    <w:rsid w:val="00D84A85"/>
    <w:rsid w:val="00D86ABC"/>
    <w:rsid w:val="00D9218D"/>
    <w:rsid w:val="00D9248E"/>
    <w:rsid w:val="00D93674"/>
    <w:rsid w:val="00D97401"/>
    <w:rsid w:val="00D97A34"/>
    <w:rsid w:val="00DA2766"/>
    <w:rsid w:val="00DB2416"/>
    <w:rsid w:val="00DB44E9"/>
    <w:rsid w:val="00DB58E9"/>
    <w:rsid w:val="00DB7403"/>
    <w:rsid w:val="00DB78BC"/>
    <w:rsid w:val="00DC0504"/>
    <w:rsid w:val="00DC680F"/>
    <w:rsid w:val="00DD0795"/>
    <w:rsid w:val="00DD7018"/>
    <w:rsid w:val="00DE089F"/>
    <w:rsid w:val="00DE0A83"/>
    <w:rsid w:val="00DE2B8C"/>
    <w:rsid w:val="00DE3100"/>
    <w:rsid w:val="00DF1177"/>
    <w:rsid w:val="00DF2B97"/>
    <w:rsid w:val="00DF788E"/>
    <w:rsid w:val="00E03436"/>
    <w:rsid w:val="00E0598F"/>
    <w:rsid w:val="00E064FF"/>
    <w:rsid w:val="00E0727A"/>
    <w:rsid w:val="00E1047C"/>
    <w:rsid w:val="00E10F9F"/>
    <w:rsid w:val="00E1203B"/>
    <w:rsid w:val="00E122D7"/>
    <w:rsid w:val="00E1318B"/>
    <w:rsid w:val="00E136C0"/>
    <w:rsid w:val="00E154EF"/>
    <w:rsid w:val="00E16702"/>
    <w:rsid w:val="00E2172E"/>
    <w:rsid w:val="00E22B48"/>
    <w:rsid w:val="00E24EED"/>
    <w:rsid w:val="00E27563"/>
    <w:rsid w:val="00E311BB"/>
    <w:rsid w:val="00E3397E"/>
    <w:rsid w:val="00E33D7B"/>
    <w:rsid w:val="00E341C9"/>
    <w:rsid w:val="00E341F1"/>
    <w:rsid w:val="00E35AEC"/>
    <w:rsid w:val="00E365EF"/>
    <w:rsid w:val="00E3691E"/>
    <w:rsid w:val="00E42B4B"/>
    <w:rsid w:val="00E43B3C"/>
    <w:rsid w:val="00E43BDD"/>
    <w:rsid w:val="00E47DFD"/>
    <w:rsid w:val="00E511C6"/>
    <w:rsid w:val="00E51C39"/>
    <w:rsid w:val="00E55EB8"/>
    <w:rsid w:val="00E6128B"/>
    <w:rsid w:val="00E62630"/>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165C"/>
    <w:rsid w:val="00EB16AC"/>
    <w:rsid w:val="00EB19EF"/>
    <w:rsid w:val="00EB4224"/>
    <w:rsid w:val="00EB52C9"/>
    <w:rsid w:val="00EC0BE4"/>
    <w:rsid w:val="00EC172F"/>
    <w:rsid w:val="00EC1B0B"/>
    <w:rsid w:val="00EC4016"/>
    <w:rsid w:val="00EC62B5"/>
    <w:rsid w:val="00EC69AA"/>
    <w:rsid w:val="00EC762C"/>
    <w:rsid w:val="00EC7D06"/>
    <w:rsid w:val="00ED181D"/>
    <w:rsid w:val="00ED6788"/>
    <w:rsid w:val="00EE05E1"/>
    <w:rsid w:val="00EE0CC4"/>
    <w:rsid w:val="00EE2D14"/>
    <w:rsid w:val="00EE4D2D"/>
    <w:rsid w:val="00EF01C1"/>
    <w:rsid w:val="00F01CB4"/>
    <w:rsid w:val="00F020F2"/>
    <w:rsid w:val="00F04447"/>
    <w:rsid w:val="00F048F2"/>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9DD"/>
    <w:rsid w:val="00F5120F"/>
    <w:rsid w:val="00F527FE"/>
    <w:rsid w:val="00F52C0A"/>
    <w:rsid w:val="00F5328B"/>
    <w:rsid w:val="00F61284"/>
    <w:rsid w:val="00F62BDF"/>
    <w:rsid w:val="00F63825"/>
    <w:rsid w:val="00F6633B"/>
    <w:rsid w:val="00F67A8B"/>
    <w:rsid w:val="00F67ECF"/>
    <w:rsid w:val="00F701E7"/>
    <w:rsid w:val="00F7037D"/>
    <w:rsid w:val="00F70AC3"/>
    <w:rsid w:val="00F71333"/>
    <w:rsid w:val="00F77309"/>
    <w:rsid w:val="00F77EAA"/>
    <w:rsid w:val="00F84815"/>
    <w:rsid w:val="00F85309"/>
    <w:rsid w:val="00F86165"/>
    <w:rsid w:val="00F861D7"/>
    <w:rsid w:val="00F87D56"/>
    <w:rsid w:val="00F9244B"/>
    <w:rsid w:val="00F96289"/>
    <w:rsid w:val="00F96A74"/>
    <w:rsid w:val="00F97F7C"/>
    <w:rsid w:val="00FA2A21"/>
    <w:rsid w:val="00FA2A7A"/>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8B36EC-A329-4C0A-ADF8-83337B585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40232</Words>
  <Characters>22933</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4</cp:revision>
  <cp:lastPrinted>2025-12-12T12:49:00Z</cp:lastPrinted>
  <dcterms:created xsi:type="dcterms:W3CDTF">2025-12-12T12:27:00Z</dcterms:created>
  <dcterms:modified xsi:type="dcterms:W3CDTF">2025-12-12T13:07:00Z</dcterms:modified>
</cp:coreProperties>
</file>