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D2A1" w14:textId="77777777" w:rsidR="00E15D8C" w:rsidRPr="00861445"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190C393E" w14:textId="77777777" w:rsidR="00E15D8C" w:rsidRPr="001017CE"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protokolu</w:t>
      </w:r>
    </w:p>
    <w:p w14:paraId="5DDD28EF" w14:textId="78CE2186"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038EABF1" w:rsidR="009C5D91" w:rsidRPr="00554AFF" w:rsidRDefault="00070A4F"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070A4F">
        <w:rPr>
          <w:rFonts w:ascii="Times New Roman" w:eastAsia="TimesNewRomanPS-BoldMT" w:hAnsi="Times New Roman" w:cs="Times New Roman"/>
          <w:b/>
          <w:bCs/>
          <w:color w:val="000000" w:themeColor="text1"/>
          <w:lang w:val="lt-LT" w:eastAsia="lt-LT"/>
        </w:rPr>
        <w:t>REAGENTAI MOLEKULINIAMS TYRIMAMS</w:t>
      </w:r>
      <w:r w:rsidRPr="00070A4F">
        <w:rPr>
          <w:rFonts w:ascii="Times New Roman" w:hAnsi="Times New Roman" w:cs="Times New Roman"/>
          <w:b/>
          <w:bCs/>
          <w:color w:val="000000" w:themeColor="text1"/>
          <w:shd w:val="clear" w:color="auto" w:fill="FFFFFF"/>
          <w:lang w:val="lt-LT"/>
        </w:rPr>
        <w:t xml:space="preserve"> </w:t>
      </w:r>
      <w:r w:rsidR="00554AFF" w:rsidRPr="00031029">
        <w:rPr>
          <w:rFonts w:ascii="Times New Roman" w:hAnsi="Times New Roman" w:cs="Times New Roman"/>
          <w:b/>
          <w:bCs/>
          <w:color w:val="auto"/>
          <w:shd w:val="clear" w:color="auto" w:fill="FFFFFF"/>
          <w:lang w:val="lt-LT"/>
        </w:rPr>
        <w:t>(</w:t>
      </w:r>
      <w:r w:rsidR="002D1FF4" w:rsidRPr="00031029">
        <w:rPr>
          <w:rFonts w:ascii="Times New Roman" w:hAnsi="Times New Roman" w:cs="Times New Roman"/>
          <w:b/>
          <w:bCs/>
          <w:color w:val="auto"/>
          <w:shd w:val="clear" w:color="auto" w:fill="FFFFFF"/>
          <w:lang w:val="lt-LT"/>
        </w:rPr>
        <w:t>1</w:t>
      </w:r>
      <w:r>
        <w:rPr>
          <w:rFonts w:ascii="Times New Roman" w:hAnsi="Times New Roman" w:cs="Times New Roman"/>
          <w:b/>
          <w:bCs/>
          <w:color w:val="auto"/>
          <w:shd w:val="clear" w:color="auto" w:fill="FFFFFF"/>
          <w:lang w:val="lt-LT"/>
        </w:rPr>
        <w:t>0117</w:t>
      </w:r>
      <w:r w:rsidR="00554AFF" w:rsidRPr="00031029">
        <w:rPr>
          <w:rFonts w:ascii="Times New Roman" w:hAnsi="Times New Roman" w:cs="Times New Roman"/>
          <w:b/>
          <w:bCs/>
          <w:color w:val="auto"/>
          <w:shd w:val="clear" w:color="auto" w:fill="FFFFFF"/>
          <w:lang w:val="lt-LT"/>
        </w:rPr>
        <w:t>)</w:t>
      </w:r>
    </w:p>
    <w:p w14:paraId="23FF7404" w14:textId="77777777" w:rsidR="00FB2B3A" w:rsidRPr="00A229BB" w:rsidRDefault="00FB2B3A" w:rsidP="00FB2B3A">
      <w:pPr>
        <w:pStyle w:val="Body2"/>
        <w:rPr>
          <w:sz w:val="24"/>
          <w:szCs w:val="24"/>
          <w:lang w:val="lt-LT"/>
        </w:rPr>
      </w:pPr>
    </w:p>
    <w:p w14:paraId="65AEA1CE" w14:textId="2D77B0C0" w:rsidR="00753E63" w:rsidRPr="00753E63" w:rsidRDefault="004D35E3" w:rsidP="00660E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A229BB">
        <w:rPr>
          <w:color w:val="000000" w:themeColor="text1"/>
          <w:lang w:val="lt-LT"/>
        </w:rPr>
        <w:tab/>
        <w:t>1.</w:t>
      </w:r>
      <w:r w:rsidR="00A50F3D">
        <w:rPr>
          <w:color w:val="000000" w:themeColor="text1"/>
          <w:lang w:val="lt-LT"/>
        </w:rPr>
        <w:t xml:space="preserve"> </w:t>
      </w:r>
      <w:r w:rsidR="00F63F6A" w:rsidRPr="00A229BB">
        <w:rPr>
          <w:color w:val="000000" w:themeColor="text1"/>
          <w:lang w:val="lt-LT"/>
        </w:rPr>
        <w:t xml:space="preserve">VšĮ Vilniaus universiteto ligoninė Santaros klinikos (toliau - </w:t>
      </w:r>
      <w:r w:rsidR="006D4DF7" w:rsidRPr="00A229BB">
        <w:rPr>
          <w:color w:val="000000" w:themeColor="text1"/>
          <w:lang w:val="lt-LT"/>
        </w:rPr>
        <w:t>PO</w:t>
      </w:r>
      <w:r w:rsidR="00F63F6A" w:rsidRPr="00A229BB">
        <w:rPr>
          <w:color w:val="000000" w:themeColor="text1"/>
          <w:lang w:val="lt-LT"/>
        </w:rPr>
        <w:t xml:space="preserve">), vykdydama viešąjį </w:t>
      </w:r>
      <w:r w:rsidR="00F63F6A" w:rsidRPr="00AF050D">
        <w:rPr>
          <w:color w:val="000000" w:themeColor="text1"/>
          <w:lang w:val="lt-LT"/>
        </w:rPr>
        <w:t>pirkimą</w:t>
      </w:r>
      <w:r w:rsidR="00F42917" w:rsidRPr="00AF050D">
        <w:rPr>
          <w:color w:val="000000" w:themeColor="text1"/>
          <w:lang w:val="lt-LT"/>
        </w:rPr>
        <w:t>,</w:t>
      </w:r>
      <w:r w:rsidR="00F63F6A" w:rsidRPr="00AF050D">
        <w:rPr>
          <w:color w:val="000000" w:themeColor="text1"/>
          <w:lang w:val="lt-LT"/>
        </w:rPr>
        <w:t xml:space="preserve"> numato </w:t>
      </w:r>
      <w:r w:rsidR="002D2D69" w:rsidRPr="00AF050D">
        <w:rPr>
          <w:color w:val="000000" w:themeColor="text1"/>
          <w:lang w:val="lt-LT"/>
        </w:rPr>
        <w:t>pirkti</w:t>
      </w:r>
      <w:r w:rsidR="00F852D3" w:rsidRPr="00AF050D">
        <w:rPr>
          <w:color w:val="000000" w:themeColor="text1"/>
          <w:lang w:val="lt-LT"/>
        </w:rPr>
        <w:t xml:space="preserve"> </w:t>
      </w:r>
      <w:bookmarkStart w:id="0" w:name="_Hlk203377798"/>
      <w:r w:rsidR="00070A4F">
        <w:rPr>
          <w:color w:val="000000" w:themeColor="text1"/>
          <w:lang w:val="lt-LT"/>
        </w:rPr>
        <w:t>r</w:t>
      </w:r>
      <w:r w:rsidR="00151172" w:rsidRPr="00151172">
        <w:rPr>
          <w:color w:val="000000" w:themeColor="text1"/>
          <w:lang w:val="lt-LT"/>
        </w:rPr>
        <w:t>eagent</w:t>
      </w:r>
      <w:r w:rsidR="00070A4F">
        <w:rPr>
          <w:color w:val="000000" w:themeColor="text1"/>
          <w:lang w:val="lt-LT"/>
        </w:rPr>
        <w:t>us</w:t>
      </w:r>
      <w:r w:rsidR="00151172" w:rsidRPr="00151172">
        <w:rPr>
          <w:color w:val="000000" w:themeColor="text1"/>
          <w:lang w:val="lt-LT"/>
        </w:rPr>
        <w:t xml:space="preserve"> molekuliniams tyrimams </w:t>
      </w:r>
      <w:r w:rsidRPr="00AF050D">
        <w:rPr>
          <w:color w:val="000000" w:themeColor="text1"/>
          <w:lang w:val="lt-LT"/>
        </w:rPr>
        <w:t>(toliau - prekės)</w:t>
      </w:r>
      <w:r w:rsidR="00B36D7D" w:rsidRPr="00AF050D">
        <w:rPr>
          <w:color w:val="000000" w:themeColor="text1"/>
          <w:lang w:val="lt-LT"/>
        </w:rPr>
        <w:t>.</w:t>
      </w:r>
      <w:r w:rsidR="00616CA5" w:rsidRPr="00616CA5">
        <w:rPr>
          <w:rFonts w:ascii="TimesNewRomanPSMT" w:hAnsi="TimesNewRomanPSMT" w:cs="TimesNewRomanPSMT"/>
          <w:lang w:val="lt-LT"/>
        </w:rPr>
        <w:t xml:space="preserve"> </w:t>
      </w:r>
      <w:bookmarkEnd w:id="0"/>
      <w:r w:rsidR="002B48F9">
        <w:rPr>
          <w:lang w:val="lt-LT"/>
        </w:rPr>
        <w:t xml:space="preserve">Pirkimas vykdomas </w:t>
      </w:r>
      <w:r w:rsidR="002B48F9" w:rsidRPr="007052CB">
        <w:rPr>
          <w:lang w:val="lt-LT"/>
        </w:rPr>
        <w:t xml:space="preserve">iš </w:t>
      </w:r>
      <w:r w:rsidR="002B48F9">
        <w:rPr>
          <w:lang w:val="lt-LT"/>
        </w:rPr>
        <w:t>p</w:t>
      </w:r>
      <w:r w:rsidR="00753E63" w:rsidRPr="00753E63">
        <w:rPr>
          <w:rFonts w:ascii="TimesNewRomanPSMT" w:hAnsi="TimesNewRomanPSMT" w:cs="TimesNewRomanPSMT"/>
          <w:lang w:val="lt-LT" w:eastAsia="lt-LT"/>
        </w:rPr>
        <w:t>rojekto Nr. 02-002-P-0001 „Misijomis grįstų mokslo ir inovacijų programų įgyvendinimas" (MTEP projektas „ONCOINTEGRA“)</w:t>
      </w:r>
      <w:r w:rsidR="00660E4C">
        <w:rPr>
          <w:rFonts w:ascii="TimesNewRomanPSMT" w:hAnsi="TimesNewRomanPSMT" w:cs="TimesNewRomanPSMT"/>
          <w:lang w:val="lt-LT" w:eastAsia="lt-LT"/>
        </w:rPr>
        <w:t xml:space="preserve"> lėšų</w:t>
      </w:r>
      <w:r w:rsidR="00753E63" w:rsidRPr="00753E63">
        <w:rPr>
          <w:rFonts w:ascii="TimesNewRomanPSMT" w:hAnsi="TimesNewRomanPSMT" w:cs="TimesNewRomanPSMT"/>
          <w:lang w:val="lt-LT" w:eastAsia="lt-LT"/>
        </w:rPr>
        <w:t>.</w:t>
      </w:r>
      <w:r w:rsidRPr="00753E63">
        <w:rPr>
          <w:color w:val="000000" w:themeColor="text1"/>
          <w:lang w:val="lt-LT"/>
        </w:rPr>
        <w:tab/>
      </w:r>
    </w:p>
    <w:p w14:paraId="53886958" w14:textId="19A4E33F" w:rsidR="009C5D91" w:rsidRPr="00AF050D" w:rsidRDefault="004D35E3" w:rsidP="00753E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color w:val="000000" w:themeColor="text1"/>
          <w:lang w:val="lt-LT"/>
        </w:rPr>
      </w:pPr>
      <w:r w:rsidRPr="00AF050D">
        <w:rPr>
          <w:color w:val="000000" w:themeColor="text1"/>
          <w:lang w:val="lt-LT"/>
        </w:rPr>
        <w:t xml:space="preserve">2. </w:t>
      </w:r>
      <w:r w:rsidR="006D4DF7" w:rsidRPr="00AF050D">
        <w:rPr>
          <w:color w:val="000000" w:themeColor="text1"/>
          <w:lang w:val="lt-LT"/>
        </w:rPr>
        <w:t xml:space="preserve">PO vykdo </w:t>
      </w:r>
      <w:r w:rsidR="00031029">
        <w:rPr>
          <w:color w:val="000000" w:themeColor="text1"/>
          <w:lang w:val="lt-LT"/>
        </w:rPr>
        <w:t>supaprastintą</w:t>
      </w:r>
      <w:r w:rsidR="00570395" w:rsidRPr="00AF050D">
        <w:rPr>
          <w:color w:val="000000" w:themeColor="text1"/>
          <w:lang w:val="lt-LT"/>
        </w:rPr>
        <w:t xml:space="preserve"> </w:t>
      </w:r>
      <w:r w:rsidRPr="00AF050D">
        <w:rPr>
          <w:color w:val="000000" w:themeColor="text1"/>
          <w:lang w:val="lt-LT"/>
        </w:rPr>
        <w:t>pirkim</w:t>
      </w:r>
      <w:r w:rsidR="007D4B46" w:rsidRPr="00AF050D">
        <w:rPr>
          <w:color w:val="000000" w:themeColor="text1"/>
          <w:lang w:val="lt-LT"/>
        </w:rPr>
        <w:t>ą</w:t>
      </w:r>
      <w:r w:rsidRPr="00AF050D">
        <w:rPr>
          <w:color w:val="000000" w:themeColor="text1"/>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33C1611A" w:rsidR="009C5D91" w:rsidRPr="00EF26CD" w:rsidRDefault="004D35E3" w:rsidP="007D4B46">
      <w:pPr>
        <w:pStyle w:val="Body2"/>
        <w:rPr>
          <w:color w:val="C03A2A"/>
          <w:sz w:val="24"/>
          <w:szCs w:val="24"/>
          <w:lang w:val="lt-LT"/>
        </w:rPr>
      </w:pPr>
      <w:r w:rsidRPr="00EF26CD">
        <w:rPr>
          <w:color w:val="000000" w:themeColor="text1"/>
          <w:sz w:val="24"/>
          <w:szCs w:val="24"/>
          <w:lang w:val="lt-LT"/>
        </w:rPr>
        <w:tab/>
      </w:r>
      <w:r w:rsidR="007D4B46" w:rsidRPr="00EF26CD">
        <w:rPr>
          <w:color w:val="000000" w:themeColor="text1"/>
          <w:sz w:val="24"/>
          <w:szCs w:val="24"/>
          <w:lang w:val="lt-LT"/>
        </w:rPr>
        <w:t>4</w:t>
      </w:r>
      <w:r w:rsidRPr="00EF26CD">
        <w:rPr>
          <w:color w:val="000000" w:themeColor="text1"/>
          <w:sz w:val="24"/>
          <w:szCs w:val="24"/>
          <w:lang w:val="lt-LT"/>
        </w:rPr>
        <w:t>. Tiesioginį ryšį su tiekėjais įgaliotas palaikyti perkančiosios organizacijos atstovas</w:t>
      </w:r>
      <w:r w:rsidR="00B36D7D" w:rsidRPr="00EF26CD">
        <w:rPr>
          <w:color w:val="000000" w:themeColor="text1"/>
          <w:sz w:val="24"/>
          <w:szCs w:val="24"/>
          <w:lang w:val="lt-LT"/>
        </w:rPr>
        <w:t xml:space="preserve">: </w:t>
      </w:r>
      <w:r w:rsidR="00701CD6" w:rsidRPr="00EF26CD">
        <w:rPr>
          <w:color w:val="000000" w:themeColor="text1"/>
          <w:sz w:val="24"/>
          <w:szCs w:val="24"/>
          <w:lang w:val="lt-LT"/>
        </w:rPr>
        <w:t>Joli</w:t>
      </w:r>
      <w:r w:rsidR="00277F51" w:rsidRPr="00EF26CD">
        <w:rPr>
          <w:color w:val="000000" w:themeColor="text1"/>
          <w:sz w:val="24"/>
          <w:szCs w:val="24"/>
          <w:lang w:val="lt-LT"/>
        </w:rPr>
        <w:t>ta Balandienė</w:t>
      </w:r>
      <w:r w:rsidR="00B36D7D" w:rsidRPr="00EF26CD">
        <w:rPr>
          <w:sz w:val="24"/>
          <w:szCs w:val="24"/>
          <w:lang w:val="lt-LT"/>
        </w:rPr>
        <w:t>, vyr</w:t>
      </w:r>
      <w:r w:rsidR="00277F51" w:rsidRPr="00EF26CD">
        <w:rPr>
          <w:sz w:val="24"/>
          <w:szCs w:val="24"/>
          <w:lang w:val="lt-LT"/>
        </w:rPr>
        <w:t>iausioji</w:t>
      </w:r>
      <w:r w:rsidR="00B36D7D" w:rsidRPr="00EF26CD">
        <w:rPr>
          <w:sz w:val="24"/>
          <w:szCs w:val="24"/>
          <w:lang w:val="lt-LT"/>
        </w:rPr>
        <w:t xml:space="preserve"> viešųjų pirkimų specialistė, tel. +370 52</w:t>
      </w:r>
      <w:r w:rsidR="00277F51" w:rsidRPr="00EF26CD">
        <w:rPr>
          <w:sz w:val="24"/>
          <w:szCs w:val="24"/>
          <w:lang w:val="lt-LT"/>
        </w:rPr>
        <w:t>365107</w:t>
      </w:r>
      <w:r w:rsidR="00B36D7D" w:rsidRPr="00EF26CD">
        <w:rPr>
          <w:sz w:val="24"/>
          <w:szCs w:val="24"/>
          <w:lang w:val="lt-LT"/>
        </w:rPr>
        <w:t xml:space="preserve">, el. p. </w:t>
      </w:r>
      <w:hyperlink r:id="rId6" w:history="1">
        <w:r w:rsidR="00812DBF" w:rsidRPr="00EF26CD">
          <w:rPr>
            <w:rStyle w:val="Hyperlink"/>
            <w:sz w:val="24"/>
            <w:szCs w:val="24"/>
            <w:lang w:val="lt-LT"/>
          </w:rPr>
          <w:t>jolita.balandiene@santa.lt</w:t>
        </w:r>
      </w:hyperlink>
      <w:r w:rsidR="00B36D7D" w:rsidRPr="00EF26CD">
        <w:rPr>
          <w:sz w:val="24"/>
          <w:szCs w:val="24"/>
          <w:lang w:val="lt-LT"/>
        </w:rPr>
        <w:t>, Sant</w:t>
      </w:r>
      <w:r w:rsidR="00ED0269" w:rsidRPr="00EF26CD">
        <w:rPr>
          <w:sz w:val="24"/>
          <w:szCs w:val="24"/>
          <w:lang w:val="lt-LT"/>
        </w:rPr>
        <w:t xml:space="preserve">ariškių g. </w:t>
      </w:r>
      <w:r w:rsidR="00674316" w:rsidRPr="00EF26CD">
        <w:rPr>
          <w:sz w:val="24"/>
          <w:szCs w:val="24"/>
          <w:lang w:val="lt-LT"/>
        </w:rPr>
        <w:t>4</w:t>
      </w:r>
      <w:r w:rsidR="00ED0269" w:rsidRPr="00EF26CD">
        <w:rPr>
          <w:sz w:val="24"/>
          <w:szCs w:val="24"/>
          <w:lang w:val="lt-LT"/>
        </w:rPr>
        <w:t>, LT-08</w:t>
      </w:r>
      <w:r w:rsidR="00B11B39" w:rsidRPr="00EF26CD">
        <w:rPr>
          <w:sz w:val="24"/>
          <w:szCs w:val="24"/>
          <w:lang w:val="lt-LT"/>
        </w:rPr>
        <w:t>406</w:t>
      </w:r>
      <w:r w:rsidR="00ED0269" w:rsidRPr="00EF26CD">
        <w:rPr>
          <w:sz w:val="24"/>
          <w:szCs w:val="24"/>
          <w:lang w:val="lt-LT"/>
        </w:rPr>
        <w:t xml:space="preserve"> Vilnius.</w:t>
      </w:r>
    </w:p>
    <w:p w14:paraId="30949143" w14:textId="4E4A67F5"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265E11">
        <w:rPr>
          <w:rFonts w:cs="Times New Roman"/>
          <w:color w:val="auto"/>
          <w:sz w:val="24"/>
          <w:szCs w:val="24"/>
          <w:lang w:val="lt-LT"/>
        </w:rPr>
        <w:t>r</w:t>
      </w:r>
      <w:r w:rsidR="00070A4F" w:rsidRPr="00070A4F">
        <w:rPr>
          <w:color w:val="000000" w:themeColor="text1"/>
          <w:sz w:val="24"/>
          <w:szCs w:val="24"/>
          <w:lang w:val="lt-LT"/>
        </w:rPr>
        <w:t>eagentai molekuliniams tyrimams</w:t>
      </w:r>
      <w:r w:rsidR="00BD507D" w:rsidRPr="00AF050D">
        <w:rPr>
          <w:sz w:val="24"/>
          <w:szCs w:val="24"/>
          <w:lang w:val="lt-LT"/>
        </w:rPr>
        <w:t xml:space="preserve">, </w:t>
      </w:r>
      <w:r w:rsidR="00D77C57" w:rsidRPr="00AF050D">
        <w:rPr>
          <w:color w:val="000000" w:themeColor="text1"/>
          <w:sz w:val="24"/>
          <w:szCs w:val="24"/>
          <w:lang w:val="lt-LT"/>
        </w:rPr>
        <w:t>nurodyt</w:t>
      </w:r>
      <w:r w:rsidR="00265E11">
        <w:rPr>
          <w:color w:val="000000" w:themeColor="text1"/>
          <w:sz w:val="24"/>
          <w:szCs w:val="24"/>
          <w:lang w:val="lt-LT"/>
        </w:rPr>
        <w:t>i</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r w:rsidR="00FE4428" w:rsidRPr="00FE4428">
        <w:rPr>
          <w:lang w:val="lt-LT"/>
        </w:rPr>
        <w:t xml:space="preserve"> </w:t>
      </w:r>
      <w:r w:rsidR="00C8381D">
        <w:rPr>
          <w:lang w:val="lt-LT"/>
        </w:rPr>
        <w:t>Perkami r</w:t>
      </w:r>
      <w:r w:rsidR="00FE4428" w:rsidRPr="00FE4428">
        <w:rPr>
          <w:color w:val="000000" w:themeColor="text1"/>
          <w:sz w:val="24"/>
          <w:szCs w:val="24"/>
          <w:lang w:val="lt-LT"/>
        </w:rPr>
        <w:t>eagentai ir priemonės</w:t>
      </w:r>
      <w:r w:rsidR="00C8381D">
        <w:rPr>
          <w:color w:val="000000" w:themeColor="text1"/>
          <w:sz w:val="24"/>
          <w:szCs w:val="24"/>
          <w:lang w:val="lt-LT"/>
        </w:rPr>
        <w:t xml:space="preserve"> </w:t>
      </w:r>
      <w:r w:rsidR="00FE4428" w:rsidRPr="00FE4428">
        <w:rPr>
          <w:color w:val="000000" w:themeColor="text1"/>
          <w:sz w:val="24"/>
          <w:szCs w:val="24"/>
          <w:lang w:val="lt-LT"/>
        </w:rPr>
        <w:t>skirt</w:t>
      </w:r>
      <w:r w:rsidR="00C8381D">
        <w:rPr>
          <w:color w:val="000000" w:themeColor="text1"/>
          <w:sz w:val="24"/>
          <w:szCs w:val="24"/>
          <w:lang w:val="lt-LT"/>
        </w:rPr>
        <w:t>i</w:t>
      </w:r>
      <w:r w:rsidR="00FE4428" w:rsidRPr="00FE4428">
        <w:rPr>
          <w:color w:val="000000" w:themeColor="text1"/>
          <w:sz w:val="24"/>
          <w:szCs w:val="24"/>
          <w:lang w:val="lt-LT"/>
        </w:rPr>
        <w:t xml:space="preserve"> naudoti vykdant mokslinius tyrimus ir eksperimentinę plėtrą pagal perkančiosios organizacijos vykdomą projektą. Reagentai nebus naudojami tiesiogiai pacientų diagnostikai ar gydymui.</w:t>
      </w:r>
    </w:p>
    <w:p w14:paraId="55E39B78" w14:textId="77777777" w:rsidR="003B464A" w:rsidRPr="006D3D2D" w:rsidRDefault="007825A5" w:rsidP="003B464A">
      <w:pPr>
        <w:pStyle w:val="Body2"/>
        <w:ind w:firstLine="720"/>
        <w:rPr>
          <w:sz w:val="24"/>
          <w:szCs w:val="24"/>
          <w:lang w:val="lt-LT"/>
        </w:rPr>
      </w:pPr>
      <w:r w:rsidRPr="00D25321">
        <w:rPr>
          <w:sz w:val="24"/>
          <w:szCs w:val="24"/>
          <w:lang w:val="lt-LT"/>
        </w:rPr>
        <w:t xml:space="preserve">6. Pirkimas skaidomas į atskiras </w:t>
      </w:r>
      <w:r w:rsidR="00265E11">
        <w:rPr>
          <w:sz w:val="24"/>
          <w:szCs w:val="24"/>
          <w:lang w:val="lt-LT"/>
        </w:rPr>
        <w:t xml:space="preserve">8 </w:t>
      </w:r>
      <w:r w:rsidRPr="00D25321">
        <w:rPr>
          <w:sz w:val="24"/>
          <w:szCs w:val="24"/>
          <w:lang w:val="lt-LT"/>
        </w:rPr>
        <w:t>pirkimo dali</w:t>
      </w:r>
      <w:r w:rsidR="0022449B">
        <w:rPr>
          <w:sz w:val="24"/>
          <w:szCs w:val="24"/>
          <w:lang w:val="lt-LT"/>
        </w:rPr>
        <w:t>s</w:t>
      </w:r>
      <w:r w:rsidRPr="00D25321">
        <w:rPr>
          <w:sz w:val="24"/>
          <w:szCs w:val="24"/>
          <w:lang w:val="lt-LT"/>
        </w:rPr>
        <w:t xml:space="preserve">. </w:t>
      </w:r>
      <w:r w:rsidR="003B464A" w:rsidRPr="00D25321">
        <w:rPr>
          <w:sz w:val="24"/>
          <w:szCs w:val="24"/>
          <w:lang w:val="lt-LT"/>
        </w:rPr>
        <w:t>Pasiūlymą galima teikti vienai, kelioms ar</w:t>
      </w:r>
      <w:r w:rsidR="003B464A" w:rsidRPr="008D187E">
        <w:rPr>
          <w:sz w:val="24"/>
          <w:szCs w:val="24"/>
          <w:lang w:val="pt-BR"/>
        </w:rPr>
        <w:t xml:space="preserve"> </w:t>
      </w:r>
      <w:r w:rsidR="003B464A" w:rsidRPr="006D3D2D">
        <w:rPr>
          <w:sz w:val="24"/>
          <w:szCs w:val="24"/>
          <w:lang w:val="lt-LT"/>
        </w:rPr>
        <w:t>visoms pirkimo dalims.</w:t>
      </w:r>
    </w:p>
    <w:p w14:paraId="120E9ECF" w14:textId="77777777" w:rsidR="00DA7E2E" w:rsidRPr="00DA7E2E" w:rsidRDefault="004E5695" w:rsidP="00DA7E2E">
      <w:pPr>
        <w:pStyle w:val="Body2"/>
        <w:ind w:firstLine="720"/>
        <w:rPr>
          <w:color w:val="000000" w:themeColor="text1"/>
          <w:sz w:val="24"/>
          <w:szCs w:val="24"/>
          <w:lang w:val="lt-LT"/>
        </w:rPr>
      </w:pPr>
      <w:r w:rsidRPr="00DA7E2E">
        <w:rPr>
          <w:color w:val="000000" w:themeColor="text1"/>
          <w:sz w:val="24"/>
          <w:szCs w:val="24"/>
          <w:lang w:val="lt-LT"/>
        </w:rPr>
        <w:t>7. Reikalavimai pirkimo objektui (perkamų prekių sąrašas, kiekiai) nurodyti SPS 1 priede „Techninė specifikacija“</w:t>
      </w:r>
      <w:r w:rsidR="00146450" w:rsidRPr="00DA7E2E">
        <w:rPr>
          <w:color w:val="000000" w:themeColor="text1"/>
          <w:sz w:val="24"/>
          <w:szCs w:val="24"/>
          <w:lang w:val="lt-LT"/>
        </w:rPr>
        <w:t xml:space="preserve"> </w:t>
      </w:r>
      <w:r w:rsidR="00146450" w:rsidRPr="00DA7E2E">
        <w:rPr>
          <w:sz w:val="24"/>
          <w:szCs w:val="24"/>
          <w:lang w:val="lt-LT"/>
        </w:rPr>
        <w:t>ir SPS 2 priede „Viešojo pirkimo-pardavimo sutarties projektas“.</w:t>
      </w:r>
      <w:r w:rsidRPr="00DA7E2E">
        <w:rPr>
          <w:color w:val="000000" w:themeColor="text1"/>
          <w:sz w:val="24"/>
          <w:szCs w:val="24"/>
          <w:lang w:val="lt-LT"/>
        </w:rPr>
        <w:t xml:space="preserve"> </w:t>
      </w:r>
      <w:r w:rsidR="00DA7E2E" w:rsidRPr="00DA7E2E">
        <w:rPr>
          <w:color w:val="000000" w:themeColor="text1"/>
          <w:sz w:val="24"/>
          <w:szCs w:val="24"/>
          <w:lang w:val="lt-LT"/>
        </w:rPr>
        <w:t>Panaudos sąlygos nurodytos sutarties priede Nr. 2 „</w:t>
      </w:r>
      <w:r w:rsidR="00DA7E2E" w:rsidRPr="00DA7E2E">
        <w:rPr>
          <w:sz w:val="24"/>
          <w:szCs w:val="24"/>
          <w:lang w:val="pt-BR"/>
        </w:rPr>
        <w:t>Panaudos sutartis prie viešojo pirkimo-pardavimo sutarties</w:t>
      </w:r>
      <w:r w:rsidR="00DA7E2E" w:rsidRPr="00DA7E2E">
        <w:rPr>
          <w:color w:val="000000" w:themeColor="text1"/>
          <w:sz w:val="24"/>
          <w:szCs w:val="24"/>
          <w:lang w:val="lt-LT"/>
        </w:rPr>
        <w:t>“.</w:t>
      </w:r>
    </w:p>
    <w:p w14:paraId="15539A48" w14:textId="46F141A0" w:rsidR="00BB0DEF" w:rsidRPr="00650AF6" w:rsidRDefault="00BB0DEF" w:rsidP="00BB0DEF">
      <w:pPr>
        <w:pStyle w:val="Body2"/>
        <w:ind w:firstLine="709"/>
        <w:rPr>
          <w:color w:val="auto"/>
          <w:sz w:val="24"/>
          <w:szCs w:val="24"/>
          <w:lang w:val="lt-LT"/>
        </w:rPr>
      </w:pPr>
      <w:r w:rsidRPr="00650AF6">
        <w:rPr>
          <w:color w:val="auto"/>
          <w:sz w:val="24"/>
          <w:szCs w:val="24"/>
          <w:lang w:val="lt-LT"/>
        </w:rPr>
        <w:t xml:space="preserve">8. Tiekėjo įsipareigojimų įvykdymo vieta yra </w:t>
      </w:r>
      <w:r w:rsidR="00E1503F" w:rsidRPr="00650AF6">
        <w:rPr>
          <w:sz w:val="24"/>
          <w:szCs w:val="24"/>
          <w:lang w:val="lt-LT"/>
        </w:rPr>
        <w:t>VšĮ Vilniaus universiteto ligoninė Santaros klinikos,</w:t>
      </w:r>
      <w:r w:rsidR="00E1503F" w:rsidRPr="00650AF6">
        <w:rPr>
          <w:color w:val="auto"/>
          <w:sz w:val="24"/>
          <w:szCs w:val="24"/>
          <w:lang w:val="lt-LT"/>
        </w:rPr>
        <w:t xml:space="preserve"> </w:t>
      </w:r>
      <w:r w:rsidR="003324F9">
        <w:rPr>
          <w:color w:val="000000" w:themeColor="text1"/>
          <w:sz w:val="24"/>
          <w:szCs w:val="24"/>
          <w:lang w:val="lt-LT"/>
        </w:rPr>
        <w:t xml:space="preserve">Baublio </w:t>
      </w:r>
      <w:r w:rsidR="003324F9" w:rsidRPr="007E49AE">
        <w:rPr>
          <w:color w:val="000000" w:themeColor="text1"/>
          <w:sz w:val="24"/>
          <w:szCs w:val="24"/>
          <w:lang w:val="lt-LT"/>
        </w:rPr>
        <w:t xml:space="preserve">g. </w:t>
      </w:r>
      <w:r w:rsidR="003324F9">
        <w:rPr>
          <w:color w:val="000000" w:themeColor="text1"/>
          <w:sz w:val="24"/>
          <w:szCs w:val="24"/>
          <w:lang w:val="lt-LT"/>
        </w:rPr>
        <w:t>5</w:t>
      </w:r>
      <w:r w:rsidR="003324F9" w:rsidRPr="007E49AE">
        <w:rPr>
          <w:color w:val="000000" w:themeColor="text1"/>
          <w:sz w:val="24"/>
          <w:szCs w:val="24"/>
          <w:lang w:val="lt-LT"/>
        </w:rPr>
        <w:t>, LT-08406 Vilnius.</w:t>
      </w:r>
      <w:r w:rsidR="00A73311" w:rsidRPr="00650AF6">
        <w:rPr>
          <w:color w:val="000000" w:themeColor="text1"/>
          <w:kern w:val="2"/>
          <w:sz w:val="24"/>
          <w:szCs w:val="24"/>
          <w:lang w:val="lt-LT"/>
        </w:rPr>
        <w:t xml:space="preserve"> </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2E92A6A3" w14:textId="2FE592AF" w:rsidR="00813B83" w:rsidRPr="00813B83" w:rsidRDefault="00882E26" w:rsidP="00813B83">
      <w:pPr>
        <w:pStyle w:val="Body2"/>
        <w:rPr>
          <w:sz w:val="24"/>
          <w:szCs w:val="24"/>
          <w:lang w:val="lt-LT"/>
        </w:rPr>
      </w:pPr>
      <w:r w:rsidRPr="00813B83">
        <w:rPr>
          <w:sz w:val="24"/>
          <w:szCs w:val="24"/>
          <w:lang w:val="lt-LT"/>
        </w:rPr>
        <w:tab/>
        <w:t>10. Tiekėjo pašalinimo pagrindai ir jų nebuvimą patvirtinantys dokumentai nurodyti BPS 3.10.p.</w:t>
      </w:r>
      <w:r w:rsidR="00813B83" w:rsidRPr="00813B83">
        <w:rPr>
          <w:sz w:val="24"/>
          <w:szCs w:val="24"/>
          <w:lang w:val="lt-LT"/>
        </w:rPr>
        <w:t xml:space="preserve"> Galimo laimėtojo</w:t>
      </w:r>
      <w:r w:rsidR="00813B83" w:rsidRPr="00813B83">
        <w:rPr>
          <w:sz w:val="24"/>
          <w:szCs w:val="24"/>
          <w:vertAlign w:val="superscript"/>
        </w:rPr>
        <w:footnoteReference w:id="1"/>
      </w:r>
      <w:r w:rsidR="00813B83" w:rsidRPr="00813B83">
        <w:rPr>
          <w:sz w:val="24"/>
          <w:szCs w:val="24"/>
          <w:lang w:val="lt-LT"/>
        </w:rPr>
        <w:t xml:space="preserve"> PO 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7864D662" w14:textId="228DF139" w:rsidR="00763E53" w:rsidRDefault="00B120B6" w:rsidP="00763E53">
      <w:pPr>
        <w:pStyle w:val="Body2"/>
        <w:tabs>
          <w:tab w:val="left" w:pos="709"/>
        </w:tabs>
        <w:rPr>
          <w:color w:val="000000" w:themeColor="text1"/>
          <w:sz w:val="24"/>
          <w:szCs w:val="24"/>
          <w:lang w:val="lt-LT"/>
        </w:rPr>
      </w:pPr>
      <w:r w:rsidRPr="00B120B6">
        <w:rPr>
          <w:color w:val="000000" w:themeColor="text1"/>
          <w:sz w:val="24"/>
          <w:szCs w:val="24"/>
          <w:lang w:val="lt-LT"/>
        </w:rPr>
        <w:tab/>
      </w:r>
      <w:r w:rsidR="00763E53">
        <w:rPr>
          <w:color w:val="000000" w:themeColor="text1"/>
          <w:sz w:val="24"/>
          <w:szCs w:val="24"/>
          <w:lang w:val="lt-LT"/>
        </w:rPr>
        <w:tab/>
      </w:r>
      <w:r w:rsidR="00763E53" w:rsidRPr="005C01B5">
        <w:rPr>
          <w:color w:val="000000" w:themeColor="text1"/>
          <w:sz w:val="24"/>
          <w:szCs w:val="24"/>
          <w:lang w:val="lt-LT"/>
        </w:rPr>
        <w:t xml:space="preserve">14. Siekiant patikrinti konkretaus tiekėjo prekių atitikimą keliamiems reikalavimams, jų tinkamumą ir saugumą naudoti, teikiant sveikatos priežiūros paslaugas, pirkime gali būti reikalaujama per 7 kalendorines dienas pateikti prekių pavyzdžius, kurių PO pareikalaus pasiūlymų vertinimo metu. Tiekėjo prašymu, pavyzdžių pateikimo terminas galės būti pratęstas vieną kartą ne ilgiau kaip 5 d. d. </w:t>
      </w:r>
      <w:r w:rsidR="00763E53" w:rsidRPr="007434A2">
        <w:rPr>
          <w:color w:val="000000" w:themeColor="text1"/>
          <w:sz w:val="24"/>
          <w:szCs w:val="24"/>
          <w:lang w:val="lt-LT"/>
        </w:rPr>
        <w:t xml:space="preserve">Prekių pavyzdžius tiekėjas </w:t>
      </w:r>
      <w:r w:rsidR="00763E53">
        <w:rPr>
          <w:color w:val="000000" w:themeColor="text1"/>
          <w:sz w:val="24"/>
          <w:szCs w:val="24"/>
          <w:lang w:val="lt-LT"/>
        </w:rPr>
        <w:t xml:space="preserve">turi </w:t>
      </w:r>
      <w:r w:rsidR="00763E53" w:rsidRPr="007434A2">
        <w:rPr>
          <w:color w:val="000000" w:themeColor="text1"/>
          <w:sz w:val="24"/>
          <w:szCs w:val="24"/>
          <w:lang w:val="lt-LT"/>
        </w:rPr>
        <w:t>pateik</w:t>
      </w:r>
      <w:r w:rsidR="00763E53">
        <w:rPr>
          <w:color w:val="000000" w:themeColor="text1"/>
          <w:sz w:val="24"/>
          <w:szCs w:val="24"/>
          <w:lang w:val="lt-LT"/>
        </w:rPr>
        <w:t>ti</w:t>
      </w:r>
      <w:r w:rsidR="00763E53" w:rsidRPr="007434A2">
        <w:rPr>
          <w:color w:val="000000" w:themeColor="text1"/>
          <w:sz w:val="24"/>
          <w:szCs w:val="24"/>
          <w:lang w:val="lt-LT"/>
        </w:rPr>
        <w:t xml:space="preserve"> neatlygintinai, savo sąskaita.</w:t>
      </w:r>
      <w:r w:rsidR="00763E53">
        <w:rPr>
          <w:color w:val="000000" w:themeColor="text1"/>
          <w:sz w:val="24"/>
          <w:szCs w:val="24"/>
          <w:lang w:val="lt-LT"/>
        </w:rPr>
        <w:t xml:space="preserve"> </w:t>
      </w:r>
      <w:r w:rsidR="00763E53" w:rsidRPr="005C01B5">
        <w:rPr>
          <w:color w:val="000000" w:themeColor="text1"/>
          <w:sz w:val="24"/>
          <w:szCs w:val="24"/>
          <w:lang w:val="lt-LT"/>
        </w:rPr>
        <w:t xml:space="preserve">Nepateikus prekių pavyzdžių, pasiūlymas bus atmetamas. PO turi teisę atmesti tiekėjo pasiūlymą, jeigu </w:t>
      </w:r>
      <w:r w:rsidR="00763E53" w:rsidRPr="005C01B5">
        <w:rPr>
          <w:color w:val="000000" w:themeColor="text1"/>
          <w:sz w:val="24"/>
          <w:szCs w:val="24"/>
          <w:lang w:val="lt-LT"/>
        </w:rPr>
        <w:lastRenderedPageBreak/>
        <w:t>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Atsižvelgiant į tai,  PO privalo užtikrinti teikiamų medicinos paslaugų kokybę bei pacientų saugumą, todėl perkamos priemonės privalo atitikti tiek techninės specifikacijos reikalavimus, tiek ir tokių priemonių notifikuotų įstaigų nustatytus kokybinius reikalavimus, atitinkančius PO poreikį (kaip pvz., dėl nekokybiškų priemonių negali būti traumuojami paciento audiniai (t. y. negali būti teikiamos nekokybiškos, nesaugios medicinos paslaugos)).</w:t>
      </w:r>
    </w:p>
    <w:p w14:paraId="199576A9" w14:textId="3832709F" w:rsidR="00BA4E88" w:rsidRPr="00A229BB" w:rsidRDefault="00B120B6" w:rsidP="00511E7D">
      <w:pPr>
        <w:pStyle w:val="Body2"/>
        <w:tabs>
          <w:tab w:val="left" w:pos="709"/>
        </w:tabs>
        <w:rPr>
          <w:color w:val="000000" w:themeColor="text1"/>
          <w:sz w:val="24"/>
          <w:szCs w:val="24"/>
          <w:lang w:val="lt-LT"/>
        </w:rPr>
      </w:pPr>
      <w:r w:rsidRPr="00B120B6">
        <w:rPr>
          <w:color w:val="000000" w:themeColor="text1"/>
          <w:sz w:val="24"/>
          <w:szCs w:val="24"/>
          <w:lang w:val="lt-LT"/>
        </w:rPr>
        <w:tab/>
      </w:r>
      <w:r w:rsidR="00E96F8C">
        <w:rPr>
          <w:color w:val="000000" w:themeColor="text1"/>
          <w:sz w:val="24"/>
          <w:szCs w:val="24"/>
          <w:lang w:val="lt-LT"/>
        </w:rPr>
        <w:tab/>
      </w:r>
      <w:r w:rsidR="00511E7D">
        <w:rPr>
          <w:color w:val="000000" w:themeColor="text1"/>
          <w:sz w:val="24"/>
          <w:szCs w:val="24"/>
          <w:lang w:val="lt-LT"/>
        </w:rPr>
        <w:t>1</w:t>
      </w:r>
      <w:r w:rsidR="00BA4E88" w:rsidRPr="00E96F8C">
        <w:rPr>
          <w:color w:val="000000" w:themeColor="text1"/>
          <w:sz w:val="24"/>
          <w:szCs w:val="24"/>
          <w:lang w:val="lt-LT"/>
        </w:rPr>
        <w:t xml:space="preserve">5. PO atsako į CVPIS prašymą dėl pirkimo dokumentų, jei prašymas yra pateiktas likus </w:t>
      </w:r>
      <w:r w:rsidR="008025CE">
        <w:rPr>
          <w:color w:val="000000" w:themeColor="text1"/>
          <w:sz w:val="24"/>
          <w:szCs w:val="24"/>
          <w:lang w:val="lt-LT"/>
        </w:rPr>
        <w:t>6</w:t>
      </w:r>
      <w:r w:rsidR="00BA4E88">
        <w:rPr>
          <w:color w:val="000000" w:themeColor="text1"/>
          <w:sz w:val="24"/>
          <w:szCs w:val="24"/>
          <w:lang w:val="lt-LT"/>
        </w:rPr>
        <w:t xml:space="preserve"> </w:t>
      </w:r>
      <w:r w:rsidR="00BA4E88" w:rsidRPr="00A229BB">
        <w:rPr>
          <w:color w:val="000000" w:themeColor="text1"/>
          <w:sz w:val="24"/>
          <w:szCs w:val="24"/>
          <w:lang w:val="lt-LT"/>
        </w:rPr>
        <w:t>kalendorinėms dienoms iki pasiūlymų pateikimo termino pabaigos.</w:t>
      </w:r>
    </w:p>
    <w:p w14:paraId="15F5FECC" w14:textId="672E061E"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 xml:space="preserve">papildomi pirkimo dokumentai (paaiškinimai ar pataisymai) pateikiami ne vėliau kaip likus </w:t>
      </w:r>
      <w:r w:rsidR="008025CE">
        <w:rPr>
          <w:color w:val="000000" w:themeColor="text1"/>
          <w:sz w:val="24"/>
          <w:szCs w:val="24"/>
          <w:lang w:val="lt-LT"/>
        </w:rPr>
        <w:t>4</w:t>
      </w:r>
      <w:r w:rsidRPr="00A229BB">
        <w:rPr>
          <w:color w:val="000000" w:themeColor="text1"/>
          <w:sz w:val="24"/>
          <w:szCs w:val="24"/>
          <w:lang w:val="lt-LT"/>
        </w:rPr>
        <w:t xml:space="preserve">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6CEE19FD"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00897549">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yra tokia:</w:t>
      </w:r>
    </w:p>
    <w:tbl>
      <w:tblPr>
        <w:tblW w:w="9634" w:type="dxa"/>
        <w:tblLook w:val="04A0" w:firstRow="1" w:lastRow="0" w:firstColumn="1" w:lastColumn="0" w:noHBand="0" w:noVBand="1"/>
      </w:tblPr>
      <w:tblGrid>
        <w:gridCol w:w="1129"/>
        <w:gridCol w:w="5387"/>
        <w:gridCol w:w="1559"/>
        <w:gridCol w:w="1559"/>
      </w:tblGrid>
      <w:tr w:rsidR="009F35A4" w:rsidRPr="009F35A4" w14:paraId="223FEBF4"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Pirkimo dalies Nr.</w:t>
            </w:r>
          </w:p>
        </w:tc>
        <w:tc>
          <w:tcPr>
            <w:tcW w:w="5387" w:type="dxa"/>
            <w:tcBorders>
              <w:top w:val="single" w:sz="4" w:space="0" w:color="auto"/>
              <w:left w:val="single" w:sz="4" w:space="0" w:color="auto"/>
              <w:bottom w:val="single" w:sz="4" w:space="0" w:color="auto"/>
              <w:right w:val="single" w:sz="4" w:space="0" w:color="auto"/>
            </w:tcBorders>
            <w:noWrap/>
            <w:vAlign w:val="center"/>
          </w:tcPr>
          <w:p w14:paraId="709CB1E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Prekės pavadinimas</w:t>
            </w:r>
          </w:p>
        </w:tc>
        <w:tc>
          <w:tcPr>
            <w:tcW w:w="1559" w:type="dxa"/>
            <w:tcBorders>
              <w:top w:val="single" w:sz="4" w:space="0" w:color="auto"/>
              <w:left w:val="nil"/>
              <w:bottom w:val="single" w:sz="4" w:space="0" w:color="auto"/>
              <w:right w:val="single" w:sz="4" w:space="0" w:color="auto"/>
            </w:tcBorders>
          </w:tcPr>
          <w:p w14:paraId="4660E35F"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0DFF9D3D" w14:textId="54D86C89"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 xml:space="preserve">Kaina su </w:t>
            </w:r>
            <w:r w:rsidR="00CA600E">
              <w:rPr>
                <w:rFonts w:ascii="Times New Roman1" w:eastAsia="Times New Roman" w:hAnsi="Times New Roman1"/>
                <w:color w:val="000000"/>
                <w:sz w:val="22"/>
                <w:szCs w:val="22"/>
                <w:bdr w:val="none" w:sz="0" w:space="0" w:color="auto"/>
                <w:lang w:val="lt-LT" w:eastAsia="lt-LT"/>
              </w:rPr>
              <w:t>21</w:t>
            </w:r>
            <w:r w:rsidRPr="009F35A4">
              <w:rPr>
                <w:rFonts w:ascii="Times New Roman1" w:eastAsia="Times New Roman" w:hAnsi="Times New Roman1"/>
                <w:color w:val="000000"/>
                <w:sz w:val="22"/>
                <w:szCs w:val="22"/>
                <w:bdr w:val="none" w:sz="0" w:space="0" w:color="auto"/>
                <w:lang w:val="lt-LT" w:eastAsia="lt-LT"/>
              </w:rPr>
              <w:t xml:space="preserve"> % PVM, Eur</w:t>
            </w:r>
          </w:p>
        </w:tc>
      </w:tr>
      <w:tr w:rsidR="00463F70" w:rsidRPr="00C704A1" w14:paraId="123EE72B"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463F70" w:rsidRPr="00C704A1"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sidRPr="00C704A1">
              <w:rPr>
                <w:rFonts w:ascii="Times New Roman1" w:eastAsia="Times New Roman" w:hAnsi="Times New Roman1"/>
                <w:bCs/>
                <w:color w:val="000000"/>
                <w:bdr w:val="none" w:sz="0" w:space="0" w:color="auto"/>
                <w:lang w:val="lt-LT" w:eastAsia="lt-LT"/>
              </w:rPr>
              <w:t>1</w:t>
            </w:r>
          </w:p>
        </w:tc>
        <w:tc>
          <w:tcPr>
            <w:tcW w:w="5387" w:type="dxa"/>
            <w:tcBorders>
              <w:top w:val="single" w:sz="4" w:space="0" w:color="000000"/>
              <w:left w:val="single" w:sz="4" w:space="0" w:color="000000"/>
              <w:bottom w:val="single" w:sz="4" w:space="0" w:color="000000"/>
              <w:right w:val="single" w:sz="4" w:space="0" w:color="000000"/>
            </w:tcBorders>
            <w:noWrap/>
          </w:tcPr>
          <w:p w14:paraId="609B517D" w14:textId="00FA88C1" w:rsidR="00B24E75" w:rsidRPr="00C704A1" w:rsidRDefault="00B51B4D" w:rsidP="00CA600E">
            <w:pPr>
              <w:pStyle w:val="Body2"/>
              <w:rPr>
                <w:rFonts w:ascii="Times New Roman1" w:eastAsia="Times New Roman" w:hAnsi="Times New Roman1"/>
                <w:color w:val="000000" w:themeColor="text1"/>
                <w:sz w:val="24"/>
                <w:szCs w:val="24"/>
                <w:bdr w:val="none" w:sz="0" w:space="0" w:color="auto"/>
                <w:lang w:val="lt-LT"/>
              </w:rPr>
            </w:pPr>
            <w:r w:rsidRPr="00B51B4D">
              <w:rPr>
                <w:sz w:val="24"/>
                <w:szCs w:val="24"/>
                <w:lang w:val="lt-LT"/>
              </w:rPr>
              <w:t>Reagentai ir priemonės iš</w:t>
            </w:r>
            <w:r w:rsidR="00CA600E">
              <w:rPr>
                <w:sz w:val="24"/>
                <w:szCs w:val="24"/>
                <w:lang w:val="lt-LT"/>
              </w:rPr>
              <w:t xml:space="preserve"> </w:t>
            </w:r>
            <w:r w:rsidRPr="00B51B4D">
              <w:rPr>
                <w:sz w:val="24"/>
                <w:szCs w:val="24"/>
                <w:lang w:val="lt-LT"/>
              </w:rPr>
              <w:t>prekių kat</w:t>
            </w:r>
            <w:r w:rsidR="004718D5">
              <w:rPr>
                <w:sz w:val="24"/>
                <w:szCs w:val="24"/>
                <w:lang w:val="lt-LT"/>
              </w:rPr>
              <w:t>a</w:t>
            </w:r>
            <w:r w:rsidRPr="00B51B4D">
              <w:rPr>
                <w:sz w:val="24"/>
                <w:szCs w:val="24"/>
                <w:lang w:val="lt-LT"/>
              </w:rPr>
              <w:t xml:space="preserve">logo: </w:t>
            </w:r>
            <w:proofErr w:type="spellStart"/>
            <w:r w:rsidRPr="00B51B4D">
              <w:rPr>
                <w:sz w:val="24"/>
                <w:szCs w:val="24"/>
                <w:lang w:val="lt-LT"/>
              </w:rPr>
              <w:t>Roche</w:t>
            </w:r>
            <w:proofErr w:type="spellEnd"/>
            <w:r w:rsidR="00CA600E">
              <w:rPr>
                <w:sz w:val="24"/>
                <w:szCs w:val="24"/>
                <w:lang w:val="lt-LT"/>
              </w:rPr>
              <w:t xml:space="preserve"> </w:t>
            </w:r>
            <w:proofErr w:type="spellStart"/>
            <w:r w:rsidRPr="00B51B4D">
              <w:rPr>
                <w:sz w:val="24"/>
                <w:szCs w:val="24"/>
                <w:lang w:val="lt-LT"/>
              </w:rPr>
              <w:t>Diagnostics</w:t>
            </w:r>
            <w:proofErr w:type="spellEnd"/>
            <w:r w:rsidRPr="00B51B4D">
              <w:rPr>
                <w:sz w:val="24"/>
                <w:szCs w:val="24"/>
                <w:lang w:val="lt-LT"/>
              </w:rPr>
              <w:t>/</w:t>
            </w:r>
            <w:proofErr w:type="spellStart"/>
            <w:r w:rsidRPr="00B51B4D">
              <w:rPr>
                <w:sz w:val="24"/>
                <w:szCs w:val="24"/>
                <w:lang w:val="lt-LT"/>
              </w:rPr>
              <w:t>Ventana</w:t>
            </w:r>
            <w:proofErr w:type="spellEnd"/>
            <w:r w:rsidRPr="00B51B4D">
              <w:rPr>
                <w:sz w:val="24"/>
                <w:szCs w:val="24"/>
                <w:lang w:val="lt-LT"/>
              </w:rPr>
              <w:t>.</w:t>
            </w:r>
            <w:r w:rsidR="00CA600E">
              <w:rPr>
                <w:sz w:val="24"/>
                <w:szCs w:val="24"/>
                <w:lang w:val="lt-LT"/>
              </w:rPr>
              <w:t xml:space="preserve"> </w:t>
            </w:r>
            <w:r w:rsidRPr="00B51B4D">
              <w:rPr>
                <w:sz w:val="24"/>
                <w:szCs w:val="24"/>
                <w:lang w:val="lt-LT"/>
              </w:rPr>
              <w:t>Nuoroda į gamintojo</w:t>
            </w:r>
            <w:r w:rsidR="00CA600E">
              <w:rPr>
                <w:sz w:val="24"/>
                <w:szCs w:val="24"/>
                <w:lang w:val="lt-LT"/>
              </w:rPr>
              <w:t xml:space="preserve"> </w:t>
            </w:r>
            <w:r w:rsidRPr="00B51B4D">
              <w:rPr>
                <w:sz w:val="24"/>
                <w:szCs w:val="24"/>
                <w:lang w:val="lt-LT"/>
              </w:rPr>
              <w:t>puslapį: (</w:t>
            </w:r>
            <w:hyperlink r:id="rId7" w:history="1">
              <w:r w:rsidR="00CA600E" w:rsidRPr="00071EA8">
                <w:rPr>
                  <w:rStyle w:val="Hyperlink"/>
                  <w:sz w:val="24"/>
                  <w:szCs w:val="24"/>
                  <w:lang w:val="lt-LT"/>
                </w:rPr>
                <w:t>www.roche.com</w:t>
              </w:r>
            </w:hyperlink>
            <w:r w:rsidRPr="00B51B4D">
              <w:rPr>
                <w:sz w:val="24"/>
                <w:szCs w:val="24"/>
                <w:lang w:val="lt-LT"/>
              </w:rPr>
              <w:t>)</w:t>
            </w:r>
            <w:r w:rsidR="00CA600E">
              <w:rPr>
                <w:sz w:val="24"/>
                <w:szCs w:val="24"/>
                <w:lang w:val="lt-LT"/>
              </w:rPr>
              <w:t xml:space="preserve"> </w:t>
            </w:r>
            <w:r w:rsidRPr="00B51B4D">
              <w:rPr>
                <w:sz w:val="24"/>
                <w:szCs w:val="24"/>
                <w:lang w:val="lt-LT"/>
              </w:rPr>
              <w:t>arba lygiaverčiai reagentai</w:t>
            </w:r>
          </w:p>
        </w:tc>
        <w:tc>
          <w:tcPr>
            <w:tcW w:w="1559" w:type="dxa"/>
            <w:tcBorders>
              <w:top w:val="single" w:sz="4" w:space="0" w:color="auto"/>
              <w:left w:val="single" w:sz="4" w:space="0" w:color="auto"/>
              <w:bottom w:val="single" w:sz="4" w:space="0" w:color="auto"/>
              <w:right w:val="single" w:sz="4" w:space="0" w:color="auto"/>
            </w:tcBorders>
          </w:tcPr>
          <w:p w14:paraId="419216C8" w14:textId="0BCC6C88" w:rsidR="00463F70" w:rsidRPr="00C704A1" w:rsidRDefault="00A90BB9" w:rsidP="00463F70">
            <w:pPr>
              <w:jc w:val="center"/>
              <w:rPr>
                <w:lang w:val="lt-LT" w:eastAsia="lt-LT"/>
              </w:rPr>
            </w:pPr>
            <w:r>
              <w:rPr>
                <w:lang w:val="lt-LT" w:eastAsia="lt-LT"/>
              </w:rPr>
              <w:t>22474,01</w:t>
            </w:r>
          </w:p>
        </w:tc>
        <w:tc>
          <w:tcPr>
            <w:tcW w:w="1559" w:type="dxa"/>
            <w:tcBorders>
              <w:top w:val="single" w:sz="4" w:space="0" w:color="auto"/>
              <w:left w:val="nil"/>
              <w:bottom w:val="single" w:sz="4" w:space="0" w:color="auto"/>
              <w:right w:val="single" w:sz="4" w:space="0" w:color="auto"/>
            </w:tcBorders>
            <w:noWrap/>
          </w:tcPr>
          <w:p w14:paraId="1C80BF7D" w14:textId="78BE59BE" w:rsidR="00463F70" w:rsidRPr="00C704A1" w:rsidRDefault="002F4C6D" w:rsidP="00463F70">
            <w:pPr>
              <w:jc w:val="center"/>
              <w:rPr>
                <w:lang w:val="lt-LT" w:eastAsia="lt-LT"/>
              </w:rPr>
            </w:pPr>
            <w:r>
              <w:rPr>
                <w:lang w:val="lt-LT" w:eastAsia="lt-LT"/>
              </w:rPr>
              <w:t>27</w:t>
            </w:r>
            <w:r w:rsidR="00566FCA">
              <w:rPr>
                <w:lang w:val="lt-LT" w:eastAsia="lt-LT"/>
              </w:rPr>
              <w:t>193,55</w:t>
            </w:r>
          </w:p>
        </w:tc>
      </w:tr>
      <w:tr w:rsidR="00CE32A6" w:rsidRPr="001B33BA" w14:paraId="00B931A5"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40F8CBAA" w14:textId="05BC0974"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2</w:t>
            </w:r>
          </w:p>
        </w:tc>
        <w:tc>
          <w:tcPr>
            <w:tcW w:w="5387" w:type="dxa"/>
            <w:tcBorders>
              <w:top w:val="single" w:sz="4" w:space="0" w:color="000000"/>
              <w:left w:val="single" w:sz="4" w:space="0" w:color="000000"/>
              <w:bottom w:val="single" w:sz="4" w:space="0" w:color="000000"/>
              <w:right w:val="single" w:sz="4" w:space="0" w:color="000000"/>
            </w:tcBorders>
            <w:noWrap/>
          </w:tcPr>
          <w:p w14:paraId="23AA1ED0" w14:textId="17BAD6BE" w:rsidR="00CE32A6" w:rsidRPr="001B33BA" w:rsidRDefault="00892B5C" w:rsidP="00CA60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sidRPr="001B33BA">
              <w:rPr>
                <w:rFonts w:ascii="TimesNewRomanPSMT" w:hAnsi="TimesNewRomanPSMT" w:cs="TimesNewRomanPSMT"/>
                <w:lang w:val="lt-LT" w:eastAsia="lt-LT"/>
              </w:rPr>
              <w:t xml:space="preserve">Anti-SATB1 </w:t>
            </w:r>
            <w:proofErr w:type="spellStart"/>
            <w:r w:rsidRPr="001B33BA">
              <w:rPr>
                <w:rFonts w:ascii="TimesNewRomanPSMT" w:hAnsi="TimesNewRomanPSMT" w:cs="TimesNewRomanPSMT"/>
                <w:lang w:val="lt-LT" w:eastAsia="lt-LT"/>
              </w:rPr>
              <w:t>antibody</w:t>
            </w:r>
            <w:proofErr w:type="spellEnd"/>
            <w:r w:rsidR="00CA600E" w:rsidRPr="001B33BA">
              <w:rPr>
                <w:rFonts w:ascii="TimesNewRomanPSMT" w:hAnsi="TimesNewRomanPSMT" w:cs="TimesNewRomanPSMT"/>
                <w:lang w:val="lt-LT" w:eastAsia="lt-LT"/>
              </w:rPr>
              <w:t xml:space="preserve"> </w:t>
            </w:r>
            <w:r w:rsidRPr="001B33BA">
              <w:rPr>
                <w:rFonts w:ascii="TimesNewRomanPSMT" w:hAnsi="TimesNewRomanPSMT" w:cs="TimesNewRomanPSMT"/>
                <w:lang w:val="lt-LT" w:eastAsia="lt-LT"/>
              </w:rPr>
              <w:t>[SP287] - C-</w:t>
            </w:r>
            <w:proofErr w:type="spellStart"/>
            <w:r w:rsidRPr="001B33BA">
              <w:rPr>
                <w:rFonts w:ascii="TimesNewRomanPSMT" w:hAnsi="TimesNewRomanPSMT" w:cs="TimesNewRomanPSMT"/>
                <w:lang w:val="lt-LT" w:eastAsia="lt-LT"/>
              </w:rPr>
              <w:t>terminal</w:t>
            </w:r>
            <w:proofErr w:type="spellEnd"/>
          </w:p>
        </w:tc>
        <w:tc>
          <w:tcPr>
            <w:tcW w:w="1559" w:type="dxa"/>
            <w:tcBorders>
              <w:top w:val="single" w:sz="4" w:space="0" w:color="auto"/>
              <w:left w:val="single" w:sz="4" w:space="0" w:color="auto"/>
              <w:bottom w:val="single" w:sz="4" w:space="0" w:color="auto"/>
              <w:right w:val="single" w:sz="4" w:space="0" w:color="auto"/>
            </w:tcBorders>
          </w:tcPr>
          <w:p w14:paraId="506CD42C" w14:textId="728DF477" w:rsidR="00CE32A6" w:rsidRPr="001B33BA" w:rsidRDefault="00A90BB9" w:rsidP="00463F70">
            <w:pPr>
              <w:jc w:val="center"/>
            </w:pPr>
            <w:r w:rsidRPr="001B33BA">
              <w:t>3175,00</w:t>
            </w:r>
          </w:p>
        </w:tc>
        <w:tc>
          <w:tcPr>
            <w:tcW w:w="1559" w:type="dxa"/>
            <w:tcBorders>
              <w:top w:val="single" w:sz="4" w:space="0" w:color="auto"/>
              <w:left w:val="nil"/>
              <w:bottom w:val="single" w:sz="4" w:space="0" w:color="auto"/>
              <w:right w:val="single" w:sz="4" w:space="0" w:color="auto"/>
            </w:tcBorders>
            <w:noWrap/>
          </w:tcPr>
          <w:p w14:paraId="7A14882D" w14:textId="7535E6FE" w:rsidR="00CE32A6" w:rsidRPr="001B33BA" w:rsidRDefault="00566FCA" w:rsidP="00463F70">
            <w:pPr>
              <w:jc w:val="center"/>
            </w:pPr>
            <w:r w:rsidRPr="001B33BA">
              <w:t>3841,75</w:t>
            </w:r>
          </w:p>
        </w:tc>
      </w:tr>
      <w:tr w:rsidR="00CE32A6" w:rsidRPr="001B33BA" w14:paraId="5114930E"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4BBF0055" w14:textId="19C35839"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3</w:t>
            </w:r>
          </w:p>
        </w:tc>
        <w:tc>
          <w:tcPr>
            <w:tcW w:w="5387" w:type="dxa"/>
            <w:tcBorders>
              <w:top w:val="single" w:sz="4" w:space="0" w:color="000000"/>
              <w:left w:val="single" w:sz="4" w:space="0" w:color="000000"/>
              <w:bottom w:val="single" w:sz="4" w:space="0" w:color="000000"/>
              <w:right w:val="single" w:sz="4" w:space="0" w:color="000000"/>
            </w:tcBorders>
            <w:noWrap/>
          </w:tcPr>
          <w:p w14:paraId="797CA4CD" w14:textId="5202CDFC" w:rsidR="00CE32A6" w:rsidRPr="001B33BA" w:rsidRDefault="00892B5C" w:rsidP="004C60E6">
            <w:pPr>
              <w:pStyle w:val="Body2"/>
              <w:jc w:val="left"/>
              <w:rPr>
                <w:sz w:val="24"/>
                <w:szCs w:val="24"/>
                <w:lang w:val="lt-LT"/>
              </w:rPr>
            </w:pPr>
            <w:proofErr w:type="spellStart"/>
            <w:r w:rsidRPr="001B33BA">
              <w:rPr>
                <w:rFonts w:ascii="TimesNewRomanPSMT" w:hAnsi="TimesNewRomanPSMT" w:cs="TimesNewRomanPSMT"/>
                <w:sz w:val="24"/>
                <w:szCs w:val="24"/>
                <w:lang w:val="lt-LT"/>
              </w:rPr>
              <w:t>Mo</w:t>
            </w:r>
            <w:proofErr w:type="spellEnd"/>
            <w:r w:rsidRPr="001B33BA">
              <w:rPr>
                <w:rFonts w:ascii="TimesNewRomanPSMT" w:hAnsi="TimesNewRomanPSMT" w:cs="TimesNewRomanPSMT"/>
                <w:sz w:val="24"/>
                <w:szCs w:val="24"/>
                <w:lang w:val="lt-LT"/>
              </w:rPr>
              <w:t xml:space="preserve"> a </w:t>
            </w:r>
            <w:proofErr w:type="spellStart"/>
            <w:r w:rsidRPr="001B33BA">
              <w:rPr>
                <w:rFonts w:ascii="TimesNewRomanPSMT" w:hAnsi="TimesNewRomanPSMT" w:cs="TimesNewRomanPSMT"/>
                <w:sz w:val="24"/>
                <w:szCs w:val="24"/>
                <w:lang w:val="lt-LT"/>
              </w:rPr>
              <w:t>Hu</w:t>
            </w:r>
            <w:proofErr w:type="spellEnd"/>
            <w:r w:rsidRPr="001B33BA">
              <w:rPr>
                <w:rFonts w:ascii="TimesNewRomanPSMT" w:hAnsi="TimesNewRomanPSMT" w:cs="TimesNewRomanPSMT"/>
                <w:sz w:val="24"/>
                <w:szCs w:val="24"/>
                <w:lang w:val="lt-LT"/>
              </w:rPr>
              <w:t xml:space="preserve"> CD8 C8/144B</w:t>
            </w:r>
          </w:p>
        </w:tc>
        <w:tc>
          <w:tcPr>
            <w:tcW w:w="1559" w:type="dxa"/>
            <w:tcBorders>
              <w:top w:val="single" w:sz="4" w:space="0" w:color="auto"/>
              <w:left w:val="single" w:sz="4" w:space="0" w:color="auto"/>
              <w:bottom w:val="single" w:sz="4" w:space="0" w:color="auto"/>
              <w:right w:val="single" w:sz="4" w:space="0" w:color="auto"/>
            </w:tcBorders>
          </w:tcPr>
          <w:p w14:paraId="3DCB4A34" w14:textId="26F8C876" w:rsidR="00CE32A6" w:rsidRPr="001B33BA" w:rsidRDefault="00A90BB9" w:rsidP="00463F70">
            <w:pPr>
              <w:jc w:val="center"/>
            </w:pPr>
            <w:r w:rsidRPr="001B33BA">
              <w:t>625,00</w:t>
            </w:r>
          </w:p>
        </w:tc>
        <w:tc>
          <w:tcPr>
            <w:tcW w:w="1559" w:type="dxa"/>
            <w:tcBorders>
              <w:top w:val="single" w:sz="4" w:space="0" w:color="auto"/>
              <w:left w:val="nil"/>
              <w:bottom w:val="single" w:sz="4" w:space="0" w:color="auto"/>
              <w:right w:val="single" w:sz="4" w:space="0" w:color="auto"/>
            </w:tcBorders>
            <w:noWrap/>
          </w:tcPr>
          <w:p w14:paraId="3AEA7EF0" w14:textId="10250A77" w:rsidR="00CE32A6" w:rsidRPr="001B33BA" w:rsidRDefault="00566FCA" w:rsidP="00463F70">
            <w:pPr>
              <w:jc w:val="center"/>
            </w:pPr>
            <w:r w:rsidRPr="001B33BA">
              <w:t>756,25</w:t>
            </w:r>
          </w:p>
        </w:tc>
      </w:tr>
      <w:tr w:rsidR="00CE32A6" w:rsidRPr="001B33BA" w14:paraId="63E3E60C"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7CEB1071" w14:textId="761C3535"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4</w:t>
            </w:r>
          </w:p>
        </w:tc>
        <w:tc>
          <w:tcPr>
            <w:tcW w:w="5387" w:type="dxa"/>
            <w:tcBorders>
              <w:top w:val="single" w:sz="4" w:space="0" w:color="000000"/>
              <w:left w:val="single" w:sz="4" w:space="0" w:color="000000"/>
              <w:bottom w:val="single" w:sz="4" w:space="0" w:color="000000"/>
              <w:right w:val="single" w:sz="4" w:space="0" w:color="000000"/>
            </w:tcBorders>
            <w:noWrap/>
          </w:tcPr>
          <w:p w14:paraId="60E2AFBE" w14:textId="76457D03" w:rsidR="00CE32A6" w:rsidRPr="001B33BA" w:rsidRDefault="00892B5C" w:rsidP="004C60E6">
            <w:pPr>
              <w:pStyle w:val="Body2"/>
              <w:jc w:val="left"/>
              <w:rPr>
                <w:sz w:val="24"/>
                <w:szCs w:val="24"/>
                <w:lang w:val="lt-LT"/>
              </w:rPr>
            </w:pPr>
            <w:proofErr w:type="spellStart"/>
            <w:r w:rsidRPr="001B33BA">
              <w:rPr>
                <w:rFonts w:ascii="TimesNewRomanPSMT" w:hAnsi="TimesNewRomanPSMT" w:cs="TimesNewRomanPSMT"/>
                <w:sz w:val="24"/>
                <w:szCs w:val="24"/>
                <w:lang w:val="lt-LT"/>
              </w:rPr>
              <w:t>Mo</w:t>
            </w:r>
            <w:proofErr w:type="spellEnd"/>
            <w:r w:rsidRPr="001B33BA">
              <w:rPr>
                <w:rFonts w:ascii="TimesNewRomanPSMT" w:hAnsi="TimesNewRomanPSMT" w:cs="TimesNewRomanPSMT"/>
                <w:sz w:val="24"/>
                <w:szCs w:val="24"/>
                <w:lang w:val="lt-LT"/>
              </w:rPr>
              <w:t xml:space="preserve"> a </w:t>
            </w:r>
            <w:proofErr w:type="spellStart"/>
            <w:r w:rsidRPr="001B33BA">
              <w:rPr>
                <w:rFonts w:ascii="TimesNewRomanPSMT" w:hAnsi="TimesNewRomanPSMT" w:cs="TimesNewRomanPSMT"/>
                <w:sz w:val="24"/>
                <w:szCs w:val="24"/>
                <w:lang w:val="lt-LT"/>
              </w:rPr>
              <w:t>Hu</w:t>
            </w:r>
            <w:proofErr w:type="spellEnd"/>
            <w:r w:rsidRPr="001B33BA">
              <w:rPr>
                <w:rFonts w:ascii="TimesNewRomanPSMT" w:hAnsi="TimesNewRomanPSMT" w:cs="TimesNewRomanPSMT"/>
                <w:sz w:val="24"/>
                <w:szCs w:val="24"/>
                <w:lang w:val="lt-LT"/>
              </w:rPr>
              <w:t xml:space="preserve"> CD34 </w:t>
            </w:r>
            <w:proofErr w:type="spellStart"/>
            <w:r w:rsidRPr="001B33BA">
              <w:rPr>
                <w:rFonts w:ascii="TimesNewRomanPSMT" w:hAnsi="TimesNewRomanPSMT" w:cs="TimesNewRomanPSMT"/>
                <w:sz w:val="24"/>
                <w:szCs w:val="24"/>
                <w:lang w:val="lt-LT"/>
              </w:rPr>
              <w:t>Class</w:t>
            </w:r>
            <w:proofErr w:type="spellEnd"/>
            <w:r w:rsidRPr="001B33BA">
              <w:rPr>
                <w:rFonts w:ascii="TimesNewRomanPSMT" w:hAnsi="TimesNewRomanPSMT" w:cs="TimesNewRomanPSMT"/>
                <w:sz w:val="24"/>
                <w:szCs w:val="24"/>
                <w:lang w:val="lt-LT"/>
              </w:rPr>
              <w:t xml:space="preserve"> II</w:t>
            </w:r>
          </w:p>
        </w:tc>
        <w:tc>
          <w:tcPr>
            <w:tcW w:w="1559" w:type="dxa"/>
            <w:tcBorders>
              <w:top w:val="single" w:sz="4" w:space="0" w:color="auto"/>
              <w:left w:val="single" w:sz="4" w:space="0" w:color="auto"/>
              <w:bottom w:val="single" w:sz="4" w:space="0" w:color="auto"/>
              <w:right w:val="single" w:sz="4" w:space="0" w:color="auto"/>
            </w:tcBorders>
          </w:tcPr>
          <w:p w14:paraId="737CED0E" w14:textId="0BDA7010" w:rsidR="00CE32A6" w:rsidRPr="001B33BA" w:rsidRDefault="00A90BB9" w:rsidP="00463F70">
            <w:pPr>
              <w:jc w:val="center"/>
            </w:pPr>
            <w:r w:rsidRPr="001B33BA">
              <w:t>350,00</w:t>
            </w:r>
          </w:p>
        </w:tc>
        <w:tc>
          <w:tcPr>
            <w:tcW w:w="1559" w:type="dxa"/>
            <w:tcBorders>
              <w:top w:val="single" w:sz="4" w:space="0" w:color="auto"/>
              <w:left w:val="nil"/>
              <w:bottom w:val="single" w:sz="4" w:space="0" w:color="auto"/>
              <w:right w:val="single" w:sz="4" w:space="0" w:color="auto"/>
            </w:tcBorders>
            <w:noWrap/>
          </w:tcPr>
          <w:p w14:paraId="1A9F148B" w14:textId="702998BE" w:rsidR="00CE32A6" w:rsidRPr="001B33BA" w:rsidRDefault="00F21A46" w:rsidP="00463F70">
            <w:pPr>
              <w:jc w:val="center"/>
            </w:pPr>
            <w:r w:rsidRPr="001B33BA">
              <w:t>423,50</w:t>
            </w:r>
          </w:p>
        </w:tc>
      </w:tr>
      <w:tr w:rsidR="00CE32A6" w:rsidRPr="001B33BA" w14:paraId="23B1BAB4"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684B99F7" w14:textId="33321C6E"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5</w:t>
            </w:r>
          </w:p>
        </w:tc>
        <w:tc>
          <w:tcPr>
            <w:tcW w:w="5387" w:type="dxa"/>
            <w:tcBorders>
              <w:top w:val="single" w:sz="4" w:space="0" w:color="000000"/>
              <w:left w:val="single" w:sz="4" w:space="0" w:color="000000"/>
              <w:bottom w:val="single" w:sz="4" w:space="0" w:color="000000"/>
              <w:right w:val="single" w:sz="4" w:space="0" w:color="000000"/>
            </w:tcBorders>
            <w:noWrap/>
          </w:tcPr>
          <w:p w14:paraId="375E7950" w14:textId="555FEA44" w:rsidR="00CE32A6" w:rsidRPr="001B33BA" w:rsidRDefault="009B45B7" w:rsidP="00CA60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proofErr w:type="spellStart"/>
            <w:r w:rsidRPr="001B33BA">
              <w:rPr>
                <w:rFonts w:ascii="TimesNewRomanPSMT" w:hAnsi="TimesNewRomanPSMT" w:cs="TimesNewRomanPSMT"/>
                <w:lang w:val="lt-LT" w:eastAsia="lt-LT"/>
              </w:rPr>
              <w:t>Anti</w:t>
            </w:r>
            <w:proofErr w:type="spellEnd"/>
            <w:r w:rsidRPr="001B33BA">
              <w:rPr>
                <w:rFonts w:ascii="TimesNewRomanPSMT" w:hAnsi="TimesNewRomanPSMT" w:cs="TimesNewRomanPSMT"/>
                <w:lang w:val="lt-LT" w:eastAsia="lt-LT"/>
              </w:rPr>
              <w:t xml:space="preserve"> CD11c (NCL-LCD11c-563)</w:t>
            </w:r>
          </w:p>
        </w:tc>
        <w:tc>
          <w:tcPr>
            <w:tcW w:w="1559" w:type="dxa"/>
            <w:tcBorders>
              <w:top w:val="single" w:sz="4" w:space="0" w:color="auto"/>
              <w:left w:val="single" w:sz="4" w:space="0" w:color="auto"/>
              <w:bottom w:val="single" w:sz="4" w:space="0" w:color="auto"/>
              <w:right w:val="single" w:sz="4" w:space="0" w:color="auto"/>
            </w:tcBorders>
          </w:tcPr>
          <w:p w14:paraId="3E60D112" w14:textId="093F4BE4" w:rsidR="00CE32A6" w:rsidRPr="001B33BA" w:rsidRDefault="00A90BB9" w:rsidP="00463F70">
            <w:pPr>
              <w:jc w:val="center"/>
            </w:pPr>
            <w:r w:rsidRPr="001B33BA">
              <w:t>995,00</w:t>
            </w:r>
          </w:p>
        </w:tc>
        <w:tc>
          <w:tcPr>
            <w:tcW w:w="1559" w:type="dxa"/>
            <w:tcBorders>
              <w:top w:val="single" w:sz="4" w:space="0" w:color="auto"/>
              <w:left w:val="nil"/>
              <w:bottom w:val="single" w:sz="4" w:space="0" w:color="auto"/>
              <w:right w:val="single" w:sz="4" w:space="0" w:color="auto"/>
            </w:tcBorders>
            <w:noWrap/>
          </w:tcPr>
          <w:p w14:paraId="234185AB" w14:textId="1DCA352F" w:rsidR="00CE32A6" w:rsidRPr="001B33BA" w:rsidRDefault="00F21A46" w:rsidP="00463F70">
            <w:pPr>
              <w:jc w:val="center"/>
            </w:pPr>
            <w:r w:rsidRPr="001B33BA">
              <w:t>1203,95</w:t>
            </w:r>
          </w:p>
        </w:tc>
      </w:tr>
      <w:tr w:rsidR="00CE32A6" w:rsidRPr="001B33BA" w14:paraId="0B73DA5F"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0486CC34" w14:textId="24796A46"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6</w:t>
            </w:r>
          </w:p>
        </w:tc>
        <w:tc>
          <w:tcPr>
            <w:tcW w:w="5387" w:type="dxa"/>
            <w:tcBorders>
              <w:top w:val="single" w:sz="4" w:space="0" w:color="000000"/>
              <w:left w:val="single" w:sz="4" w:space="0" w:color="000000"/>
              <w:bottom w:val="single" w:sz="4" w:space="0" w:color="000000"/>
              <w:right w:val="single" w:sz="4" w:space="0" w:color="000000"/>
            </w:tcBorders>
            <w:noWrap/>
          </w:tcPr>
          <w:p w14:paraId="4254987E" w14:textId="0AAAF46E" w:rsidR="00CE32A6" w:rsidRPr="001B33BA" w:rsidRDefault="009B45B7" w:rsidP="004C60E6">
            <w:pPr>
              <w:pStyle w:val="Body2"/>
              <w:jc w:val="left"/>
              <w:rPr>
                <w:sz w:val="24"/>
                <w:szCs w:val="24"/>
                <w:lang w:val="lt-LT"/>
              </w:rPr>
            </w:pPr>
            <w:proofErr w:type="spellStart"/>
            <w:r w:rsidRPr="001B33BA">
              <w:rPr>
                <w:rFonts w:ascii="TimesNewRomanPSMT" w:hAnsi="TimesNewRomanPSMT" w:cs="TimesNewRomanPSMT"/>
                <w:sz w:val="24"/>
                <w:szCs w:val="24"/>
                <w:lang w:val="lt-LT"/>
              </w:rPr>
              <w:t>Anti</w:t>
            </w:r>
            <w:proofErr w:type="spellEnd"/>
            <w:r w:rsidRPr="001B33BA">
              <w:rPr>
                <w:rFonts w:ascii="TimesNewRomanPSMT" w:hAnsi="TimesNewRomanPSMT" w:cs="TimesNewRomanPSMT"/>
                <w:sz w:val="24"/>
                <w:szCs w:val="24"/>
                <w:lang w:val="lt-LT"/>
              </w:rPr>
              <w:t xml:space="preserve"> CD20 </w:t>
            </w:r>
            <w:proofErr w:type="spellStart"/>
            <w:r w:rsidRPr="001B33BA">
              <w:rPr>
                <w:rFonts w:ascii="TimesNewRomanPSMT" w:hAnsi="TimesNewRomanPSMT" w:cs="TimesNewRomanPSMT"/>
                <w:sz w:val="24"/>
                <w:szCs w:val="24"/>
                <w:lang w:val="lt-LT"/>
              </w:rPr>
              <w:t>antibody</w:t>
            </w:r>
            <w:proofErr w:type="spellEnd"/>
            <w:r w:rsidRPr="001B33BA">
              <w:rPr>
                <w:rFonts w:ascii="TimesNewRomanPSMT" w:hAnsi="TimesNewRomanPSMT" w:cs="TimesNewRomanPSMT"/>
                <w:sz w:val="24"/>
                <w:szCs w:val="24"/>
                <w:lang w:val="lt-LT"/>
              </w:rPr>
              <w:t xml:space="preserve"> (L26)</w:t>
            </w:r>
          </w:p>
        </w:tc>
        <w:tc>
          <w:tcPr>
            <w:tcW w:w="1559" w:type="dxa"/>
            <w:tcBorders>
              <w:top w:val="single" w:sz="4" w:space="0" w:color="auto"/>
              <w:left w:val="single" w:sz="4" w:space="0" w:color="auto"/>
              <w:bottom w:val="single" w:sz="4" w:space="0" w:color="auto"/>
              <w:right w:val="single" w:sz="4" w:space="0" w:color="auto"/>
            </w:tcBorders>
          </w:tcPr>
          <w:p w14:paraId="426AFD0E" w14:textId="504A07E0" w:rsidR="00CE32A6" w:rsidRPr="001B33BA" w:rsidRDefault="00CA600E" w:rsidP="00463F70">
            <w:pPr>
              <w:jc w:val="center"/>
            </w:pPr>
            <w:r w:rsidRPr="001B33BA">
              <w:t>220,00</w:t>
            </w:r>
          </w:p>
        </w:tc>
        <w:tc>
          <w:tcPr>
            <w:tcW w:w="1559" w:type="dxa"/>
            <w:tcBorders>
              <w:top w:val="single" w:sz="4" w:space="0" w:color="auto"/>
              <w:left w:val="nil"/>
              <w:bottom w:val="single" w:sz="4" w:space="0" w:color="auto"/>
              <w:right w:val="single" w:sz="4" w:space="0" w:color="auto"/>
            </w:tcBorders>
            <w:noWrap/>
          </w:tcPr>
          <w:p w14:paraId="1D7ACF6A" w14:textId="65DB3E19" w:rsidR="00CE32A6" w:rsidRPr="001B33BA" w:rsidRDefault="00F21A46" w:rsidP="00463F70">
            <w:pPr>
              <w:jc w:val="center"/>
            </w:pPr>
            <w:r w:rsidRPr="001B33BA">
              <w:t>266,20</w:t>
            </w:r>
          </w:p>
        </w:tc>
      </w:tr>
      <w:tr w:rsidR="00CE32A6" w:rsidRPr="001B33BA" w14:paraId="7B17262B"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2161227D" w14:textId="60EECFC0"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7</w:t>
            </w:r>
          </w:p>
        </w:tc>
        <w:tc>
          <w:tcPr>
            <w:tcW w:w="5387" w:type="dxa"/>
            <w:tcBorders>
              <w:top w:val="single" w:sz="4" w:space="0" w:color="000000"/>
              <w:left w:val="single" w:sz="4" w:space="0" w:color="000000"/>
              <w:bottom w:val="single" w:sz="4" w:space="0" w:color="000000"/>
              <w:right w:val="single" w:sz="4" w:space="0" w:color="000000"/>
            </w:tcBorders>
            <w:noWrap/>
          </w:tcPr>
          <w:p w14:paraId="2674DCE5" w14:textId="66B60EF8" w:rsidR="00CE32A6" w:rsidRPr="001B33BA" w:rsidRDefault="009B45B7" w:rsidP="004C60E6">
            <w:pPr>
              <w:pStyle w:val="Body2"/>
              <w:jc w:val="left"/>
              <w:rPr>
                <w:sz w:val="24"/>
                <w:szCs w:val="24"/>
                <w:lang w:val="lt-LT"/>
              </w:rPr>
            </w:pPr>
            <w:proofErr w:type="spellStart"/>
            <w:r w:rsidRPr="001B33BA">
              <w:rPr>
                <w:rFonts w:ascii="TimesNewRomanPSMT" w:hAnsi="TimesNewRomanPSMT" w:cs="TimesNewRomanPSMT"/>
                <w:sz w:val="24"/>
                <w:szCs w:val="24"/>
                <w:lang w:val="lt-LT"/>
              </w:rPr>
              <w:t>Anti</w:t>
            </w:r>
            <w:proofErr w:type="spellEnd"/>
            <w:r w:rsidRPr="001B33BA">
              <w:rPr>
                <w:rFonts w:ascii="TimesNewRomanPSMT" w:hAnsi="TimesNewRomanPSMT" w:cs="TimesNewRomanPSMT"/>
                <w:sz w:val="24"/>
                <w:szCs w:val="24"/>
                <w:lang w:val="lt-LT"/>
              </w:rPr>
              <w:t xml:space="preserve"> CD68 </w:t>
            </w:r>
            <w:proofErr w:type="spellStart"/>
            <w:r w:rsidRPr="001B33BA">
              <w:rPr>
                <w:rFonts w:ascii="TimesNewRomanPSMT" w:hAnsi="TimesNewRomanPSMT" w:cs="TimesNewRomanPSMT"/>
                <w:sz w:val="24"/>
                <w:szCs w:val="24"/>
                <w:lang w:val="lt-LT"/>
              </w:rPr>
              <w:t>antibody</w:t>
            </w:r>
            <w:proofErr w:type="spellEnd"/>
            <w:r w:rsidRPr="001B33BA">
              <w:rPr>
                <w:rFonts w:ascii="TimesNewRomanPSMT" w:hAnsi="TimesNewRomanPSMT" w:cs="TimesNewRomanPSMT"/>
                <w:sz w:val="24"/>
                <w:szCs w:val="24"/>
                <w:lang w:val="lt-LT"/>
              </w:rPr>
              <w:t xml:space="preserve"> (KP1)</w:t>
            </w:r>
          </w:p>
        </w:tc>
        <w:tc>
          <w:tcPr>
            <w:tcW w:w="1559" w:type="dxa"/>
            <w:tcBorders>
              <w:top w:val="single" w:sz="4" w:space="0" w:color="auto"/>
              <w:left w:val="single" w:sz="4" w:space="0" w:color="auto"/>
              <w:bottom w:val="single" w:sz="4" w:space="0" w:color="auto"/>
              <w:right w:val="single" w:sz="4" w:space="0" w:color="auto"/>
            </w:tcBorders>
          </w:tcPr>
          <w:p w14:paraId="6C4AFB9B" w14:textId="31F32CBE" w:rsidR="00CE32A6" w:rsidRPr="001B33BA" w:rsidRDefault="00CA600E" w:rsidP="00463F70">
            <w:pPr>
              <w:jc w:val="center"/>
            </w:pPr>
            <w:r w:rsidRPr="001B33BA">
              <w:t>880,00</w:t>
            </w:r>
          </w:p>
        </w:tc>
        <w:tc>
          <w:tcPr>
            <w:tcW w:w="1559" w:type="dxa"/>
            <w:tcBorders>
              <w:top w:val="single" w:sz="4" w:space="0" w:color="auto"/>
              <w:left w:val="nil"/>
              <w:bottom w:val="single" w:sz="4" w:space="0" w:color="auto"/>
              <w:right w:val="single" w:sz="4" w:space="0" w:color="auto"/>
            </w:tcBorders>
            <w:noWrap/>
          </w:tcPr>
          <w:p w14:paraId="13A34EEA" w14:textId="2FB75B44" w:rsidR="00CE32A6" w:rsidRPr="001B33BA" w:rsidRDefault="004B5949" w:rsidP="00463F70">
            <w:pPr>
              <w:jc w:val="center"/>
            </w:pPr>
            <w:r w:rsidRPr="001B33BA">
              <w:t>1064,80</w:t>
            </w:r>
          </w:p>
        </w:tc>
      </w:tr>
      <w:tr w:rsidR="00CE32A6" w:rsidRPr="001B33BA" w14:paraId="27434470"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6A69AF6D" w14:textId="44A4EE2A" w:rsidR="00CE32A6" w:rsidRPr="001B33BA" w:rsidRDefault="00CE32A6"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1B33BA">
              <w:rPr>
                <w:rFonts w:ascii="Times New Roman1" w:eastAsia="Times New Roman" w:hAnsi="Times New Roman1"/>
                <w:bCs/>
                <w:color w:val="000000"/>
                <w:bdr w:val="none" w:sz="0" w:space="0" w:color="auto"/>
                <w:lang w:val="lt-LT" w:eastAsia="lt-LT"/>
              </w:rPr>
              <w:t>8</w:t>
            </w:r>
          </w:p>
        </w:tc>
        <w:tc>
          <w:tcPr>
            <w:tcW w:w="5387" w:type="dxa"/>
            <w:tcBorders>
              <w:top w:val="single" w:sz="4" w:space="0" w:color="000000"/>
              <w:left w:val="single" w:sz="4" w:space="0" w:color="000000"/>
              <w:bottom w:val="single" w:sz="4" w:space="0" w:color="000000"/>
              <w:right w:val="single" w:sz="4" w:space="0" w:color="000000"/>
            </w:tcBorders>
            <w:noWrap/>
          </w:tcPr>
          <w:p w14:paraId="737BD8EA" w14:textId="23EFB1F8" w:rsidR="00CE32A6" w:rsidRPr="001B33BA" w:rsidRDefault="009B45B7" w:rsidP="00CA60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sidRPr="001B33BA">
              <w:rPr>
                <w:rFonts w:ascii="TimesNewRomanPSMT" w:hAnsi="TimesNewRomanPSMT" w:cs="TimesNewRomanPSMT"/>
                <w:lang w:val="lt-LT" w:eastAsia="lt-LT"/>
              </w:rPr>
              <w:t>VENTANA PD-L1 (SP263)</w:t>
            </w:r>
            <w:r w:rsidR="00CA600E" w:rsidRPr="001B33BA">
              <w:rPr>
                <w:rFonts w:ascii="TimesNewRomanPSMT" w:hAnsi="TimesNewRomanPSMT" w:cs="TimesNewRomanPSMT"/>
                <w:lang w:val="lt-LT" w:eastAsia="lt-LT"/>
              </w:rPr>
              <w:t xml:space="preserve"> </w:t>
            </w:r>
            <w:r w:rsidRPr="001B33BA">
              <w:rPr>
                <w:rFonts w:ascii="TimesNewRomanPSMT" w:hAnsi="TimesNewRomanPSMT" w:cs="TimesNewRomanPSMT"/>
                <w:lang w:val="lt-LT" w:eastAsia="lt-LT"/>
              </w:rPr>
              <w:t xml:space="preserve">CE IVD US </w:t>
            </w:r>
            <w:proofErr w:type="spellStart"/>
            <w:r w:rsidRPr="001B33BA">
              <w:rPr>
                <w:rFonts w:ascii="TimesNewRomanPSMT" w:hAnsi="TimesNewRomanPSMT" w:cs="TimesNewRomanPSMT"/>
                <w:lang w:val="lt-LT" w:eastAsia="lt-LT"/>
              </w:rPr>
              <w:t>Export</w:t>
            </w:r>
            <w:proofErr w:type="spellEnd"/>
          </w:p>
        </w:tc>
        <w:tc>
          <w:tcPr>
            <w:tcW w:w="1559" w:type="dxa"/>
            <w:tcBorders>
              <w:top w:val="single" w:sz="4" w:space="0" w:color="auto"/>
              <w:left w:val="single" w:sz="4" w:space="0" w:color="auto"/>
              <w:bottom w:val="single" w:sz="4" w:space="0" w:color="auto"/>
              <w:right w:val="single" w:sz="4" w:space="0" w:color="auto"/>
            </w:tcBorders>
          </w:tcPr>
          <w:p w14:paraId="713D6D8F" w14:textId="168ECEC4" w:rsidR="00CE32A6" w:rsidRPr="001B33BA" w:rsidRDefault="00CA600E" w:rsidP="00463F70">
            <w:pPr>
              <w:jc w:val="center"/>
            </w:pPr>
            <w:r w:rsidRPr="001B33BA">
              <w:t>25000,00</w:t>
            </w:r>
          </w:p>
        </w:tc>
        <w:tc>
          <w:tcPr>
            <w:tcW w:w="1559" w:type="dxa"/>
            <w:tcBorders>
              <w:top w:val="single" w:sz="4" w:space="0" w:color="auto"/>
              <w:left w:val="nil"/>
              <w:bottom w:val="single" w:sz="4" w:space="0" w:color="auto"/>
              <w:right w:val="single" w:sz="4" w:space="0" w:color="auto"/>
            </w:tcBorders>
            <w:noWrap/>
          </w:tcPr>
          <w:p w14:paraId="5CA0FE29" w14:textId="5BF92DA2" w:rsidR="00CE32A6" w:rsidRPr="001B33BA" w:rsidRDefault="004B5949" w:rsidP="00463F70">
            <w:pPr>
              <w:jc w:val="center"/>
            </w:pPr>
            <w:r w:rsidRPr="001B33BA">
              <w:t>3025</w:t>
            </w:r>
            <w:r w:rsidR="00BA1F47">
              <w:t>0</w:t>
            </w:r>
            <w:r w:rsidRPr="001B33BA">
              <w:t>,00</w:t>
            </w:r>
          </w:p>
        </w:tc>
      </w:tr>
    </w:tbl>
    <w:bookmarkEnd w:id="1"/>
    <w:p w14:paraId="30103273" w14:textId="6D037542" w:rsidR="00B664BF" w:rsidRPr="002568F4" w:rsidRDefault="00B664BF" w:rsidP="00B664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D3818">
        <w:rPr>
          <w:rFonts w:cs="Arial Unicode MS"/>
          <w:b/>
          <w:i/>
          <w:color w:val="000000"/>
          <w:lang w:val="lt-LT" w:eastAsia="lt-LT"/>
        </w:rPr>
        <w:t>Pastaba.</w:t>
      </w:r>
      <w:r w:rsidR="00000907" w:rsidRPr="00000907">
        <w:rPr>
          <w:rFonts w:cs="Arial Unicode MS"/>
          <w:i/>
          <w:color w:val="000000"/>
          <w:lang w:val="lt-LT" w:eastAsia="lt-LT"/>
        </w:rPr>
        <w:t xml:space="preserve"> </w:t>
      </w:r>
      <w:r w:rsidR="00000907" w:rsidRPr="00716EDE">
        <w:rPr>
          <w:rFonts w:cs="Arial Unicode MS"/>
          <w:i/>
          <w:color w:val="000000"/>
          <w:lang w:val="lt-LT" w:eastAsia="lt-LT"/>
        </w:rPr>
        <w:t>Vadovaujantis Pridėtinės vertės mokesčio įstatymo nuostatomis, prekėms taikomas 21</w:t>
      </w:r>
      <w:r w:rsidR="00AB26D5">
        <w:rPr>
          <w:rFonts w:cs="Arial Unicode MS"/>
          <w:i/>
          <w:color w:val="000000"/>
          <w:lang w:val="lt-LT" w:eastAsia="lt-LT"/>
        </w:rPr>
        <w:t xml:space="preserve"> proc.</w:t>
      </w:r>
      <w:r w:rsidR="00000907" w:rsidRPr="00716EDE">
        <w:rPr>
          <w:rFonts w:cs="Arial Unicode MS"/>
          <w:i/>
          <w:color w:val="000000"/>
          <w:lang w:val="lt-LT" w:eastAsia="lt-LT"/>
        </w:rPr>
        <w:t xml:space="preserve"> PVM tarifa</w:t>
      </w:r>
      <w:r w:rsidR="00000907">
        <w:rPr>
          <w:rFonts w:cs="Arial Unicode MS"/>
          <w:i/>
          <w:color w:val="000000"/>
          <w:lang w:val="lt-LT" w:eastAsia="lt-LT"/>
        </w:rPr>
        <w:t>s.</w:t>
      </w:r>
      <w:r w:rsidRPr="002D3818">
        <w:rPr>
          <w:rFonts w:cs="Arial Unicode MS"/>
          <w:i/>
          <w:color w:val="000000"/>
          <w:lang w:val="lt-LT" w:eastAsia="lt-LT"/>
        </w:rPr>
        <w:t xml:space="preserve"> </w:t>
      </w:r>
      <w:r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7773B0">
        <w:rPr>
          <w:rFonts w:eastAsia="Calibri"/>
          <w:i/>
          <w:bdr w:val="none" w:sz="0" w:space="0" w:color="auto"/>
          <w:lang w:val="lt-LT" w:eastAsia="lt-LT"/>
        </w:rPr>
        <w:t>PVM tarifas, arba pasiūlymą teikia PVM mokėtoju neįsiregistravęs Lietuvos Respublikos apmokestinamasis asmuo (ne PVM mokėtojas)</w:t>
      </w:r>
      <w:r w:rsidRPr="007773B0">
        <w:rPr>
          <w:rFonts w:eastAsia="Calibri"/>
          <w:i/>
          <w:iCs/>
          <w:bdr w:val="none" w:sz="0" w:space="0" w:color="auto"/>
          <w:shd w:val="clear" w:color="auto" w:fill="FFFFFF"/>
          <w:lang w:val="lt-LT" w:eastAsia="lt-LT"/>
        </w:rPr>
        <w:t xml:space="preserve">, </w:t>
      </w:r>
      <w:r w:rsidRPr="007773B0">
        <w:rPr>
          <w:rFonts w:eastAsia="Calibri"/>
          <w:i/>
          <w:bdr w:val="none" w:sz="0" w:space="0" w:color="auto"/>
          <w:shd w:val="clear" w:color="auto" w:fill="FFFFFF"/>
          <w:lang w:val="lt-LT" w:eastAsia="lt-LT"/>
        </w:rPr>
        <w:t xml:space="preserve">tiekėjas kartu su pasiūlymu </w:t>
      </w:r>
      <w:r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Pr>
          <w:rFonts w:eastAsia="Calibri"/>
          <w:i/>
          <w:u w:val="single"/>
          <w:bdr w:val="none" w:sz="0" w:space="0" w:color="auto"/>
          <w:shd w:val="clear" w:color="auto" w:fill="FFFFFF"/>
          <w:lang w:val="lt-LT" w:eastAsia="lt-LT"/>
        </w:rPr>
        <w:t>.</w:t>
      </w:r>
      <w:r w:rsidRPr="007773B0">
        <w:rPr>
          <w:rFonts w:eastAsia="Calibri"/>
          <w:i/>
          <w:u w:val="single"/>
          <w:bdr w:val="none" w:sz="0" w:space="0" w:color="auto"/>
          <w:shd w:val="clear" w:color="auto" w:fill="FFFFFF"/>
          <w:lang w:val="lt-LT" w:eastAsia="lt-LT"/>
        </w:rPr>
        <w:t xml:space="preserve"> PVM tarifas arba PVM netaikomas.</w:t>
      </w:r>
    </w:p>
    <w:p w14:paraId="786C3B92" w14:textId="2A7B0AC9" w:rsidR="00B664BF" w:rsidRPr="00ED36D3" w:rsidRDefault="00B664BF" w:rsidP="00B664BF">
      <w:pPr>
        <w:ind w:firstLine="567"/>
        <w:jc w:val="both"/>
        <w:rPr>
          <w:i/>
          <w:iCs/>
          <w:lang w:val="lt-LT" w:eastAsia="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4C1D21">
        <w:rPr>
          <w:i/>
          <w:iCs/>
          <w:lang w:val="lt-LT" w:eastAsia="lt-LT"/>
        </w:rPr>
        <w:t>21</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7A94B80C"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w:t>
      </w:r>
      <w:r w:rsidR="00C14911">
        <w:rPr>
          <w:color w:val="000000"/>
        </w:rPr>
        <w:t>4</w:t>
      </w:r>
      <w:r w:rsidR="001F5A47" w:rsidRPr="00A229BB">
        <w:rPr>
          <w:color w:val="000000"/>
        </w:rPr>
        <w:t xml:space="preserve"> priede </w:t>
      </w:r>
      <w:r w:rsidR="00252270">
        <w:rPr>
          <w:color w:val="000000"/>
        </w:rPr>
        <w:t>,,</w:t>
      </w:r>
      <w:r w:rsidR="001F5A47" w:rsidRPr="00A229BB">
        <w:rPr>
          <w:color w:val="000000"/>
        </w:rPr>
        <w:t>Pasiūlymo forma”.</w:t>
      </w:r>
    </w:p>
    <w:p w14:paraId="56A2DDE5" w14:textId="77777777" w:rsidR="0092662D" w:rsidRPr="0092662D" w:rsidRDefault="0092662D" w:rsidP="0092662D">
      <w:pPr>
        <w:pStyle w:val="NormalWeb"/>
        <w:spacing w:before="0" w:beforeAutospacing="0" w:after="40" w:afterAutospacing="0"/>
        <w:jc w:val="both"/>
        <w:rPr>
          <w:color w:val="000000"/>
        </w:rPr>
      </w:pPr>
      <w:r w:rsidRPr="0092662D">
        <w:rPr>
          <w:color w:val="000000"/>
        </w:rPr>
        <w:tab/>
        <w:t>21. Šiame pirkime taikomi aplinkos apsaugos kriterijai (žaliųjų pirkimų reikalavimai). Aplinkos apsaugos kriterijai nustatyti pagal Lietuvos Respublikos aplinkos ministro  Lietuvos Respublikos aplinkos ministro 2011 m. birželio 28 d. įsakymu Nr. D1-508 (</w:t>
      </w:r>
      <w:r w:rsidRPr="0092662D">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Pr="0092662D">
        <w:t xml:space="preserve"> </w:t>
      </w:r>
      <w:hyperlink r:id="rId8" w:history="1">
        <w:r w:rsidRPr="0092662D">
          <w:rPr>
            <w:rStyle w:val="Hyperlink"/>
            <w:rFonts w:eastAsiaTheme="majorEastAsia"/>
          </w:rPr>
          <w:t>https://e-</w:t>
        </w:r>
        <w:r w:rsidRPr="0092662D">
          <w:rPr>
            <w:rStyle w:val="Hyperlink"/>
            <w:rFonts w:eastAsiaTheme="majorEastAsia"/>
          </w:rPr>
          <w:lastRenderedPageBreak/>
          <w:t>seimas.lrs.lt/portal/legalAct/lt/TAD/TAIS.403512/asr</w:t>
        </w:r>
      </w:hyperlink>
      <w:r w:rsidRPr="0092662D">
        <w:rPr>
          <w:rStyle w:val="cf01"/>
          <w:rFonts w:ascii="Times New Roman" w:hAnsi="Times New Roman" w:cs="Times New Roman"/>
        </w:rPr>
        <w:t xml:space="preserve"> </w:t>
      </w:r>
      <w:r w:rsidRPr="0092662D">
        <w:rPr>
          <w:color w:val="000000"/>
        </w:rPr>
        <w:t>4.4.4. papunktį. Aplinkos apsaugos kriterijai nustatyti pirkimo sąlygų viešojo pirkimo – pardavimo sutarties projekte kaip tiekėjo įsipareigojimas.</w:t>
      </w:r>
    </w:p>
    <w:p w14:paraId="167394EA" w14:textId="3167BC66" w:rsidR="00754D5B" w:rsidRPr="00FD6A1F" w:rsidRDefault="00754D5B" w:rsidP="00754D5B">
      <w:pPr>
        <w:tabs>
          <w:tab w:val="left" w:pos="709"/>
          <w:tab w:val="left" w:pos="1418"/>
        </w:tabs>
        <w:contextualSpacing/>
        <w:jc w:val="both"/>
        <w:rPr>
          <w:color w:val="000000"/>
          <w:lang w:val="lt-LT"/>
        </w:rPr>
      </w:pPr>
      <w:r w:rsidRPr="00FD6A1F">
        <w:rPr>
          <w:color w:val="000000"/>
          <w:shd w:val="clear" w:color="auto" w:fill="FFFFFF"/>
          <w:lang w:val="lt-LT"/>
        </w:rPr>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683EB471" w14:textId="77777777" w:rsidR="008A5A0E" w:rsidRPr="00151172" w:rsidRDefault="008A5A0E" w:rsidP="008A5A0E">
      <w:pPr>
        <w:tabs>
          <w:tab w:val="left" w:pos="1418"/>
        </w:tabs>
        <w:spacing w:line="276" w:lineRule="auto"/>
        <w:ind w:right="425"/>
        <w:contextualSpacing/>
        <w:jc w:val="both"/>
        <w:rPr>
          <w:color w:val="000000"/>
          <w:lang w:val="lt-LT"/>
        </w:rPr>
      </w:pPr>
    </w:p>
    <w:p w14:paraId="5BFCB8D2" w14:textId="77777777" w:rsidR="00E80B28" w:rsidRPr="00D33B5F" w:rsidRDefault="00E80B28" w:rsidP="00E80B28">
      <w:pPr>
        <w:pStyle w:val="NormalWeb"/>
        <w:spacing w:before="0" w:beforeAutospacing="0" w:after="40" w:afterAutospacing="0"/>
        <w:ind w:firstLine="720"/>
        <w:jc w:val="both"/>
      </w:pPr>
      <w:r w:rsidRPr="00D33B5F">
        <w:rPr>
          <w:color w:val="000000"/>
        </w:rPr>
        <w:t>SPS priedai:</w:t>
      </w:r>
    </w:p>
    <w:p w14:paraId="094B360C" w14:textId="77777777" w:rsidR="00E80B28" w:rsidRPr="00D33B5F" w:rsidRDefault="00E80B28" w:rsidP="00E80B2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25651119" w14:textId="77777777" w:rsidR="00E80B28" w:rsidRPr="00D33B5F" w:rsidRDefault="00E80B28" w:rsidP="00E80B28">
      <w:pPr>
        <w:pStyle w:val="NormalWeb"/>
        <w:spacing w:before="0" w:beforeAutospacing="0" w:after="40" w:afterAutospacing="0"/>
        <w:ind w:firstLine="720"/>
        <w:jc w:val="both"/>
      </w:pPr>
      <w:r w:rsidRPr="00D33B5F">
        <w:rPr>
          <w:color w:val="000000"/>
        </w:rPr>
        <w:t xml:space="preserve">2. </w:t>
      </w:r>
      <w:r>
        <w:rPr>
          <w:color w:val="000000"/>
        </w:rPr>
        <w:t>Viešojo</w:t>
      </w:r>
      <w:r w:rsidRPr="00604E2A">
        <w:rPr>
          <w:color w:val="000000"/>
        </w:rPr>
        <w:t xml:space="preserve"> pirkimo-pardavimo sutarties projektas</w:t>
      </w:r>
      <w:r>
        <w:rPr>
          <w:color w:val="000000"/>
        </w:rPr>
        <w:t>.</w:t>
      </w:r>
    </w:p>
    <w:p w14:paraId="314DC267" w14:textId="77777777" w:rsidR="00E80B28" w:rsidRPr="00D33B5F" w:rsidRDefault="00E80B28" w:rsidP="00E80B2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4AAF2729" w14:textId="62591307" w:rsidR="00160CCC" w:rsidRDefault="00E80B28" w:rsidP="00CF51FB">
      <w:pPr>
        <w:pStyle w:val="NormalWeb"/>
        <w:spacing w:before="0" w:beforeAutospacing="0" w:after="40" w:afterAutospacing="0"/>
        <w:ind w:firstLine="720"/>
        <w:jc w:val="both"/>
        <w:rPr>
          <w:color w:val="000000"/>
        </w:rPr>
      </w:pPr>
      <w:r w:rsidRPr="00D33B5F">
        <w:rPr>
          <w:color w:val="000000"/>
        </w:rPr>
        <w:t>4. Pasiūlymo forma</w:t>
      </w:r>
      <w:r>
        <w:rPr>
          <w:color w:val="000000"/>
        </w:rPr>
        <w:t>.</w:t>
      </w:r>
    </w:p>
    <w:sectPr w:rsidR="00160CCC" w:rsidSect="004C60E6">
      <w:footerReference w:type="default" r:id="rId9"/>
      <w:pgSz w:w="11900" w:h="16840"/>
      <w:pgMar w:top="851" w:right="560" w:bottom="993"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6723" w14:textId="77777777" w:rsidR="00564F01" w:rsidRDefault="00564F01">
      <w:r>
        <w:separator/>
      </w:r>
    </w:p>
  </w:endnote>
  <w:endnote w:type="continuationSeparator" w:id="0">
    <w:p w14:paraId="73BB8BE0" w14:textId="77777777" w:rsidR="00564F01" w:rsidRDefault="005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53AC" w14:textId="77777777" w:rsidR="00564F01" w:rsidRDefault="00564F01">
      <w:r>
        <w:separator/>
      </w:r>
    </w:p>
  </w:footnote>
  <w:footnote w:type="continuationSeparator" w:id="0">
    <w:p w14:paraId="0D86D657" w14:textId="77777777" w:rsidR="00564F01" w:rsidRDefault="00564F01">
      <w:r>
        <w:continuationSeparator/>
      </w:r>
    </w:p>
  </w:footnote>
  <w:footnote w:id="1">
    <w:p w14:paraId="309C62D6" w14:textId="77777777" w:rsidR="00813B83" w:rsidRDefault="00813B83" w:rsidP="00813B83">
      <w:pPr>
        <w:pStyle w:val="FootnoteText"/>
        <w:jc w:val="both"/>
        <w:rPr>
          <w:lang w:val="lt-LT"/>
        </w:rPr>
      </w:pPr>
      <w:r>
        <w:rPr>
          <w:rStyle w:val="FootnoteReference"/>
        </w:rPr>
        <w:footnoteRef/>
      </w:r>
      <w:r>
        <w:t xml:space="preserve"> </w:t>
      </w:r>
      <w:r>
        <w:rPr>
          <w:rFonts w:eastAsia="Aptos"/>
          <w:i/>
          <w:sz w:val="16"/>
          <w:szCs w:val="16"/>
          <w:bdr w:val="none" w:sz="0" w:space="0" w:color="auto" w:frame="1"/>
          <w:lang w:val="lt-LT"/>
        </w:rPr>
        <w:t>Jeigu ketinama sudaryti sutartį su tiekėju ar subtiekėju, kurio lėšų gavėjo tikrasis (-</w:t>
      </w:r>
      <w:proofErr w:type="spellStart"/>
      <w:r>
        <w:rPr>
          <w:rFonts w:eastAsia="Aptos"/>
          <w:i/>
          <w:sz w:val="16"/>
          <w:szCs w:val="16"/>
          <w:bdr w:val="none" w:sz="0" w:space="0" w:color="auto" w:frame="1"/>
          <w:lang w:val="lt-LT"/>
        </w:rPr>
        <w:t>ieji</w:t>
      </w:r>
      <w:proofErr w:type="spellEnd"/>
      <w:r>
        <w:rPr>
          <w:rFonts w:eastAsia="Aptos"/>
          <w:i/>
          <w:sz w:val="16"/>
          <w:szCs w:val="16"/>
          <w:bdr w:val="none" w:sz="0" w:space="0" w:color="auto" w:frame="1"/>
          <w:lang w:val="lt-LT"/>
        </w:rPr>
        <w:t>) savininkas (-ai) yra užsienietis (fizinis asmuo) ar užsienyje registruotas juridinis asmuo arba paslaugų teikėjas, prekių tiekėjas, rangovas ir (ar) paslaugų subteikėjas, prekių subtiekėjas, subrangovas yra užsienietis (fizinis asmuo)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073"/>
    <w:rsid w:val="00000907"/>
    <w:rsid w:val="00004E93"/>
    <w:rsid w:val="00010B3F"/>
    <w:rsid w:val="00017099"/>
    <w:rsid w:val="00025453"/>
    <w:rsid w:val="00030E6D"/>
    <w:rsid w:val="00031029"/>
    <w:rsid w:val="0003294A"/>
    <w:rsid w:val="000352D9"/>
    <w:rsid w:val="000410D9"/>
    <w:rsid w:val="00046F04"/>
    <w:rsid w:val="00047D0E"/>
    <w:rsid w:val="00052FD6"/>
    <w:rsid w:val="000650FC"/>
    <w:rsid w:val="00065EA9"/>
    <w:rsid w:val="00070A4F"/>
    <w:rsid w:val="00073EAF"/>
    <w:rsid w:val="0007624D"/>
    <w:rsid w:val="000811B8"/>
    <w:rsid w:val="000843CB"/>
    <w:rsid w:val="000924D0"/>
    <w:rsid w:val="00095CAF"/>
    <w:rsid w:val="00096CEB"/>
    <w:rsid w:val="000A0402"/>
    <w:rsid w:val="000A7FD8"/>
    <w:rsid w:val="000C701C"/>
    <w:rsid w:val="000C7B94"/>
    <w:rsid w:val="000D0227"/>
    <w:rsid w:val="000D18A2"/>
    <w:rsid w:val="000D386B"/>
    <w:rsid w:val="000E017F"/>
    <w:rsid w:val="000E0E5B"/>
    <w:rsid w:val="000E166B"/>
    <w:rsid w:val="000E4515"/>
    <w:rsid w:val="000E4A0A"/>
    <w:rsid w:val="000F17A4"/>
    <w:rsid w:val="000F44FF"/>
    <w:rsid w:val="0011338A"/>
    <w:rsid w:val="001140DE"/>
    <w:rsid w:val="00122838"/>
    <w:rsid w:val="00122C8F"/>
    <w:rsid w:val="001330D6"/>
    <w:rsid w:val="00141A3F"/>
    <w:rsid w:val="001433ED"/>
    <w:rsid w:val="00146450"/>
    <w:rsid w:val="00151172"/>
    <w:rsid w:val="00160CCC"/>
    <w:rsid w:val="00162296"/>
    <w:rsid w:val="00166DCC"/>
    <w:rsid w:val="00183475"/>
    <w:rsid w:val="001949FB"/>
    <w:rsid w:val="001973D8"/>
    <w:rsid w:val="00197D01"/>
    <w:rsid w:val="001A064F"/>
    <w:rsid w:val="001A27FE"/>
    <w:rsid w:val="001A500B"/>
    <w:rsid w:val="001B09B1"/>
    <w:rsid w:val="001B1CF6"/>
    <w:rsid w:val="001B33BA"/>
    <w:rsid w:val="001B5396"/>
    <w:rsid w:val="001C1B78"/>
    <w:rsid w:val="001C74BA"/>
    <w:rsid w:val="001D1CE6"/>
    <w:rsid w:val="001D4BA8"/>
    <w:rsid w:val="001D4D01"/>
    <w:rsid w:val="001D5F8C"/>
    <w:rsid w:val="001E36B8"/>
    <w:rsid w:val="001E58D4"/>
    <w:rsid w:val="001E77E0"/>
    <w:rsid w:val="001F5A47"/>
    <w:rsid w:val="0020073A"/>
    <w:rsid w:val="00210648"/>
    <w:rsid w:val="00217F8D"/>
    <w:rsid w:val="00220AC7"/>
    <w:rsid w:val="0022150C"/>
    <w:rsid w:val="0022390D"/>
    <w:rsid w:val="0022418E"/>
    <w:rsid w:val="0022449B"/>
    <w:rsid w:val="00224C40"/>
    <w:rsid w:val="00227892"/>
    <w:rsid w:val="00231B17"/>
    <w:rsid w:val="00232656"/>
    <w:rsid w:val="00235074"/>
    <w:rsid w:val="0023575E"/>
    <w:rsid w:val="002422CB"/>
    <w:rsid w:val="0024305E"/>
    <w:rsid w:val="00244032"/>
    <w:rsid w:val="00252270"/>
    <w:rsid w:val="002549C3"/>
    <w:rsid w:val="002618E1"/>
    <w:rsid w:val="0026369D"/>
    <w:rsid w:val="00265E11"/>
    <w:rsid w:val="0027015B"/>
    <w:rsid w:val="002760B1"/>
    <w:rsid w:val="00277F51"/>
    <w:rsid w:val="00281572"/>
    <w:rsid w:val="00283AE8"/>
    <w:rsid w:val="00286110"/>
    <w:rsid w:val="00292CF7"/>
    <w:rsid w:val="00293B34"/>
    <w:rsid w:val="00295B2B"/>
    <w:rsid w:val="002A1E4E"/>
    <w:rsid w:val="002A2D16"/>
    <w:rsid w:val="002A51EA"/>
    <w:rsid w:val="002B2E9E"/>
    <w:rsid w:val="002B48F9"/>
    <w:rsid w:val="002B5F2C"/>
    <w:rsid w:val="002C4556"/>
    <w:rsid w:val="002C50E4"/>
    <w:rsid w:val="002D0FA2"/>
    <w:rsid w:val="002D1FF4"/>
    <w:rsid w:val="002D2D69"/>
    <w:rsid w:val="002D3AD9"/>
    <w:rsid w:val="002D604D"/>
    <w:rsid w:val="002D6614"/>
    <w:rsid w:val="002E1915"/>
    <w:rsid w:val="002E35CB"/>
    <w:rsid w:val="002E4DA5"/>
    <w:rsid w:val="002E70D3"/>
    <w:rsid w:val="002F4C6D"/>
    <w:rsid w:val="002F63C0"/>
    <w:rsid w:val="0030163F"/>
    <w:rsid w:val="003129F3"/>
    <w:rsid w:val="00312ED1"/>
    <w:rsid w:val="003139E9"/>
    <w:rsid w:val="00314035"/>
    <w:rsid w:val="00316D92"/>
    <w:rsid w:val="0032059C"/>
    <w:rsid w:val="00320912"/>
    <w:rsid w:val="00323676"/>
    <w:rsid w:val="00325CB8"/>
    <w:rsid w:val="00327D00"/>
    <w:rsid w:val="003324F9"/>
    <w:rsid w:val="00333863"/>
    <w:rsid w:val="003360BC"/>
    <w:rsid w:val="0033780D"/>
    <w:rsid w:val="003419EF"/>
    <w:rsid w:val="00342185"/>
    <w:rsid w:val="003429A4"/>
    <w:rsid w:val="00346998"/>
    <w:rsid w:val="00354E05"/>
    <w:rsid w:val="00357350"/>
    <w:rsid w:val="00365E43"/>
    <w:rsid w:val="003662A6"/>
    <w:rsid w:val="0037153A"/>
    <w:rsid w:val="003757B7"/>
    <w:rsid w:val="00382B06"/>
    <w:rsid w:val="00382E7F"/>
    <w:rsid w:val="00394C65"/>
    <w:rsid w:val="00395255"/>
    <w:rsid w:val="003A20B5"/>
    <w:rsid w:val="003B464A"/>
    <w:rsid w:val="003C2DCC"/>
    <w:rsid w:val="003C4722"/>
    <w:rsid w:val="003C7703"/>
    <w:rsid w:val="003D1074"/>
    <w:rsid w:val="003D7222"/>
    <w:rsid w:val="003E7274"/>
    <w:rsid w:val="003E7596"/>
    <w:rsid w:val="003F06E7"/>
    <w:rsid w:val="003F24AB"/>
    <w:rsid w:val="004017CB"/>
    <w:rsid w:val="00414976"/>
    <w:rsid w:val="00431712"/>
    <w:rsid w:val="00442969"/>
    <w:rsid w:val="004441EA"/>
    <w:rsid w:val="0045220C"/>
    <w:rsid w:val="00455AF3"/>
    <w:rsid w:val="00456D6E"/>
    <w:rsid w:val="00461852"/>
    <w:rsid w:val="00463F70"/>
    <w:rsid w:val="00466E14"/>
    <w:rsid w:val="00467E24"/>
    <w:rsid w:val="004718D5"/>
    <w:rsid w:val="0047482B"/>
    <w:rsid w:val="00481964"/>
    <w:rsid w:val="0048305A"/>
    <w:rsid w:val="00490179"/>
    <w:rsid w:val="00491537"/>
    <w:rsid w:val="00493988"/>
    <w:rsid w:val="004945DE"/>
    <w:rsid w:val="004B0B14"/>
    <w:rsid w:val="004B276A"/>
    <w:rsid w:val="004B2A42"/>
    <w:rsid w:val="004B456D"/>
    <w:rsid w:val="004B5949"/>
    <w:rsid w:val="004B7C0A"/>
    <w:rsid w:val="004C1D21"/>
    <w:rsid w:val="004C60E6"/>
    <w:rsid w:val="004C62E5"/>
    <w:rsid w:val="004D0E33"/>
    <w:rsid w:val="004D11D5"/>
    <w:rsid w:val="004D162C"/>
    <w:rsid w:val="004D343C"/>
    <w:rsid w:val="004D35E3"/>
    <w:rsid w:val="004D5503"/>
    <w:rsid w:val="004D6201"/>
    <w:rsid w:val="004D7493"/>
    <w:rsid w:val="004D7AD4"/>
    <w:rsid w:val="004E13DF"/>
    <w:rsid w:val="004E28B2"/>
    <w:rsid w:val="004E2DBC"/>
    <w:rsid w:val="004E361F"/>
    <w:rsid w:val="004E4A36"/>
    <w:rsid w:val="004E5695"/>
    <w:rsid w:val="004E70CD"/>
    <w:rsid w:val="004F2450"/>
    <w:rsid w:val="004F29BB"/>
    <w:rsid w:val="004F36EC"/>
    <w:rsid w:val="004F37D4"/>
    <w:rsid w:val="004F5DB6"/>
    <w:rsid w:val="005058F0"/>
    <w:rsid w:val="00511E7D"/>
    <w:rsid w:val="005264C0"/>
    <w:rsid w:val="0054076A"/>
    <w:rsid w:val="00540884"/>
    <w:rsid w:val="00543984"/>
    <w:rsid w:val="00544A4D"/>
    <w:rsid w:val="005517CE"/>
    <w:rsid w:val="00554AFF"/>
    <w:rsid w:val="00555037"/>
    <w:rsid w:val="00561639"/>
    <w:rsid w:val="00562B11"/>
    <w:rsid w:val="00564F01"/>
    <w:rsid w:val="00566FCA"/>
    <w:rsid w:val="00570395"/>
    <w:rsid w:val="0057279E"/>
    <w:rsid w:val="0057752A"/>
    <w:rsid w:val="00581905"/>
    <w:rsid w:val="00584A1B"/>
    <w:rsid w:val="00584E4A"/>
    <w:rsid w:val="005867A9"/>
    <w:rsid w:val="00594620"/>
    <w:rsid w:val="005A346A"/>
    <w:rsid w:val="005A4250"/>
    <w:rsid w:val="005A5009"/>
    <w:rsid w:val="005A6369"/>
    <w:rsid w:val="005B04EA"/>
    <w:rsid w:val="005B0BDF"/>
    <w:rsid w:val="005B1066"/>
    <w:rsid w:val="005B3181"/>
    <w:rsid w:val="005C3562"/>
    <w:rsid w:val="005C3CA2"/>
    <w:rsid w:val="005C4175"/>
    <w:rsid w:val="005C583C"/>
    <w:rsid w:val="005C6952"/>
    <w:rsid w:val="005C7297"/>
    <w:rsid w:val="005C72D4"/>
    <w:rsid w:val="005C7962"/>
    <w:rsid w:val="005D4BEC"/>
    <w:rsid w:val="005D4F98"/>
    <w:rsid w:val="005E308A"/>
    <w:rsid w:val="005E32DA"/>
    <w:rsid w:val="005E3DE0"/>
    <w:rsid w:val="005E6302"/>
    <w:rsid w:val="005E77D7"/>
    <w:rsid w:val="005F150E"/>
    <w:rsid w:val="005F4FF5"/>
    <w:rsid w:val="006019BC"/>
    <w:rsid w:val="006027A8"/>
    <w:rsid w:val="006057FD"/>
    <w:rsid w:val="00607DD6"/>
    <w:rsid w:val="00612E34"/>
    <w:rsid w:val="0061402C"/>
    <w:rsid w:val="00614850"/>
    <w:rsid w:val="00616CA5"/>
    <w:rsid w:val="00616EAF"/>
    <w:rsid w:val="006179F3"/>
    <w:rsid w:val="00620D4E"/>
    <w:rsid w:val="006248A8"/>
    <w:rsid w:val="00632A24"/>
    <w:rsid w:val="00632F9A"/>
    <w:rsid w:val="00633EFB"/>
    <w:rsid w:val="006430DA"/>
    <w:rsid w:val="0064363E"/>
    <w:rsid w:val="00650AF6"/>
    <w:rsid w:val="00651F54"/>
    <w:rsid w:val="00654529"/>
    <w:rsid w:val="00660E4C"/>
    <w:rsid w:val="006650D7"/>
    <w:rsid w:val="00670EF0"/>
    <w:rsid w:val="00674316"/>
    <w:rsid w:val="0067431B"/>
    <w:rsid w:val="0067679F"/>
    <w:rsid w:val="006805E6"/>
    <w:rsid w:val="00686CE0"/>
    <w:rsid w:val="00691693"/>
    <w:rsid w:val="00693F9B"/>
    <w:rsid w:val="006977D3"/>
    <w:rsid w:val="006A13B9"/>
    <w:rsid w:val="006A3818"/>
    <w:rsid w:val="006A7680"/>
    <w:rsid w:val="006B0AAA"/>
    <w:rsid w:val="006B5457"/>
    <w:rsid w:val="006D090D"/>
    <w:rsid w:val="006D3D2D"/>
    <w:rsid w:val="006D4DF7"/>
    <w:rsid w:val="006D6A2E"/>
    <w:rsid w:val="006D6C81"/>
    <w:rsid w:val="006E0AAC"/>
    <w:rsid w:val="006E0D8B"/>
    <w:rsid w:val="006E0FCF"/>
    <w:rsid w:val="006F5DC1"/>
    <w:rsid w:val="006F6F3A"/>
    <w:rsid w:val="006F7504"/>
    <w:rsid w:val="00700257"/>
    <w:rsid w:val="00701CD6"/>
    <w:rsid w:val="00707B48"/>
    <w:rsid w:val="007131B0"/>
    <w:rsid w:val="00713C3A"/>
    <w:rsid w:val="00717ACF"/>
    <w:rsid w:val="00722D1D"/>
    <w:rsid w:val="007236BF"/>
    <w:rsid w:val="0072538B"/>
    <w:rsid w:val="007259B5"/>
    <w:rsid w:val="00726681"/>
    <w:rsid w:val="00727BC2"/>
    <w:rsid w:val="00727BC4"/>
    <w:rsid w:val="00735157"/>
    <w:rsid w:val="00737528"/>
    <w:rsid w:val="00740104"/>
    <w:rsid w:val="007408A4"/>
    <w:rsid w:val="00742082"/>
    <w:rsid w:val="00753E63"/>
    <w:rsid w:val="00754D5B"/>
    <w:rsid w:val="0075526D"/>
    <w:rsid w:val="00763E53"/>
    <w:rsid w:val="00775A51"/>
    <w:rsid w:val="007825A5"/>
    <w:rsid w:val="007871A6"/>
    <w:rsid w:val="007926DD"/>
    <w:rsid w:val="00794080"/>
    <w:rsid w:val="00794AB0"/>
    <w:rsid w:val="007971BE"/>
    <w:rsid w:val="007A4471"/>
    <w:rsid w:val="007A495E"/>
    <w:rsid w:val="007A4B10"/>
    <w:rsid w:val="007B410F"/>
    <w:rsid w:val="007C011C"/>
    <w:rsid w:val="007C2249"/>
    <w:rsid w:val="007C52A3"/>
    <w:rsid w:val="007C5E3B"/>
    <w:rsid w:val="007D19E4"/>
    <w:rsid w:val="007D2325"/>
    <w:rsid w:val="007D4B46"/>
    <w:rsid w:val="007D678E"/>
    <w:rsid w:val="007E1C4F"/>
    <w:rsid w:val="007E32A5"/>
    <w:rsid w:val="007E6D73"/>
    <w:rsid w:val="007E7AB6"/>
    <w:rsid w:val="007E7E86"/>
    <w:rsid w:val="007F2868"/>
    <w:rsid w:val="007F2E08"/>
    <w:rsid w:val="007F3A24"/>
    <w:rsid w:val="008025CE"/>
    <w:rsid w:val="00802E09"/>
    <w:rsid w:val="008030DB"/>
    <w:rsid w:val="00806FFF"/>
    <w:rsid w:val="00812DBF"/>
    <w:rsid w:val="00813B83"/>
    <w:rsid w:val="00821705"/>
    <w:rsid w:val="00830029"/>
    <w:rsid w:val="00835EA0"/>
    <w:rsid w:val="00840650"/>
    <w:rsid w:val="00850151"/>
    <w:rsid w:val="008517ED"/>
    <w:rsid w:val="008578A0"/>
    <w:rsid w:val="00861EAD"/>
    <w:rsid w:val="00871D3D"/>
    <w:rsid w:val="00877175"/>
    <w:rsid w:val="00880FFD"/>
    <w:rsid w:val="00882E26"/>
    <w:rsid w:val="00886AD4"/>
    <w:rsid w:val="00886C1C"/>
    <w:rsid w:val="008875BE"/>
    <w:rsid w:val="00887E63"/>
    <w:rsid w:val="00890268"/>
    <w:rsid w:val="008929CC"/>
    <w:rsid w:val="00892B5C"/>
    <w:rsid w:val="00897549"/>
    <w:rsid w:val="008A32FA"/>
    <w:rsid w:val="008A5226"/>
    <w:rsid w:val="008A5693"/>
    <w:rsid w:val="008A5A0E"/>
    <w:rsid w:val="008B3D56"/>
    <w:rsid w:val="008B5128"/>
    <w:rsid w:val="008C6822"/>
    <w:rsid w:val="008D266A"/>
    <w:rsid w:val="008D26F1"/>
    <w:rsid w:val="008D57B2"/>
    <w:rsid w:val="008E757E"/>
    <w:rsid w:val="008F28CF"/>
    <w:rsid w:val="008F41FD"/>
    <w:rsid w:val="008F6267"/>
    <w:rsid w:val="008F6C21"/>
    <w:rsid w:val="00901CEC"/>
    <w:rsid w:val="00912F21"/>
    <w:rsid w:val="00925CD1"/>
    <w:rsid w:val="0092662D"/>
    <w:rsid w:val="00940328"/>
    <w:rsid w:val="00950A34"/>
    <w:rsid w:val="00950BEF"/>
    <w:rsid w:val="009641B3"/>
    <w:rsid w:val="00966F8B"/>
    <w:rsid w:val="0097011B"/>
    <w:rsid w:val="009837EC"/>
    <w:rsid w:val="009851E7"/>
    <w:rsid w:val="009979A3"/>
    <w:rsid w:val="009A516A"/>
    <w:rsid w:val="009B4308"/>
    <w:rsid w:val="009B45B7"/>
    <w:rsid w:val="009C3350"/>
    <w:rsid w:val="009C5D91"/>
    <w:rsid w:val="009C6CCB"/>
    <w:rsid w:val="009D2630"/>
    <w:rsid w:val="009D5D54"/>
    <w:rsid w:val="009E09DD"/>
    <w:rsid w:val="009F35A4"/>
    <w:rsid w:val="00A00CF2"/>
    <w:rsid w:val="00A0149C"/>
    <w:rsid w:val="00A1562D"/>
    <w:rsid w:val="00A21E5F"/>
    <w:rsid w:val="00A229BB"/>
    <w:rsid w:val="00A252DA"/>
    <w:rsid w:val="00A4083B"/>
    <w:rsid w:val="00A4248C"/>
    <w:rsid w:val="00A43B9F"/>
    <w:rsid w:val="00A43F35"/>
    <w:rsid w:val="00A4760C"/>
    <w:rsid w:val="00A50AF6"/>
    <w:rsid w:val="00A50F3D"/>
    <w:rsid w:val="00A51238"/>
    <w:rsid w:val="00A539B3"/>
    <w:rsid w:val="00A55A9D"/>
    <w:rsid w:val="00A628CD"/>
    <w:rsid w:val="00A65991"/>
    <w:rsid w:val="00A71EB8"/>
    <w:rsid w:val="00A73311"/>
    <w:rsid w:val="00A74618"/>
    <w:rsid w:val="00A77FE3"/>
    <w:rsid w:val="00A80BEE"/>
    <w:rsid w:val="00A90907"/>
    <w:rsid w:val="00A90990"/>
    <w:rsid w:val="00A90BB9"/>
    <w:rsid w:val="00A93E09"/>
    <w:rsid w:val="00AA214C"/>
    <w:rsid w:val="00AB26D5"/>
    <w:rsid w:val="00AB5F9A"/>
    <w:rsid w:val="00AC0404"/>
    <w:rsid w:val="00AC2251"/>
    <w:rsid w:val="00AC4869"/>
    <w:rsid w:val="00AD09F4"/>
    <w:rsid w:val="00AE0E0E"/>
    <w:rsid w:val="00AF0229"/>
    <w:rsid w:val="00AF050D"/>
    <w:rsid w:val="00AF3B36"/>
    <w:rsid w:val="00AF66B5"/>
    <w:rsid w:val="00B00ADE"/>
    <w:rsid w:val="00B00D4C"/>
    <w:rsid w:val="00B074F7"/>
    <w:rsid w:val="00B10714"/>
    <w:rsid w:val="00B11B39"/>
    <w:rsid w:val="00B120B6"/>
    <w:rsid w:val="00B133B5"/>
    <w:rsid w:val="00B14458"/>
    <w:rsid w:val="00B165C8"/>
    <w:rsid w:val="00B24E75"/>
    <w:rsid w:val="00B2746B"/>
    <w:rsid w:val="00B362F4"/>
    <w:rsid w:val="00B36D7D"/>
    <w:rsid w:val="00B418A9"/>
    <w:rsid w:val="00B42889"/>
    <w:rsid w:val="00B50654"/>
    <w:rsid w:val="00B51B4D"/>
    <w:rsid w:val="00B51BF6"/>
    <w:rsid w:val="00B664BF"/>
    <w:rsid w:val="00B729CA"/>
    <w:rsid w:val="00B7562B"/>
    <w:rsid w:val="00B81014"/>
    <w:rsid w:val="00B82DCD"/>
    <w:rsid w:val="00B87A3E"/>
    <w:rsid w:val="00B91848"/>
    <w:rsid w:val="00B931A7"/>
    <w:rsid w:val="00BA1F47"/>
    <w:rsid w:val="00BA4E88"/>
    <w:rsid w:val="00BA693E"/>
    <w:rsid w:val="00BB0073"/>
    <w:rsid w:val="00BB0DEF"/>
    <w:rsid w:val="00BB26A6"/>
    <w:rsid w:val="00BB4B40"/>
    <w:rsid w:val="00BB4DA1"/>
    <w:rsid w:val="00BB4F5E"/>
    <w:rsid w:val="00BC3AFF"/>
    <w:rsid w:val="00BD0B3D"/>
    <w:rsid w:val="00BD0E50"/>
    <w:rsid w:val="00BD507D"/>
    <w:rsid w:val="00BD5F84"/>
    <w:rsid w:val="00BF338E"/>
    <w:rsid w:val="00BF7478"/>
    <w:rsid w:val="00C05DB2"/>
    <w:rsid w:val="00C05F9B"/>
    <w:rsid w:val="00C12E3F"/>
    <w:rsid w:val="00C14911"/>
    <w:rsid w:val="00C14CF8"/>
    <w:rsid w:val="00C15C24"/>
    <w:rsid w:val="00C204BE"/>
    <w:rsid w:val="00C337BF"/>
    <w:rsid w:val="00C342F1"/>
    <w:rsid w:val="00C36EB7"/>
    <w:rsid w:val="00C3785B"/>
    <w:rsid w:val="00C403C5"/>
    <w:rsid w:val="00C4376B"/>
    <w:rsid w:val="00C44811"/>
    <w:rsid w:val="00C475AD"/>
    <w:rsid w:val="00C5021E"/>
    <w:rsid w:val="00C572A3"/>
    <w:rsid w:val="00C704A1"/>
    <w:rsid w:val="00C8381D"/>
    <w:rsid w:val="00C85DFB"/>
    <w:rsid w:val="00C94E87"/>
    <w:rsid w:val="00CA406C"/>
    <w:rsid w:val="00CA600E"/>
    <w:rsid w:val="00CB28E8"/>
    <w:rsid w:val="00CB3982"/>
    <w:rsid w:val="00CB67B1"/>
    <w:rsid w:val="00CB6E72"/>
    <w:rsid w:val="00CC10C2"/>
    <w:rsid w:val="00CC2BD5"/>
    <w:rsid w:val="00CC3777"/>
    <w:rsid w:val="00CC586A"/>
    <w:rsid w:val="00CC685F"/>
    <w:rsid w:val="00CD1D3C"/>
    <w:rsid w:val="00CD4D83"/>
    <w:rsid w:val="00CE1033"/>
    <w:rsid w:val="00CE1218"/>
    <w:rsid w:val="00CE1D3C"/>
    <w:rsid w:val="00CE2DD3"/>
    <w:rsid w:val="00CE32A6"/>
    <w:rsid w:val="00CE4BAC"/>
    <w:rsid w:val="00CE4E42"/>
    <w:rsid w:val="00CE534E"/>
    <w:rsid w:val="00CE6120"/>
    <w:rsid w:val="00CF205C"/>
    <w:rsid w:val="00CF51FB"/>
    <w:rsid w:val="00D044A9"/>
    <w:rsid w:val="00D107A6"/>
    <w:rsid w:val="00D12651"/>
    <w:rsid w:val="00D22160"/>
    <w:rsid w:val="00D25321"/>
    <w:rsid w:val="00D31A85"/>
    <w:rsid w:val="00D327B1"/>
    <w:rsid w:val="00D355E2"/>
    <w:rsid w:val="00D35FA1"/>
    <w:rsid w:val="00D40E20"/>
    <w:rsid w:val="00D41A06"/>
    <w:rsid w:val="00D42AD2"/>
    <w:rsid w:val="00D43DC8"/>
    <w:rsid w:val="00D4508E"/>
    <w:rsid w:val="00D51BD6"/>
    <w:rsid w:val="00D60162"/>
    <w:rsid w:val="00D60EE0"/>
    <w:rsid w:val="00D70C9D"/>
    <w:rsid w:val="00D77C57"/>
    <w:rsid w:val="00D842DF"/>
    <w:rsid w:val="00D84BB3"/>
    <w:rsid w:val="00D97BD8"/>
    <w:rsid w:val="00DA6EE7"/>
    <w:rsid w:val="00DA6F88"/>
    <w:rsid w:val="00DA7E2E"/>
    <w:rsid w:val="00DB3FD6"/>
    <w:rsid w:val="00DB4EFB"/>
    <w:rsid w:val="00DC0AB8"/>
    <w:rsid w:val="00DC10B5"/>
    <w:rsid w:val="00DC7180"/>
    <w:rsid w:val="00DD6606"/>
    <w:rsid w:val="00DD77EF"/>
    <w:rsid w:val="00DF3175"/>
    <w:rsid w:val="00DF7FD0"/>
    <w:rsid w:val="00E0518F"/>
    <w:rsid w:val="00E0772C"/>
    <w:rsid w:val="00E10E83"/>
    <w:rsid w:val="00E1503F"/>
    <w:rsid w:val="00E15D8C"/>
    <w:rsid w:val="00E1628A"/>
    <w:rsid w:val="00E25BFE"/>
    <w:rsid w:val="00E269CA"/>
    <w:rsid w:val="00E27BB6"/>
    <w:rsid w:val="00E33725"/>
    <w:rsid w:val="00E347B7"/>
    <w:rsid w:val="00E36886"/>
    <w:rsid w:val="00E4131C"/>
    <w:rsid w:val="00E521ED"/>
    <w:rsid w:val="00E5502C"/>
    <w:rsid w:val="00E6186A"/>
    <w:rsid w:val="00E72721"/>
    <w:rsid w:val="00E76E08"/>
    <w:rsid w:val="00E80B28"/>
    <w:rsid w:val="00E840A5"/>
    <w:rsid w:val="00E84BEA"/>
    <w:rsid w:val="00E875F4"/>
    <w:rsid w:val="00E87DAD"/>
    <w:rsid w:val="00E90F39"/>
    <w:rsid w:val="00E94927"/>
    <w:rsid w:val="00E96F8C"/>
    <w:rsid w:val="00EA150B"/>
    <w:rsid w:val="00EA734B"/>
    <w:rsid w:val="00EB1182"/>
    <w:rsid w:val="00EB287E"/>
    <w:rsid w:val="00EB7716"/>
    <w:rsid w:val="00EC050F"/>
    <w:rsid w:val="00EC7E4F"/>
    <w:rsid w:val="00ED0269"/>
    <w:rsid w:val="00ED3A58"/>
    <w:rsid w:val="00ED4881"/>
    <w:rsid w:val="00ED5838"/>
    <w:rsid w:val="00EE0807"/>
    <w:rsid w:val="00EE2C72"/>
    <w:rsid w:val="00EE335E"/>
    <w:rsid w:val="00EE5124"/>
    <w:rsid w:val="00EF26CD"/>
    <w:rsid w:val="00EF3B3E"/>
    <w:rsid w:val="00EF3FD7"/>
    <w:rsid w:val="00EF6B27"/>
    <w:rsid w:val="00EF7A16"/>
    <w:rsid w:val="00F04093"/>
    <w:rsid w:val="00F04288"/>
    <w:rsid w:val="00F1329C"/>
    <w:rsid w:val="00F13FBF"/>
    <w:rsid w:val="00F160CA"/>
    <w:rsid w:val="00F20B6A"/>
    <w:rsid w:val="00F21A46"/>
    <w:rsid w:val="00F249E8"/>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2CE8"/>
    <w:rsid w:val="00F852D3"/>
    <w:rsid w:val="00F85CB9"/>
    <w:rsid w:val="00F92384"/>
    <w:rsid w:val="00F955F0"/>
    <w:rsid w:val="00FA1753"/>
    <w:rsid w:val="00FA4D30"/>
    <w:rsid w:val="00FB2B3A"/>
    <w:rsid w:val="00FC2BD4"/>
    <w:rsid w:val="00FC5A00"/>
    <w:rsid w:val="00FC681E"/>
    <w:rsid w:val="00FD5FC6"/>
    <w:rsid w:val="00FD7E7E"/>
    <w:rsid w:val="00FD7F38"/>
    <w:rsid w:val="00FE0F33"/>
    <w:rsid w:val="00FE2F45"/>
    <w:rsid w:val="00FE4428"/>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 w:type="character" w:customStyle="1" w:styleId="cf01">
    <w:name w:val="cf01"/>
    <w:rsid w:val="0092662D"/>
    <w:rPr>
      <w:rFonts w:ascii="Segoe UI" w:hAnsi="Segoe UI" w:cs="Segoe UI" w:hint="default"/>
      <w:sz w:val="24"/>
      <w:szCs w:val="24"/>
    </w:rPr>
  </w:style>
  <w:style w:type="paragraph" w:styleId="FootnoteText">
    <w:name w:val="footnote text"/>
    <w:basedOn w:val="Normal"/>
    <w:link w:val="FootnoteTextChar"/>
    <w:uiPriority w:val="99"/>
    <w:semiHidden/>
    <w:unhideWhenUsed/>
    <w:rsid w:val="00813B83"/>
    <w:rPr>
      <w:sz w:val="20"/>
      <w:szCs w:val="20"/>
    </w:rPr>
  </w:style>
  <w:style w:type="character" w:customStyle="1" w:styleId="FootnoteTextChar">
    <w:name w:val="Footnote Text Char"/>
    <w:basedOn w:val="DefaultParagraphFont"/>
    <w:link w:val="FootnoteText"/>
    <w:uiPriority w:val="99"/>
    <w:semiHidden/>
    <w:rsid w:val="00813B83"/>
    <w:rPr>
      <w:lang w:val="en-US" w:eastAsia="en-US"/>
    </w:rPr>
  </w:style>
  <w:style w:type="character" w:styleId="FootnoteReference">
    <w:name w:val="footnote reference"/>
    <w:basedOn w:val="DefaultParagraphFont"/>
    <w:uiPriority w:val="99"/>
    <w:semiHidden/>
    <w:unhideWhenUsed/>
    <w:rsid w:val="00813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8978">
      <w:bodyDiv w:val="1"/>
      <w:marLeft w:val="0"/>
      <w:marRight w:val="0"/>
      <w:marTop w:val="0"/>
      <w:marBottom w:val="0"/>
      <w:divBdr>
        <w:top w:val="none" w:sz="0" w:space="0" w:color="auto"/>
        <w:left w:val="none" w:sz="0" w:space="0" w:color="auto"/>
        <w:bottom w:val="none" w:sz="0" w:space="0" w:color="auto"/>
        <w:right w:val="none" w:sz="0" w:space="0" w:color="auto"/>
      </w:divBdr>
    </w:div>
    <w:div w:id="584269899">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 w:id="202593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webSettings" Target="webSettings.xml"/><Relationship Id="rId7" Type="http://schemas.openxmlformats.org/officeDocument/2006/relationships/hyperlink" Target="http://www.roch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4973</Words>
  <Characters>2836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Jolita Balandienė</cp:lastModifiedBy>
  <cp:revision>44</cp:revision>
  <cp:lastPrinted>2020-04-21T10:52:00Z</cp:lastPrinted>
  <dcterms:created xsi:type="dcterms:W3CDTF">2025-12-02T12:01:00Z</dcterms:created>
  <dcterms:modified xsi:type="dcterms:W3CDTF">2025-12-19T06:11:00Z</dcterms:modified>
</cp:coreProperties>
</file>