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990E6" w14:textId="77777777" w:rsidR="00131184" w:rsidRPr="00131184" w:rsidRDefault="00131184" w:rsidP="00D9148E">
      <w:pPr>
        <w:pageBreakBefore/>
        <w:spacing w:after="0" w:line="240" w:lineRule="auto"/>
        <w:jc w:val="center"/>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kern w:val="0"/>
          <w:lang w:val="lt-LT" w:eastAsia="en-GB"/>
          <w14:ligatures w14:val="none"/>
        </w:rPr>
        <w:t>TRANSPORTO PRIEMONIŲ TELEMETRINĖS KONTROLĖS SISTEMOS NUOMOS PIRKIMO TECHNINĖ SPECIFIKACIJA</w:t>
      </w:r>
    </w:p>
    <w:p w14:paraId="7938ACB4"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0E467DD7"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41564BBD"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kern w:val="0"/>
          <w:lang w:val="lt-LT" w:eastAsia="en-GB"/>
          <w14:ligatures w14:val="none"/>
        </w:rPr>
        <w:t>1. PIRKIMO OBJEKTO APRAŠYMAS</w:t>
      </w:r>
    </w:p>
    <w:p w14:paraId="26A47910"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0EC527C4" w14:textId="77777777" w:rsidR="00131184" w:rsidRPr="00131184" w:rsidRDefault="00131184" w:rsidP="00D9148E">
      <w:pPr>
        <w:spacing w:after="0" w:line="240" w:lineRule="auto"/>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kern w:val="0"/>
          <w:lang w:val="lt-LT" w:eastAsia="en-GB"/>
          <w14:ligatures w14:val="none"/>
        </w:rPr>
        <w:t xml:space="preserve">Pirkimo objektą sudaro: </w:t>
      </w:r>
    </w:p>
    <w:p w14:paraId="3C935296" w14:textId="77777777" w:rsidR="00131184" w:rsidRPr="00131184" w:rsidRDefault="00131184" w:rsidP="00D9148E">
      <w:pPr>
        <w:spacing w:after="0" w:line="240" w:lineRule="auto"/>
        <w:ind w:firstLine="706"/>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kern w:val="0"/>
          <w:lang w:val="lt-LT" w:eastAsia="en-GB"/>
          <w14:ligatures w14:val="none"/>
        </w:rPr>
        <w:t>1. Transporto priemonių telemetrinės kontrolės sistemos (toliau</w:t>
      </w:r>
      <w:r w:rsidRPr="00131184">
        <w:rPr>
          <w:rFonts w:ascii="Times New Roman" w:eastAsia="Times New Roman" w:hAnsi="Times New Roman" w:cs="Times New Roman"/>
          <w:b/>
          <w:bCs/>
          <w:color w:val="000000"/>
          <w:kern w:val="0"/>
          <w:lang w:val="lt-LT" w:eastAsia="en-GB"/>
          <w14:ligatures w14:val="none"/>
        </w:rPr>
        <w:t>–</w:t>
      </w:r>
      <w:r w:rsidRPr="00131184">
        <w:rPr>
          <w:rFonts w:ascii="Times New Roman" w:eastAsia="Times New Roman" w:hAnsi="Times New Roman" w:cs="Times New Roman"/>
          <w:b/>
          <w:bCs/>
          <w:kern w:val="0"/>
          <w:lang w:val="lt-LT" w:eastAsia="en-GB"/>
          <w14:ligatures w14:val="none"/>
        </w:rPr>
        <w:t xml:space="preserve"> Sistema) nuoma</w:t>
      </w:r>
      <w:r w:rsidRPr="00131184">
        <w:rPr>
          <w:rFonts w:ascii="Times New Roman" w:eastAsia="Times New Roman" w:hAnsi="Times New Roman" w:cs="Times New Roman"/>
          <w:kern w:val="0"/>
          <w:lang w:val="lt-LT" w:eastAsia="en-GB"/>
          <w14:ligatures w14:val="none"/>
        </w:rPr>
        <w:t xml:space="preserve">, </w:t>
      </w:r>
      <w:r w:rsidRPr="00131184">
        <w:rPr>
          <w:rFonts w:ascii="Times New Roman" w:eastAsia="Times New Roman" w:hAnsi="Times New Roman" w:cs="Times New Roman"/>
          <w:color w:val="000000"/>
          <w:kern w:val="0"/>
          <w:lang w:val="lt-LT" w:eastAsia="en-GB"/>
          <w14:ligatures w14:val="none"/>
        </w:rPr>
        <w:t>kurią sudaro:</w:t>
      </w:r>
    </w:p>
    <w:p w14:paraId="7AD409CC" w14:textId="77777777" w:rsidR="00131184" w:rsidRPr="00131184" w:rsidRDefault="00131184" w:rsidP="00D9148E">
      <w:pPr>
        <w:numPr>
          <w:ilvl w:val="0"/>
          <w:numId w:val="1"/>
        </w:numPr>
        <w:spacing w:after="0" w:line="240" w:lineRule="auto"/>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color w:val="000000"/>
          <w:kern w:val="0"/>
          <w:lang w:val="lt-LT" w:eastAsia="en-GB"/>
          <w14:ligatures w14:val="none"/>
        </w:rPr>
        <w:t>transporto priemonių telemetrinės kontrolės taikomoji programinė įranga,</w:t>
      </w:r>
      <w:r w:rsidRPr="00131184">
        <w:rPr>
          <w:rFonts w:ascii="Times New Roman" w:eastAsia="Times New Roman" w:hAnsi="Times New Roman" w:cs="Times New Roman"/>
          <w:color w:val="000000"/>
          <w:kern w:val="0"/>
          <w:lang w:val="lt-LT" w:eastAsia="en-GB"/>
          <w14:ligatures w14:val="none"/>
        </w:rPr>
        <w:t xml:space="preserve"> (programinė įranga, jos įdiegimas, aptarnavimas, atnaujinimas palaikymas ir vystymas, pagal perkančiosios organizacijos poreikius ir/ar užsakymus);</w:t>
      </w:r>
    </w:p>
    <w:p w14:paraId="3388D7FD" w14:textId="77777777" w:rsidR="00131184" w:rsidRPr="00131184" w:rsidRDefault="00131184" w:rsidP="00D9148E">
      <w:pPr>
        <w:numPr>
          <w:ilvl w:val="0"/>
          <w:numId w:val="1"/>
        </w:numPr>
        <w:spacing w:after="0" w:line="240" w:lineRule="auto"/>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color w:val="000000"/>
          <w:kern w:val="0"/>
          <w:lang w:val="lt-LT" w:eastAsia="en-GB"/>
          <w14:ligatures w14:val="none"/>
        </w:rPr>
        <w:t xml:space="preserve">transporto priemonėje montuojamos telemetrinės kontrolės įrangos komplektas, </w:t>
      </w:r>
      <w:r w:rsidRPr="00131184">
        <w:rPr>
          <w:rFonts w:ascii="Times New Roman" w:eastAsia="Times New Roman" w:hAnsi="Times New Roman" w:cs="Times New Roman"/>
          <w:color w:val="000000"/>
          <w:kern w:val="0"/>
          <w:lang w:val="lt-LT" w:eastAsia="en-GB"/>
          <w14:ligatures w14:val="none"/>
        </w:rPr>
        <w:t>(į komplekto įkainį turi būti įskaityta: telemetrinis įrenginys, duomenų perdavimo kortelė, pirminis sumontavimas, pajungimas, paleidimas, įrangos išmontavimas pasibaigus nuomai );</w:t>
      </w:r>
    </w:p>
    <w:p w14:paraId="23D2C893" w14:textId="77777777" w:rsidR="00131184" w:rsidRPr="00131184" w:rsidRDefault="00131184" w:rsidP="00D9148E">
      <w:pPr>
        <w:spacing w:after="0" w:line="240" w:lineRule="auto"/>
        <w:ind w:left="720"/>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color w:val="000000"/>
          <w:kern w:val="0"/>
          <w:lang w:val="lt-LT" w:eastAsia="en-GB"/>
          <w14:ligatures w14:val="none"/>
        </w:rPr>
        <w:t>2. Telemetrinės įrangos montavimo, išmontavimo, permontavimo paslaugos</w:t>
      </w:r>
      <w:r w:rsidRPr="00131184">
        <w:rPr>
          <w:rFonts w:ascii="Times New Roman" w:eastAsia="Times New Roman" w:hAnsi="Times New Roman" w:cs="Times New Roman"/>
          <w:color w:val="000000"/>
          <w:kern w:val="0"/>
          <w:lang w:val="lt-LT" w:eastAsia="en-GB"/>
          <w14:ligatures w14:val="none"/>
        </w:rPr>
        <w:t>, bei kitų su Sistema susijusių prekių ir paslaugų suteikimas, kai Sistemos įranga sugadinama, prarandama ar keičiama dėl perkančiosios organizacijos kaltės;</w:t>
      </w:r>
    </w:p>
    <w:p w14:paraId="686563B3" w14:textId="77777777" w:rsidR="00131184" w:rsidRPr="00131184" w:rsidRDefault="00131184" w:rsidP="00D9148E">
      <w:pPr>
        <w:spacing w:after="0" w:line="240" w:lineRule="auto"/>
        <w:ind w:left="720"/>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kern w:val="0"/>
          <w:lang w:val="lt-LT" w:eastAsia="en-GB"/>
          <w14:ligatures w14:val="none"/>
        </w:rPr>
        <w:t>3. Vystymo paslaugos</w:t>
      </w:r>
      <w:r w:rsidRPr="00131184">
        <w:rPr>
          <w:rFonts w:ascii="Times New Roman" w:eastAsia="Times New Roman" w:hAnsi="Times New Roman" w:cs="Times New Roman"/>
          <w:kern w:val="0"/>
          <w:lang w:val="lt-LT" w:eastAsia="en-GB"/>
          <w14:ligatures w14:val="none"/>
        </w:rPr>
        <w:t xml:space="preserve"> (Techninės specifikacijos 3.2 p.)</w:t>
      </w:r>
      <w:r w:rsidRPr="00131184">
        <w:rPr>
          <w:rFonts w:ascii="Times New Roman" w:eastAsia="Times New Roman" w:hAnsi="Times New Roman" w:cs="Times New Roman"/>
          <w:color w:val="000000"/>
          <w:kern w:val="0"/>
          <w:lang w:val="lt-LT" w:eastAsia="en-GB"/>
          <w14:ligatures w14:val="none"/>
        </w:rPr>
        <w:t>.</w:t>
      </w:r>
    </w:p>
    <w:p w14:paraId="14AEC1FE" w14:textId="77777777" w:rsidR="00131184" w:rsidRPr="00131184" w:rsidRDefault="00131184" w:rsidP="00D9148E">
      <w:pPr>
        <w:spacing w:after="0" w:line="240" w:lineRule="auto"/>
        <w:jc w:val="both"/>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color w:val="000000"/>
          <w:kern w:val="0"/>
          <w:lang w:val="lt-LT" w:eastAsia="en-GB"/>
          <w14:ligatures w14:val="none"/>
        </w:rPr>
        <w:t>Šiuo metu telemetrinė transporto kontrolės sistema įdiegta 1793 transporto priemonėse. Papildomai įsigijus ar atnaujinus dalį turimų transporto priemonių, Perkančioji organizacija planuoja sistemą diegti ir naujose transporto priemonėse.</w:t>
      </w:r>
    </w:p>
    <w:p w14:paraId="0F54D956" w14:textId="77777777" w:rsidR="00131184" w:rsidRPr="00131184" w:rsidRDefault="00131184" w:rsidP="00D9148E">
      <w:pPr>
        <w:spacing w:after="0" w:line="240" w:lineRule="auto"/>
        <w:rPr>
          <w:rFonts w:ascii="Times New Roman" w:eastAsia="Times New Roman" w:hAnsi="Times New Roman" w:cs="Times New Roman"/>
          <w:kern w:val="0"/>
          <w:lang w:val="lt-LT" w:eastAsia="en-GB"/>
          <w14:ligatures w14:val="none"/>
        </w:rPr>
      </w:pPr>
    </w:p>
    <w:p w14:paraId="4522643A"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r w:rsidRPr="00131184">
        <w:rPr>
          <w:rFonts w:ascii="Times New Roman" w:eastAsia="Times New Roman" w:hAnsi="Times New Roman" w:cs="Times New Roman"/>
          <w:b/>
          <w:bCs/>
          <w:kern w:val="0"/>
          <w:lang w:val="lt-LT" w:eastAsia="en-GB"/>
          <w14:ligatures w14:val="none"/>
        </w:rPr>
        <w:t>2. TRANSPORTO PRIEMONĖJE MONTUOJAMOS TELEMETRINĖS ĮRANGOS KONTROLĖS SISTEMOS TECHNINĖ SPECIFIKACIJA</w:t>
      </w:r>
    </w:p>
    <w:p w14:paraId="536BD073" w14:textId="77777777" w:rsidR="00131184" w:rsidRPr="00131184" w:rsidRDefault="00131184" w:rsidP="00D9148E">
      <w:pPr>
        <w:spacing w:after="0" w:line="240" w:lineRule="auto"/>
        <w:rPr>
          <w:rFonts w:ascii="Times New Roman" w:eastAsia="Times New Roman" w:hAnsi="Times New Roman" w:cs="Times New Roman"/>
          <w:kern w:val="0"/>
          <w:lang w:val="lt-LT" w:eastAsia="en-GB"/>
          <w14:ligatures w14:val="none"/>
        </w:rPr>
      </w:pPr>
    </w:p>
    <w:tbl>
      <w:tblPr>
        <w:tblW w:w="9490" w:type="dxa"/>
        <w:tblCellSpacing w:w="0" w:type="dxa"/>
        <w:tblCellMar>
          <w:top w:w="80" w:type="dxa"/>
          <w:left w:w="80" w:type="dxa"/>
          <w:bottom w:w="80" w:type="dxa"/>
          <w:right w:w="80" w:type="dxa"/>
        </w:tblCellMar>
        <w:tblLook w:val="04A0" w:firstRow="1" w:lastRow="0" w:firstColumn="1" w:lastColumn="0" w:noHBand="0" w:noVBand="1"/>
      </w:tblPr>
      <w:tblGrid>
        <w:gridCol w:w="701"/>
        <w:gridCol w:w="2506"/>
        <w:gridCol w:w="6283"/>
      </w:tblGrid>
      <w:tr w:rsidR="00131184" w:rsidRPr="00131184" w14:paraId="4C72ABB4" w14:textId="77777777" w:rsidTr="00D9148E">
        <w:trPr>
          <w:tblCellSpacing w:w="0" w:type="dxa"/>
        </w:trPr>
        <w:tc>
          <w:tcPr>
            <w:tcW w:w="701"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6A289B46" w14:textId="77777777" w:rsidR="00131184" w:rsidRPr="00F24BA4" w:rsidRDefault="00131184" w:rsidP="00F24BA4">
            <w:pPr>
              <w:spacing w:after="0" w:line="240" w:lineRule="auto"/>
              <w:jc w:val="center"/>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Eil. Nr.</w:t>
            </w:r>
          </w:p>
        </w:tc>
        <w:tc>
          <w:tcPr>
            <w:tcW w:w="2506"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32D9C1EB" w14:textId="77777777" w:rsidR="00131184" w:rsidRPr="00F24BA4" w:rsidRDefault="00131184" w:rsidP="00F24BA4">
            <w:pPr>
              <w:spacing w:after="0" w:line="240" w:lineRule="auto"/>
              <w:jc w:val="center"/>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Parametras</w:t>
            </w:r>
          </w:p>
        </w:tc>
        <w:tc>
          <w:tcPr>
            <w:tcW w:w="62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6F1270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Reikalaujama minimali reikšmė</w:t>
            </w:r>
          </w:p>
        </w:tc>
      </w:tr>
      <w:tr w:rsidR="00131184" w:rsidRPr="00131184" w14:paraId="26E13F31" w14:textId="77777777" w:rsidTr="00D9148E">
        <w:trPr>
          <w:tblCellSpacing w:w="0" w:type="dxa"/>
        </w:trPr>
        <w:tc>
          <w:tcPr>
            <w:tcW w:w="9490" w:type="dxa"/>
            <w:gridSpan w:val="3"/>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631FDC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GPS/GSM telemetrinis įrenginys, montuojamas transporto priemonėje (toliau – objektas)</w:t>
            </w:r>
          </w:p>
        </w:tc>
      </w:tr>
      <w:tr w:rsidR="00131184" w:rsidRPr="00D9148E" w14:paraId="541AC937"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A41FF5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0EE4DFB"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Gamintojas, modelis, modifikacija</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1325CB2" w14:textId="77777777" w:rsidR="00131184" w:rsidRPr="00F24BA4" w:rsidRDefault="00131184" w:rsidP="00F24BA4">
            <w:pPr>
              <w:spacing w:after="0" w:line="240" w:lineRule="auto"/>
              <w:ind w:left="58" w:right="562"/>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nurodyta.</w:t>
            </w:r>
          </w:p>
        </w:tc>
      </w:tr>
      <w:tr w:rsidR="00131184" w:rsidRPr="00D9148E" w14:paraId="0656A4B4"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2A637CC"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DB7476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Nuoroda į gamintojo interneto puslapį</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B3B206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tiksli nuoroda į gamintojo interneto puslapį, kuriame pateikta visa informacija apie siūlomą įrangą.</w:t>
            </w:r>
          </w:p>
        </w:tc>
      </w:tr>
      <w:tr w:rsidR="00131184" w:rsidRPr="00D9148E" w14:paraId="0D8084F4"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4F930FB"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6D8F1BD"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Geografinės vietos nustatymas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BBEB05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Telemetrinis įrenginys buvimo vietą turi nustatyti GPS arba GNSS arba kita lygiaverte palydovinės sistemos pagalba.</w:t>
            </w:r>
          </w:p>
        </w:tc>
      </w:tr>
      <w:tr w:rsidR="00131184" w:rsidRPr="00D9148E" w14:paraId="5FC792E6"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6793BB7"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3F4A25D"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Telemetrinių duomenų perdavimas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B059D2F"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Telemetrinių duomenų perdavimas į tarnybinę stotį turi būti vykdomas GSM tinklais naudojant GPRS arba (ir) 4G (arba lygiavertėmis) duomenų perdavimo technologijomis. Galimybė duomenis perduoti SMS (ne mažiau, kaip 20 koordinačių) arba TCP/IP ir UDP/IP protokolais.</w:t>
            </w:r>
          </w:p>
          <w:p w14:paraId="416BCDE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Duomenų siuntimo dažnumas pasirenkamas nuo 5 s. Duomenų siuntimas turi vykti pasikeitus bet kokiam iš parametrų.</w:t>
            </w:r>
          </w:p>
        </w:tc>
      </w:tr>
      <w:tr w:rsidR="00131184" w:rsidRPr="00D9148E" w14:paraId="0D797597"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65B7C4B"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EBBEA96"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Duomenų atnaujinimo dažnis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A23762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Duomenų atnaujinimas turi būti konfigūruojamas, administratoriaus turinčio atitinkamas teises. Parametrai naudojami ir administruojami kartu arba atskirai iš programinės įrangos. Mažiausias konfigūruojamas parametras – 30 sek.</w:t>
            </w:r>
          </w:p>
        </w:tc>
      </w:tr>
      <w:tr w:rsidR="00131184" w:rsidRPr="00D9148E" w14:paraId="280460EF"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7A0E226"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2107970"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Duomenų saugumas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D0F88E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Duomenų perdavimui tarp automobilio ir duomenų serverio naudojant GSM tinklus, turi būti saugus. Negalimas nesankcionuotas prisijungimas prie automobilio, o patys automobiliai turi būti matomi tik tiems naudotojams, kuriems suteiktos reikiamos teisės.</w:t>
            </w:r>
          </w:p>
        </w:tc>
      </w:tr>
      <w:tr w:rsidR="00131184" w:rsidRPr="00D9148E" w14:paraId="06EF6A3C"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B078831"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B0091B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Maitinimo įtampa (V)</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FE247F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veikti ne siauresniame diapazone: nuo 10 V iki 30 V</w:t>
            </w:r>
          </w:p>
        </w:tc>
      </w:tr>
      <w:tr w:rsidR="00131184" w:rsidRPr="00D9148E" w14:paraId="3753B8E4"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9CB2650"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1898C7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Srovės suvartojimas (mA), kai maitinimo įtampa lygi 12V</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4DEEDC0"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Nedaugiau 120mA, o budėjimo režime nedaugiau kaip 30 mA</w:t>
            </w:r>
          </w:p>
        </w:tc>
      </w:tr>
      <w:tr w:rsidR="00131184" w:rsidRPr="00D9148E" w14:paraId="1BD62074"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1E8CA03"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A9A9DFE"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Integruotas akumuliatorius su jo įkrovimo įrenginiu</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8AC0F5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Užtikrinantis autonomišką įrenginio veikimą ne trumpiau kaip 4 val. (kai nėra transporto priemonės energijos tiekimo)</w:t>
            </w:r>
          </w:p>
        </w:tc>
      </w:tr>
      <w:tr w:rsidR="00131184" w:rsidRPr="00D9148E" w14:paraId="3463E60C"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0A7C86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FC0BF9C"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Darbinė temperatūra (°C)</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0839E7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Nuo -25°C iki +55°C</w:t>
            </w:r>
          </w:p>
        </w:tc>
      </w:tr>
      <w:tr w:rsidR="00131184" w:rsidRPr="00D9148E" w14:paraId="5442D843"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77D1C85"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5BC031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Darbinė aplinkos santykinė drėgmė (%)</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8CE7A9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Nuo 5% iki 95% (be kondensato)</w:t>
            </w:r>
          </w:p>
        </w:tc>
      </w:tr>
      <w:tr w:rsidR="00131184" w:rsidRPr="00D9148E" w14:paraId="784444B3"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36F6C84"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4A2C63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GSM modemas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739A0F2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900/1800/2800 Mhz palaikantis GPRS ar</w:t>
            </w:r>
            <w:r w:rsidRPr="00F24BA4">
              <w:rPr>
                <w:rFonts w:ascii="Times New Roman" w:eastAsia="Times New Roman" w:hAnsi="Times New Roman" w:cs="Times New Roman"/>
                <w:color w:val="000000"/>
                <w:kern w:val="0"/>
                <w:lang w:eastAsia="en-GB"/>
                <w14:ligatures w14:val="none"/>
              </w:rPr>
              <w:t xml:space="preserve"> 4G</w:t>
            </w:r>
            <w:r w:rsidRPr="00F24BA4">
              <w:rPr>
                <w:rFonts w:ascii="Times New Roman" w:eastAsia="Times New Roman" w:hAnsi="Times New Roman" w:cs="Times New Roman"/>
                <w:color w:val="C9211E"/>
                <w:kern w:val="0"/>
                <w:lang w:eastAsia="en-GB"/>
                <w14:ligatures w14:val="none"/>
              </w:rPr>
              <w:t xml:space="preserve"> </w:t>
            </w:r>
            <w:r w:rsidRPr="00F24BA4">
              <w:rPr>
                <w:rFonts w:ascii="Times New Roman" w:eastAsia="Times New Roman" w:hAnsi="Times New Roman" w:cs="Times New Roman"/>
                <w:kern w:val="0"/>
                <w:lang w:eastAsia="en-GB"/>
                <w14:ligatures w14:val="none"/>
              </w:rPr>
              <w:t>duomenų perdavimo standartą (arba lygiavertį)</w:t>
            </w:r>
          </w:p>
        </w:tc>
      </w:tr>
      <w:tr w:rsidR="00131184" w:rsidRPr="00D9148E" w14:paraId="74C01AA8"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E0C78D7"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F84CD0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GSM kortelės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4B9BE2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Įranga turi būti pateikta su veikiančiomis SIM kortelėmis (kad užtikrinti telemetrinių duomenų perdavimą). SIM kortelės turės veikti su užsakovo APN prieigos tašku uždarame VPN tinkle.</w:t>
            </w:r>
          </w:p>
        </w:tc>
      </w:tr>
      <w:tr w:rsidR="00131184" w:rsidRPr="00D9148E" w14:paraId="2A19773A"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8CB85F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2DFDE35"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GPS imtuvas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15C3992"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Ne mažiau 32 kanalų ir jautrumas nemažesnis negu -161 dBm</w:t>
            </w:r>
          </w:p>
        </w:tc>
      </w:tr>
      <w:tr w:rsidR="00131184" w:rsidRPr="00D9148E" w14:paraId="3DD2CCCD"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DFFA6BE"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3AC831E"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 xml:space="preserve">CAN </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C2EE34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galimybė nuskaityti duomenis per CAN magistralę. Nuskaityti duomenys per telemetrinį įrenginį turi būti perduoti į duomenų serverį</w:t>
            </w:r>
          </w:p>
        </w:tc>
      </w:tr>
      <w:tr w:rsidR="00131184" w:rsidRPr="00D9148E" w14:paraId="5A055082"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B07A76B"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FAE90A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Autentifikacija</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76EF6BB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RF ID kortelių skaitytuvas automobilio vairuotojui identifikuoti save naudojant RF ID 13,5 MHz. policijos pareigūnų tarnybinius pažymėjimus. Turi būti apsauga nuo vairavimo neidentifikavus vairuotojo. Vairuotojui neatlikus identifikacijos, turi būti skleidžiamas žmogaus ausiai nemalonus garsas, o išjungiamas tik identifikavus save, tai yra kai sistemoje randamas pridėtos kortelės RF ID kuriam yra priskirtas atitinkamas vartotojas. Negalima, kad sistema pati automatiškai kurtų naujus vartotojus, pridėjus naują sistemoje vartotojui nepriskirtą RF ID kortelę.</w:t>
            </w:r>
          </w:p>
        </w:tc>
      </w:tr>
      <w:tr w:rsidR="00131184" w:rsidRPr="00D9148E" w14:paraId="2EBA050B"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8EE6811"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D1B09AE"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Parametrai fiksuojami realiu laiku</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14EFFD9"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 xml:space="preserve">Laikas, greitis, judėjimo kryptis, GPS koordinatės, degimo spynelės būsena ir jos trukmė, </w:t>
            </w:r>
            <w:r w:rsidRPr="00F24BA4">
              <w:rPr>
                <w:rFonts w:ascii="Times New Roman" w:eastAsia="Times New Roman" w:hAnsi="Times New Roman" w:cs="Times New Roman"/>
                <w:color w:val="000000"/>
                <w:kern w:val="0"/>
                <w:lang w:eastAsia="en-GB"/>
                <w14:ligatures w14:val="none"/>
              </w:rPr>
              <w:t>kuro kiekis bake</w:t>
            </w:r>
            <w:r w:rsidRPr="00F24BA4">
              <w:rPr>
                <w:rFonts w:ascii="Times New Roman" w:eastAsia="Times New Roman" w:hAnsi="Times New Roman" w:cs="Times New Roman"/>
                <w:kern w:val="0"/>
                <w:lang w:eastAsia="en-GB"/>
                <w14:ligatures w14:val="none"/>
              </w:rPr>
              <w:t>, vairuotojo autentifikacijos duomenys.</w:t>
            </w:r>
          </w:p>
        </w:tc>
      </w:tr>
      <w:tr w:rsidR="00131184" w:rsidRPr="00D9148E" w14:paraId="72A1BBB9"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1604F56"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6D07600"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Priedai</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64BBD1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Visi priedai, reikalingi telemetrinei ir programinei įrangai funkcionuoti. (Pvz. antenos, akumuliatoriai, laikikliai, laidai ir t.t.)</w:t>
            </w:r>
          </w:p>
        </w:tc>
      </w:tr>
      <w:tr w:rsidR="00131184" w:rsidRPr="00D9148E" w14:paraId="61D5C08A"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1AB9407"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E5AB911"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Suderinamumas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97AA9E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Techninė įranga turi būti pilnai suderinta su programine įranga.</w:t>
            </w:r>
          </w:p>
        </w:tc>
      </w:tr>
      <w:tr w:rsidR="00131184" w:rsidRPr="00D9148E" w14:paraId="4DC1502F" w14:textId="77777777" w:rsidTr="00F24BA4">
        <w:trPr>
          <w:trHeight w:val="1258"/>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04846FF"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FD88EC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Atitikimas Europos Sąjungos direktyvoms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1EB83C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Atitikimas Europos Sąjungos direktyvai 2006/28/EC („e-mark“ ženklas);</w:t>
            </w:r>
          </w:p>
          <w:p w14:paraId="032C18D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Atitikimas Europos Sąjungos direktyvai 1999/05/EC („CE“ ženklas).</w:t>
            </w:r>
          </w:p>
        </w:tc>
      </w:tr>
      <w:tr w:rsidR="00131184" w:rsidRPr="00D9148E" w14:paraId="26847116"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C2E0CBF"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DABB48E"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Garantinis įrangos aptarnavimas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F3A9C2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Visą sutarties laikotarpį.</w:t>
            </w:r>
          </w:p>
        </w:tc>
      </w:tr>
      <w:tr w:rsidR="00131184" w:rsidRPr="00D9148E" w14:paraId="4EA4B791" w14:textId="77777777" w:rsidTr="00D9148E">
        <w:trPr>
          <w:tblCellSpacing w:w="0" w:type="dxa"/>
        </w:trPr>
        <w:tc>
          <w:tcPr>
            <w:tcW w:w="701"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1F31D54"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2506"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6B8EC2B"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Antenų montavimas</w:t>
            </w:r>
          </w:p>
        </w:tc>
        <w:tc>
          <w:tcPr>
            <w:tcW w:w="6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F49007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GPS ir GSM antenos turi būti montuojamos priklijuojant ant priekinio automobilio stiklo matomose vietose (ar kitu būdu pritvirtinant šalia stiklo), kad lengvu būdu (Pvz. be specialių įrankių) jų negalima būtų nuimti ir atgal pritvirtinti.</w:t>
            </w:r>
          </w:p>
        </w:tc>
      </w:tr>
    </w:tbl>
    <w:p w14:paraId="7E785453" w14:textId="77777777" w:rsidR="00F24BA4" w:rsidRDefault="00F24BA4" w:rsidP="00D9148E">
      <w:pPr>
        <w:spacing w:after="0" w:line="240" w:lineRule="auto"/>
        <w:jc w:val="center"/>
        <w:rPr>
          <w:rFonts w:ascii="Times New Roman" w:eastAsia="Times New Roman" w:hAnsi="Times New Roman" w:cs="Times New Roman"/>
          <w:b/>
          <w:bCs/>
          <w:kern w:val="0"/>
          <w:lang w:val="lt-LT" w:eastAsia="en-GB"/>
          <w14:ligatures w14:val="none"/>
        </w:rPr>
      </w:pPr>
    </w:p>
    <w:p w14:paraId="7BF76E0B" w14:textId="12130375" w:rsidR="00131184" w:rsidRPr="00F24BA4" w:rsidRDefault="00131184" w:rsidP="00F24BA4">
      <w:pPr>
        <w:spacing w:after="0" w:line="240" w:lineRule="auto"/>
        <w:jc w:val="center"/>
        <w:rPr>
          <w:rFonts w:ascii="Times New Roman" w:eastAsia="Times New Roman" w:hAnsi="Times New Roman" w:cs="Times New Roman"/>
          <w:kern w:val="0"/>
          <w:lang w:val="lt-LT" w:eastAsia="en-GB"/>
          <w14:ligatures w14:val="none"/>
        </w:rPr>
      </w:pPr>
      <w:r w:rsidRPr="00F24BA4">
        <w:rPr>
          <w:rFonts w:ascii="Times New Roman" w:eastAsia="Times New Roman" w:hAnsi="Times New Roman" w:cs="Times New Roman"/>
          <w:b/>
          <w:bCs/>
          <w:kern w:val="0"/>
          <w:lang w:val="lt-LT" w:eastAsia="en-GB"/>
          <w14:ligatures w14:val="none"/>
        </w:rPr>
        <w:t>3. PROGRAMINĖS ĮRANGOS (toliau – PĮ) SPECIFIKACIJA</w:t>
      </w:r>
    </w:p>
    <w:p w14:paraId="5E45A2B7" w14:textId="77777777" w:rsidR="00131184" w:rsidRPr="00F24BA4" w:rsidRDefault="00131184" w:rsidP="00F24BA4">
      <w:pPr>
        <w:spacing w:after="0" w:line="240" w:lineRule="auto"/>
        <w:jc w:val="center"/>
        <w:rPr>
          <w:rFonts w:ascii="Times New Roman" w:eastAsia="Times New Roman" w:hAnsi="Times New Roman" w:cs="Times New Roman"/>
          <w:kern w:val="0"/>
          <w:lang w:val="lt-LT" w:eastAsia="en-GB"/>
          <w14:ligatures w14:val="none"/>
        </w:rPr>
      </w:pPr>
      <w:r w:rsidRPr="00F24BA4">
        <w:rPr>
          <w:rFonts w:ascii="Times New Roman" w:eastAsia="Times New Roman" w:hAnsi="Times New Roman" w:cs="Times New Roman"/>
          <w:b/>
          <w:bCs/>
          <w:kern w:val="0"/>
          <w:lang w:val="lt-LT" w:eastAsia="en-GB"/>
          <w14:ligatures w14:val="none"/>
        </w:rPr>
        <w:t>3.1 PĮ funkciniai ir nefunkciniai reikalavimai</w:t>
      </w:r>
    </w:p>
    <w:p w14:paraId="30803719" w14:textId="77777777" w:rsidR="00131184" w:rsidRPr="00F24BA4" w:rsidRDefault="00131184" w:rsidP="00F24BA4">
      <w:pPr>
        <w:spacing w:after="0" w:line="240" w:lineRule="auto"/>
        <w:jc w:val="center"/>
        <w:rPr>
          <w:rFonts w:ascii="Times New Roman" w:eastAsia="Times New Roman" w:hAnsi="Times New Roman" w:cs="Times New Roman"/>
          <w:kern w:val="0"/>
          <w:lang w:val="lt-LT" w:eastAsia="en-GB"/>
          <w14:ligatures w14:val="none"/>
        </w:rPr>
      </w:pPr>
    </w:p>
    <w:tbl>
      <w:tblPr>
        <w:tblW w:w="9515" w:type="dxa"/>
        <w:tblCellSpacing w:w="0" w:type="dxa"/>
        <w:tblInd w:w="-150" w:type="dxa"/>
        <w:tblCellMar>
          <w:top w:w="20" w:type="dxa"/>
          <w:left w:w="20" w:type="dxa"/>
          <w:bottom w:w="20" w:type="dxa"/>
          <w:right w:w="20" w:type="dxa"/>
        </w:tblCellMar>
        <w:tblLook w:val="04A0" w:firstRow="1" w:lastRow="0" w:firstColumn="1" w:lastColumn="0" w:noHBand="0" w:noVBand="1"/>
      </w:tblPr>
      <w:tblGrid>
        <w:gridCol w:w="663"/>
        <w:gridCol w:w="1748"/>
        <w:gridCol w:w="7084"/>
        <w:gridCol w:w="20"/>
      </w:tblGrid>
      <w:tr w:rsidR="00131184" w:rsidRPr="00F24BA4" w14:paraId="1EE18C7B" w14:textId="77777777" w:rsidTr="00D9148E">
        <w:trPr>
          <w:tblCellSpacing w:w="0" w:type="dxa"/>
        </w:trPr>
        <w:tc>
          <w:tcPr>
            <w:tcW w:w="663" w:type="dxa"/>
            <w:tcBorders>
              <w:top w:val="single" w:sz="6" w:space="0" w:color="000000"/>
              <w:left w:val="single" w:sz="6" w:space="0" w:color="000000"/>
              <w:bottom w:val="single" w:sz="6" w:space="0" w:color="000000"/>
              <w:right w:val="nil"/>
            </w:tcBorders>
            <w:tcMar>
              <w:top w:w="58" w:type="dxa"/>
              <w:left w:w="58" w:type="dxa"/>
              <w:bottom w:w="58" w:type="dxa"/>
              <w:right w:w="0" w:type="dxa"/>
            </w:tcMar>
            <w:vAlign w:val="center"/>
            <w:hideMark/>
          </w:tcPr>
          <w:p w14:paraId="41CE9425" w14:textId="77777777" w:rsidR="00131184" w:rsidRPr="00F24BA4" w:rsidRDefault="00131184" w:rsidP="00F24BA4">
            <w:pPr>
              <w:spacing w:after="0" w:line="240" w:lineRule="auto"/>
              <w:jc w:val="center"/>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Eil. Nr.</w:t>
            </w:r>
          </w:p>
        </w:tc>
        <w:tc>
          <w:tcPr>
            <w:tcW w:w="1748" w:type="dxa"/>
            <w:tcBorders>
              <w:top w:val="single" w:sz="6" w:space="0" w:color="000000"/>
              <w:left w:val="single" w:sz="6" w:space="0" w:color="000000"/>
              <w:bottom w:val="single" w:sz="6" w:space="0" w:color="000000"/>
              <w:right w:val="nil"/>
            </w:tcBorders>
            <w:tcMar>
              <w:top w:w="58" w:type="dxa"/>
              <w:left w:w="58" w:type="dxa"/>
              <w:bottom w:w="58" w:type="dxa"/>
              <w:right w:w="0" w:type="dxa"/>
            </w:tcMar>
            <w:vAlign w:val="center"/>
            <w:hideMark/>
          </w:tcPr>
          <w:p w14:paraId="2D163605" w14:textId="77777777" w:rsidR="00131184" w:rsidRPr="00F24BA4" w:rsidRDefault="00131184" w:rsidP="00F24BA4">
            <w:pPr>
              <w:spacing w:after="0" w:line="240" w:lineRule="auto"/>
              <w:jc w:val="center"/>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Parametras</w:t>
            </w:r>
          </w:p>
        </w:tc>
        <w:tc>
          <w:tcPr>
            <w:tcW w:w="7084"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8232AD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Reikalaujama minimali reikšmė</w:t>
            </w:r>
          </w:p>
        </w:tc>
        <w:tc>
          <w:tcPr>
            <w:tcW w:w="20" w:type="dxa"/>
            <w:tcBorders>
              <w:top w:val="nil"/>
              <w:left w:val="nil"/>
              <w:bottom w:val="nil"/>
              <w:right w:val="nil"/>
            </w:tcBorders>
            <w:tcMar>
              <w:top w:w="0" w:type="dxa"/>
              <w:left w:w="0" w:type="dxa"/>
              <w:bottom w:w="0" w:type="dxa"/>
              <w:right w:w="0" w:type="dxa"/>
            </w:tcMar>
            <w:hideMark/>
          </w:tcPr>
          <w:p w14:paraId="082F6FD2" w14:textId="77777777" w:rsidR="00131184" w:rsidRPr="00F24BA4" w:rsidRDefault="00131184" w:rsidP="00F24BA4">
            <w:pPr>
              <w:spacing w:after="0" w:line="240" w:lineRule="auto"/>
              <w:jc w:val="center"/>
              <w:rPr>
                <w:rFonts w:ascii="Times New Roman" w:eastAsia="Times New Roman" w:hAnsi="Times New Roman" w:cs="Times New Roman"/>
                <w:kern w:val="0"/>
                <w:lang w:eastAsia="en-GB"/>
                <w14:ligatures w14:val="none"/>
              </w:rPr>
            </w:pPr>
          </w:p>
        </w:tc>
      </w:tr>
      <w:tr w:rsidR="00131184" w:rsidRPr="00F24BA4" w14:paraId="4C097AC1" w14:textId="77777777" w:rsidTr="00D9148E">
        <w:trPr>
          <w:gridAfter w:val="1"/>
          <w:wAfter w:w="20" w:type="dxa"/>
          <w:tblCellSpacing w:w="0" w:type="dxa"/>
        </w:trPr>
        <w:tc>
          <w:tcPr>
            <w:tcW w:w="9495" w:type="dxa"/>
            <w:gridSpan w:val="3"/>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14:paraId="4DD6FF3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Pagrindinės vartotojo programos (toliau – programa) funkcijos</w:t>
            </w:r>
          </w:p>
        </w:tc>
      </w:tr>
      <w:tr w:rsidR="00131184" w:rsidRPr="00F24BA4" w14:paraId="66CF5F3D"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2B72A89"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7E79D3D"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Informacijos pateikimas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3B88145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Tiekėjas privalo:</w:t>
            </w:r>
          </w:p>
          <w:p w14:paraId="6E8105A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1.1. nurodyti gamintojo ir produkto pavadinimą;</w:t>
            </w:r>
          </w:p>
          <w:p w14:paraId="66C2AC69"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1.2. pateikti nuorodas į gamintojo svetainę su pateiktomis išsamiomis siūlomų produktų specifikacijomis arba prekių aprašymus ir kitus techninės specifikacijos reikalavimų atitikimą įrodančius dokumentus.</w:t>
            </w:r>
          </w:p>
          <w:p w14:paraId="555D22C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1.3. parengti ir pateikti kartu su pasiūlymu bandomąjį/demonstracinį vartotoją, slaptažodį ir resurso pavadinimą (internetinio puslapio adresą ), pagal kurį perkančioji organizacija galėtų įvertinti siūlomo produkto atitiktį techninėje specifikacijoje nustatytiems reikalavimams.</w:t>
            </w:r>
          </w:p>
        </w:tc>
        <w:tc>
          <w:tcPr>
            <w:tcW w:w="20" w:type="dxa"/>
            <w:tcBorders>
              <w:top w:val="nil"/>
              <w:left w:val="nil"/>
              <w:bottom w:val="nil"/>
              <w:right w:val="nil"/>
            </w:tcBorders>
            <w:tcMar>
              <w:top w:w="0" w:type="dxa"/>
              <w:left w:w="0" w:type="dxa"/>
              <w:bottom w:w="0" w:type="dxa"/>
              <w:right w:w="0" w:type="dxa"/>
            </w:tcMar>
            <w:hideMark/>
          </w:tcPr>
          <w:p w14:paraId="710BA53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7F9D10B0"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C85A304"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DCBB3F5"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Programinė įranga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3AC3A03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2.1. PĮ turi būti įdiegta Informatikos ryšių departamento prie Lietuvos Respublikos vidaus reikalų ministerijos (Šventaragio g. 2, Vilnius) techninėje infrastruktūroje per 1 mėn. nuo sutarties įsigaliojimo dienos. Informatikos ryšių departamentas suteiks visą reikalingą virtualią techninę infrastruktūrą programinei įrangai įdiegti ir eksploatuoti.</w:t>
            </w:r>
          </w:p>
          <w:p w14:paraId="7DE6FCBA"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2.2. PĮ turi turėti galimybę vienu metu palaikyti ne mažiau kaip 2000 vnt. kontroliuojamų objektų.</w:t>
            </w:r>
          </w:p>
          <w:p w14:paraId="217A711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2.3. PĮ turi būti suderinama ir veikti su telemetriniais įrenginiais</w:t>
            </w:r>
          </w:p>
          <w:p w14:paraId="7151739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2.4. Kartu su programine įranga turi būti pateikta visos reikalingos licencijos papildomai programinei įrangai, reikalingai sprendimo įgyvendinimui (duomenų bazių valdymo sistemos, operacinės sistemos, žiniatinklio ir t.t). Turi būti pateikti prisijungimai prie PĮ produkcinės aplinkos. Prisijungimai galimi tik iš Perkančiosios organizacijos pateiktų IP adresų (Informatikos ryšių departamentas užtikrins saugų duomenų perdavimą, tarp tiekėjo ir Informatikos ryšių departamento VPN tuneliu (IPSEC protokolu), šifravimo algoritmas 3DES-SHA arba AES 256-SHA. Šifruoto tunelio pralaidumas ne mažesnis nei 100 Mbps).</w:t>
            </w:r>
          </w:p>
          <w:p w14:paraId="5CCB7750"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2.5. Tiekėjas privalo užtikrinti PĮ aptarnavimą, palaikymą.</w:t>
            </w:r>
          </w:p>
        </w:tc>
        <w:tc>
          <w:tcPr>
            <w:tcW w:w="20" w:type="dxa"/>
            <w:tcBorders>
              <w:top w:val="nil"/>
              <w:left w:val="nil"/>
              <w:bottom w:val="nil"/>
              <w:right w:val="nil"/>
            </w:tcBorders>
            <w:tcMar>
              <w:top w:w="0" w:type="dxa"/>
              <w:left w:w="0" w:type="dxa"/>
              <w:bottom w:w="0" w:type="dxa"/>
              <w:right w:w="0" w:type="dxa"/>
            </w:tcMar>
            <w:hideMark/>
          </w:tcPr>
          <w:p w14:paraId="04AD18CD"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2215C703"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7963430"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85CDFD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Saugumas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E04231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Turi būti užtikrintas duomenų saugumas;</w:t>
            </w:r>
          </w:p>
          <w:p w14:paraId="0FC3A12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Prieiga prie PĮ turi būti užtikrinta unikaliais prisijungimo vardais ir slaptažodžiais. Prisijungimo vardas ir slaptažodis turi būti paimami iš užsakovo Microsoft Activ directory arba kitos su perkančiąja organizacija suderintos sistemos pvz. (“openLDAP”);</w:t>
            </w:r>
          </w:p>
          <w:p w14:paraId="5F09D63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PĮ turi būti apsaugota nuo nesankcionuoto prisijungimo.</w:t>
            </w:r>
          </w:p>
        </w:tc>
        <w:tc>
          <w:tcPr>
            <w:tcW w:w="20" w:type="dxa"/>
            <w:tcBorders>
              <w:top w:val="nil"/>
              <w:left w:val="nil"/>
              <w:bottom w:val="nil"/>
              <w:right w:val="nil"/>
            </w:tcBorders>
            <w:tcMar>
              <w:top w:w="0" w:type="dxa"/>
              <w:left w:w="0" w:type="dxa"/>
              <w:bottom w:w="0" w:type="dxa"/>
              <w:right w:w="0" w:type="dxa"/>
            </w:tcMar>
            <w:hideMark/>
          </w:tcPr>
          <w:p w14:paraId="176BEAA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29B834B2"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880765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349911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Duomenų gavimas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84F3DBA"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PĮ turi sugebėti atnaujinti duomenis ne rečiau, kaip kas 180 sekundžių, duomenų siuntimo laikas gali būti konfigūruojamas.</w:t>
            </w:r>
          </w:p>
        </w:tc>
        <w:tc>
          <w:tcPr>
            <w:tcW w:w="20" w:type="dxa"/>
            <w:tcBorders>
              <w:top w:val="nil"/>
              <w:left w:val="nil"/>
              <w:bottom w:val="nil"/>
              <w:right w:val="nil"/>
            </w:tcBorders>
            <w:tcMar>
              <w:top w:w="0" w:type="dxa"/>
              <w:left w:w="0" w:type="dxa"/>
              <w:bottom w:w="0" w:type="dxa"/>
              <w:right w:w="0" w:type="dxa"/>
            </w:tcMar>
            <w:hideMark/>
          </w:tcPr>
          <w:p w14:paraId="02FFC86A"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A0B8D50"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ACA4E43"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E29104B"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Programos tipai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862F0A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Programos veikimui turi būti naudojamas HTTPS protokolas.</w:t>
            </w:r>
          </w:p>
          <w:p w14:paraId="36B7F81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Internetinė (WEB) vartotojo programos prieiga, apsaugota slaptažodžiu.</w:t>
            </w:r>
          </w:p>
          <w:p w14:paraId="4AB62D2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Programa veikia visose populiariausiose interneto naršyklėse.</w:t>
            </w:r>
          </w:p>
          <w:p w14:paraId="49EF08F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Vartotojas gali dirbti lietuvių kalba ir su bet kuria iš programoje naudojamų kalbų.</w:t>
            </w:r>
          </w:p>
          <w:p w14:paraId="723880E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Turi būti pateikiami išsamūs programos funkcijų ir vartotojo vadovai.</w:t>
            </w:r>
          </w:p>
        </w:tc>
        <w:tc>
          <w:tcPr>
            <w:tcW w:w="20" w:type="dxa"/>
            <w:tcBorders>
              <w:top w:val="nil"/>
              <w:left w:val="nil"/>
              <w:bottom w:val="nil"/>
              <w:right w:val="nil"/>
            </w:tcBorders>
            <w:tcMar>
              <w:top w:w="0" w:type="dxa"/>
              <w:left w:w="0" w:type="dxa"/>
              <w:bottom w:w="0" w:type="dxa"/>
              <w:right w:w="0" w:type="dxa"/>
            </w:tcMar>
            <w:hideMark/>
          </w:tcPr>
          <w:p w14:paraId="7CB58065"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7D1B6B7D"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8392230"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2E1430A"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Naudotojai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6D5819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Naudotojų sąskaitų skaičius ne mažesnis kaip 10000;</w:t>
            </w:r>
          </w:p>
          <w:p w14:paraId="27D8749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PĮ turi palaikyti ne mažiau kaip 500 konkurencinių (besinaudojančių sistema vienu metu) naudotojų vienu metu.</w:t>
            </w:r>
          </w:p>
          <w:p w14:paraId="35FD815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Naudotojai turi būti skirstomi pagal iš anksto su perkančiąją organizacija suderintus struktūrinius padalinius (valdybos, skyriai, poskyriai ir pan.).</w:t>
            </w:r>
          </w:p>
        </w:tc>
        <w:tc>
          <w:tcPr>
            <w:tcW w:w="20" w:type="dxa"/>
            <w:tcBorders>
              <w:top w:val="nil"/>
              <w:left w:val="nil"/>
              <w:bottom w:val="nil"/>
              <w:right w:val="nil"/>
            </w:tcBorders>
            <w:tcMar>
              <w:top w:w="0" w:type="dxa"/>
              <w:left w:w="0" w:type="dxa"/>
              <w:bottom w:w="0" w:type="dxa"/>
              <w:right w:w="0" w:type="dxa"/>
            </w:tcMar>
            <w:hideMark/>
          </w:tcPr>
          <w:p w14:paraId="59571708"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3DA09C0C"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FF79598"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832B35E"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Mobilioji programėlė</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C18247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Nemokama programėlė išmaniesiems įrenginiams su Android ir iOS (telefonams, planšetiniams kompiuteriams) skirta:</w:t>
            </w:r>
          </w:p>
          <w:p w14:paraId="553BEB3B" w14:textId="77777777" w:rsidR="00131184" w:rsidRPr="00F24BA4" w:rsidRDefault="00131184" w:rsidP="00F24BA4">
            <w:pPr>
              <w:numPr>
                <w:ilvl w:val="0"/>
                <w:numId w:val="2"/>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kontroliuoti transporto priemonių buvimo vietą žemėlapyje, greičio ir borto kompiuterio kontroliuojamus parametrus;</w:t>
            </w:r>
          </w:p>
          <w:p w14:paraId="76BC15E4" w14:textId="77777777" w:rsidR="00131184" w:rsidRPr="00F24BA4" w:rsidRDefault="00131184" w:rsidP="00F24BA4">
            <w:pPr>
              <w:numPr>
                <w:ilvl w:val="0"/>
                <w:numId w:val="2"/>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kurti rezervacijas ir jas valdyti ;</w:t>
            </w:r>
          </w:p>
          <w:p w14:paraId="28A0B567" w14:textId="77777777" w:rsidR="00131184" w:rsidRPr="00F24BA4" w:rsidRDefault="00131184" w:rsidP="00F24BA4">
            <w:pPr>
              <w:numPr>
                <w:ilvl w:val="0"/>
                <w:numId w:val="2"/>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vairuotojui stebėti savo reitingą.</w:t>
            </w:r>
          </w:p>
        </w:tc>
        <w:tc>
          <w:tcPr>
            <w:tcW w:w="20" w:type="dxa"/>
            <w:tcBorders>
              <w:top w:val="nil"/>
              <w:left w:val="nil"/>
              <w:bottom w:val="nil"/>
              <w:right w:val="nil"/>
            </w:tcBorders>
            <w:tcMar>
              <w:top w:w="0" w:type="dxa"/>
              <w:left w:w="0" w:type="dxa"/>
              <w:bottom w:w="0" w:type="dxa"/>
              <w:right w:w="0" w:type="dxa"/>
            </w:tcMar>
            <w:hideMark/>
          </w:tcPr>
          <w:p w14:paraId="385C07B6" w14:textId="77777777" w:rsidR="00131184" w:rsidRPr="00F24BA4" w:rsidRDefault="00131184" w:rsidP="00F24BA4">
            <w:pPr>
              <w:spacing w:after="0" w:line="240" w:lineRule="auto"/>
              <w:ind w:firstLine="43"/>
              <w:rPr>
                <w:rFonts w:ascii="Times New Roman" w:eastAsia="Times New Roman" w:hAnsi="Times New Roman" w:cs="Times New Roman"/>
                <w:kern w:val="0"/>
                <w:lang w:eastAsia="en-GB"/>
                <w14:ligatures w14:val="none"/>
              </w:rPr>
            </w:pPr>
          </w:p>
        </w:tc>
      </w:tr>
      <w:tr w:rsidR="00131184" w:rsidRPr="00F24BA4" w14:paraId="70EC361B"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58F4469"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44057FE"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Produkcinė aplinka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37CA20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pateikta žiniatinklio pagrindu veikianti (angl. web based) pilno funkcionalumo aplikacija, kuri nereikalauja jokio papildomo diegimo (angl. thin client) Perkančiosios organizacijos darbuotojų darbo vietose.</w:t>
            </w:r>
          </w:p>
          <w:p w14:paraId="3F61095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Naudotojo produkcinė aplinka turi būti aiški, suprantama, ja turi būti paprasta naudotis (angl. User friendly);</w:t>
            </w:r>
          </w:p>
          <w:p w14:paraId="08B10350"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Reikiamos funkcijos turi būti pasiekiamos ne daugiau 5 pelės/klaviatūros paspaudimais.</w:t>
            </w:r>
          </w:p>
          <w:p w14:paraId="09D8D55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Produkcinė aplinka turi būti parengta lietuvių kalba įskaitant ir pagalbos, paaiškinimų funkcijas.</w:t>
            </w:r>
          </w:p>
        </w:tc>
        <w:tc>
          <w:tcPr>
            <w:tcW w:w="20" w:type="dxa"/>
            <w:tcBorders>
              <w:top w:val="nil"/>
              <w:left w:val="nil"/>
              <w:bottom w:val="nil"/>
              <w:right w:val="nil"/>
            </w:tcBorders>
            <w:tcMar>
              <w:top w:w="0" w:type="dxa"/>
              <w:left w:w="0" w:type="dxa"/>
              <w:bottom w:w="0" w:type="dxa"/>
              <w:right w:w="0" w:type="dxa"/>
            </w:tcMar>
            <w:hideMark/>
          </w:tcPr>
          <w:p w14:paraId="5E7CB30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3C21086D" w14:textId="77777777" w:rsidTr="00D9148E">
        <w:trPr>
          <w:tblCellSpacing w:w="0" w:type="dxa"/>
        </w:trPr>
        <w:tc>
          <w:tcPr>
            <w:tcW w:w="663" w:type="dxa"/>
            <w:tcBorders>
              <w:top w:val="nil"/>
              <w:left w:val="single" w:sz="6" w:space="0" w:color="000000"/>
              <w:bottom w:val="single" w:sz="6" w:space="0" w:color="000000"/>
              <w:right w:val="nil"/>
            </w:tcBorders>
            <w:tcMar>
              <w:top w:w="0" w:type="dxa"/>
              <w:left w:w="0" w:type="dxa"/>
              <w:bottom w:w="0" w:type="dxa"/>
              <w:right w:w="0" w:type="dxa"/>
            </w:tcMar>
            <w:hideMark/>
          </w:tcPr>
          <w:p w14:paraId="30E4969B" w14:textId="2C117E9D"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C72884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Programos žemėlapiai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0E21E8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Laisvai pasirenkami elektroniniai žemėlapiai: detalus kelių, vaizdo iš palydovo arba hibridinis žemėlapiai: „Google Maps“, „Regio Baltic“, kurie apima detalų kelių /gatvių tinklą bei namų adresus, ir „OpenStreetMap“ arba lygiaverčiai analogiški žemėlapiai, bei gatvių vaizdų „Google StreetView“, eismo informacijos funkcija.</w:t>
            </w:r>
          </w:p>
          <w:p w14:paraId="5DBAC12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Žemėlapiai ir gatvių vaizdų funkcija integruotos į vartotojo programos langą.</w:t>
            </w:r>
          </w:p>
          <w:p w14:paraId="60906B9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Žemėlapis, skirtingai nuo mastelio, turi atvaizduoti šalies ribas, miestus, gatves, namų kontūrus ir pan.;</w:t>
            </w:r>
          </w:p>
          <w:p w14:paraId="1F7BDD0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Lietuvos Respublikos teritorijoje mastelis – M 1:10 000;</w:t>
            </w:r>
          </w:p>
          <w:p w14:paraId="6DDAAA8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Lietuvos Respublikos gyvenamųjų vietovių mastelis – M 1:5 000;</w:t>
            </w:r>
          </w:p>
          <w:p w14:paraId="78CD199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Žemėlapis turi būti atnaujinamas ne rečiau kaip 1 kartą per metus (jei yra atnaujinimų);</w:t>
            </w:r>
          </w:p>
          <w:p w14:paraId="6F5ABABF"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priartinimo ir atitolinimo funkcija pelės ratuku (angl. Scroll);</w:t>
            </w:r>
          </w:p>
          <w:p w14:paraId="06BB20F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leidžiama pažymėti neribotą kiekį zonų;</w:t>
            </w:r>
          </w:p>
          <w:p w14:paraId="53EC1C50"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leidžiama atsispausdinti žemėlapio vaizdą kartu su zonomis.</w:t>
            </w:r>
          </w:p>
        </w:tc>
        <w:tc>
          <w:tcPr>
            <w:tcW w:w="20" w:type="dxa"/>
            <w:tcBorders>
              <w:top w:val="nil"/>
              <w:left w:val="nil"/>
              <w:bottom w:val="nil"/>
              <w:right w:val="nil"/>
            </w:tcBorders>
            <w:tcMar>
              <w:top w:w="0" w:type="dxa"/>
              <w:left w:w="0" w:type="dxa"/>
              <w:bottom w:w="0" w:type="dxa"/>
              <w:right w:w="0" w:type="dxa"/>
            </w:tcMar>
            <w:hideMark/>
          </w:tcPr>
          <w:p w14:paraId="24070394"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77993E2"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A4D1842" w14:textId="4B413594"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AA893E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Adresų paieška ir maršrutų planavimas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040309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Adresų paieškos elektroniniame žemėlapyje funkcija.</w:t>
            </w:r>
          </w:p>
          <w:p w14:paraId="0995A30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Maršrutų planavimo funkcija padeda parinkti optimaliausią nurodytų geografinių taškų lankymo seką ir parenka trumpiausią maršrutą iki kiekvieno iš jų.</w:t>
            </w:r>
          </w:p>
          <w:p w14:paraId="4C9BC232"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lastRenderedPageBreak/>
              <w:t>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c>
          <w:tcPr>
            <w:tcW w:w="20" w:type="dxa"/>
            <w:tcBorders>
              <w:top w:val="nil"/>
              <w:left w:val="nil"/>
              <w:bottom w:val="nil"/>
              <w:right w:val="nil"/>
            </w:tcBorders>
            <w:tcMar>
              <w:top w:w="0" w:type="dxa"/>
              <w:left w:w="0" w:type="dxa"/>
              <w:bottom w:w="0" w:type="dxa"/>
              <w:right w:w="0" w:type="dxa"/>
            </w:tcMar>
            <w:hideMark/>
          </w:tcPr>
          <w:p w14:paraId="0E75C7AB"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1F0E1F82"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E2B17BF"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63AE1A4"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Objektų pozicijos kontrolė</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BEF0FBF"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realiu laiku elektroniniame žemėlapyje stebėti pasirinktus objektus ar jų grupes visus vienu metu arba kiekvieną atskirai.</w:t>
            </w:r>
          </w:p>
          <w:p w14:paraId="3D3BCA9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filtruoti objektų sąrašą, priklausomai nuo naudotojo įvedamos tekstinės informacijos. Skaitmeniniame žemėlapyje rodomi tik tie objektai, kurie tenkina paieškos sąlygą ir yra rodomi sąraše.</w:t>
            </w:r>
          </w:p>
        </w:tc>
        <w:tc>
          <w:tcPr>
            <w:tcW w:w="20" w:type="dxa"/>
            <w:tcBorders>
              <w:top w:val="nil"/>
              <w:left w:val="nil"/>
              <w:bottom w:val="nil"/>
              <w:right w:val="nil"/>
            </w:tcBorders>
            <w:tcMar>
              <w:top w:w="0" w:type="dxa"/>
              <w:left w:w="0" w:type="dxa"/>
              <w:bottom w:w="0" w:type="dxa"/>
              <w:right w:w="0" w:type="dxa"/>
            </w:tcMar>
            <w:hideMark/>
          </w:tcPr>
          <w:p w14:paraId="39D798C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639FA6C1"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BDB7DB0"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E71C35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Zonų tvarkymas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D60E5D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kurti, tvarkyti ir šalinti zonas žemėlapyje;</w:t>
            </w:r>
          </w:p>
          <w:p w14:paraId="695EF44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Zonų kūrimas turi būti paprastas ir aiškus;</w:t>
            </w:r>
          </w:p>
          <w:p w14:paraId="7ACEFD7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kurti apskritimo, perimetro ar koridoriaus (atitinkančio gatves, kelius) formos zonas;</w:t>
            </w:r>
          </w:p>
          <w:p w14:paraId="71DEDA1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grupuoti zonas, atskirame laukelyje papildyti pastabomis.</w:t>
            </w:r>
          </w:p>
        </w:tc>
        <w:tc>
          <w:tcPr>
            <w:tcW w:w="20" w:type="dxa"/>
            <w:tcBorders>
              <w:top w:val="nil"/>
              <w:left w:val="nil"/>
              <w:bottom w:val="nil"/>
              <w:right w:val="nil"/>
            </w:tcBorders>
            <w:tcMar>
              <w:top w:w="0" w:type="dxa"/>
              <w:left w:w="0" w:type="dxa"/>
              <w:bottom w:w="0" w:type="dxa"/>
              <w:right w:w="0" w:type="dxa"/>
            </w:tcMar>
            <w:hideMark/>
          </w:tcPr>
          <w:p w14:paraId="0D612A4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4BEFAEF"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ECD2675"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F49495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Objektų stebėjimas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990868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realiu laiku stebėti objekto judėjimo greitį, kryptį, užvedimo spynelės (variklio) būseną.</w:t>
            </w:r>
          </w:p>
        </w:tc>
        <w:tc>
          <w:tcPr>
            <w:tcW w:w="20" w:type="dxa"/>
            <w:tcBorders>
              <w:top w:val="nil"/>
              <w:left w:val="nil"/>
              <w:bottom w:val="nil"/>
              <w:right w:val="nil"/>
            </w:tcBorders>
            <w:tcMar>
              <w:top w:w="0" w:type="dxa"/>
              <w:left w:w="0" w:type="dxa"/>
              <w:bottom w:w="0" w:type="dxa"/>
              <w:right w:w="0" w:type="dxa"/>
            </w:tcMar>
            <w:hideMark/>
          </w:tcPr>
          <w:p w14:paraId="18858153"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66B7E92A"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DAD7BF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37A7898"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Objekto judėjimo maršrutų ir stovėjimo vietų atvaizdavimas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C71375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laisvai pasirinkus periodą laike, žemėlapyje matyti objekto judėjimo maršrutą su aiškiai matoma judėjimo kryptimi kiekviename taške ir aiškiai matomomis stovėjimo vietomis. Galimybė, pasirinkus vietą žemėlapyje ir laiko intervalą, peržiūrėti toje vietoje apsilankiusius automobilius.</w:t>
            </w:r>
          </w:p>
        </w:tc>
        <w:tc>
          <w:tcPr>
            <w:tcW w:w="20" w:type="dxa"/>
            <w:tcBorders>
              <w:top w:val="nil"/>
              <w:left w:val="nil"/>
              <w:bottom w:val="nil"/>
              <w:right w:val="nil"/>
            </w:tcBorders>
            <w:tcMar>
              <w:top w:w="0" w:type="dxa"/>
              <w:left w:w="0" w:type="dxa"/>
              <w:bottom w:w="0" w:type="dxa"/>
              <w:right w:w="0" w:type="dxa"/>
            </w:tcMar>
            <w:hideMark/>
          </w:tcPr>
          <w:p w14:paraId="2E64A91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0042A983"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878DC3B"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FA59376"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Automatinė judėjimo maršrutų peržiūra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E16C90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laisvai pasirinkus periodą laike, žemėlapyje stebėti animuotą objekto judėjimo demonstravimą.</w:t>
            </w:r>
          </w:p>
          <w:p w14:paraId="2B2B8729"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Maršruto peržiūros greitis laisvai pasirenkamas.</w:t>
            </w:r>
          </w:p>
        </w:tc>
        <w:tc>
          <w:tcPr>
            <w:tcW w:w="20" w:type="dxa"/>
            <w:tcBorders>
              <w:top w:val="nil"/>
              <w:left w:val="nil"/>
              <w:bottom w:val="nil"/>
              <w:right w:val="nil"/>
            </w:tcBorders>
            <w:tcMar>
              <w:top w:w="0" w:type="dxa"/>
              <w:left w:w="0" w:type="dxa"/>
              <w:bottom w:w="0" w:type="dxa"/>
              <w:right w:w="0" w:type="dxa"/>
            </w:tcMar>
            <w:hideMark/>
          </w:tcPr>
          <w:p w14:paraId="3FECF368"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33A49615"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86DBA11"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487EFD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Duomenų filtravimas ir rūšiavimas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E093F9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visus duomenis pasirinktame laiko periode filtruoti ir rūšiuoti pagal pasirinktus parametrus (pvz., pagal greičio viršijimus nurodant kritinį greitį).</w:t>
            </w:r>
          </w:p>
        </w:tc>
        <w:tc>
          <w:tcPr>
            <w:tcW w:w="20" w:type="dxa"/>
            <w:tcBorders>
              <w:top w:val="nil"/>
              <w:left w:val="nil"/>
              <w:bottom w:val="nil"/>
              <w:right w:val="nil"/>
            </w:tcBorders>
            <w:tcMar>
              <w:top w:w="0" w:type="dxa"/>
              <w:left w:w="0" w:type="dxa"/>
              <w:bottom w:w="0" w:type="dxa"/>
              <w:right w:w="0" w:type="dxa"/>
            </w:tcMar>
            <w:hideMark/>
          </w:tcPr>
          <w:p w14:paraId="33D9552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0527B666"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C1E6018"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45968F6"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Informacijos išsaugojimas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351C82F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Objektų istorijos duomenys turi būti kaupiami ir saugomi 1 metus su galimybe tuos duomenis nuskaityti, peržiūrėti, atspausdinti, gauti išklotinę ar kitaip jais disponuoti;</w:t>
            </w:r>
          </w:p>
          <w:p w14:paraId="21D89F7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Istorijos duomenų kaupimo laikas turi būti konfigūruojamas.</w:t>
            </w:r>
          </w:p>
          <w:p w14:paraId="0E6A3D0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Pasiekus duomenis turi galėti tik specialią teisę turinys naudotojai;</w:t>
            </w:r>
          </w:p>
          <w:p w14:paraId="1CB3C9C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Visus duomenis galima iš karto išsaugoti .pdf, .xlsx formatais arba atspausdinti tiesiogiai iš valdymo panelės.</w:t>
            </w:r>
          </w:p>
        </w:tc>
        <w:tc>
          <w:tcPr>
            <w:tcW w:w="20" w:type="dxa"/>
            <w:tcBorders>
              <w:top w:val="nil"/>
              <w:left w:val="nil"/>
              <w:bottom w:val="nil"/>
              <w:right w:val="nil"/>
            </w:tcBorders>
            <w:tcMar>
              <w:top w:w="0" w:type="dxa"/>
              <w:left w:w="0" w:type="dxa"/>
              <w:bottom w:w="0" w:type="dxa"/>
              <w:right w:w="0" w:type="dxa"/>
            </w:tcMar>
            <w:hideMark/>
          </w:tcPr>
          <w:p w14:paraId="38508C6B"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363736E0"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F8D0C25"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117BDE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Greitaveika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6DD5EA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Pilnas aplikacijos lango užkrovimas turi trukti ne ilgiau kaip 5 sekundes;</w:t>
            </w:r>
          </w:p>
          <w:p w14:paraId="3584D95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PĮ turi priimti ir atnaujinti duomenis iš telemetrinių įrenginių ne rečiau kaip kas 30 sekundžių. Parametras turi būti konfigūruojamas.</w:t>
            </w:r>
          </w:p>
        </w:tc>
        <w:tc>
          <w:tcPr>
            <w:tcW w:w="20" w:type="dxa"/>
            <w:tcBorders>
              <w:top w:val="nil"/>
              <w:left w:val="nil"/>
              <w:bottom w:val="nil"/>
              <w:right w:val="nil"/>
            </w:tcBorders>
            <w:tcMar>
              <w:top w:w="0" w:type="dxa"/>
              <w:left w:w="0" w:type="dxa"/>
              <w:bottom w:w="0" w:type="dxa"/>
              <w:right w:w="0" w:type="dxa"/>
            </w:tcMar>
            <w:hideMark/>
          </w:tcPr>
          <w:p w14:paraId="449228E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60DB8DDA"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F4101DE"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BF1A153"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Objekto nustatymai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7FC6DAC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PĮ turi būti įgyvendintas funkcionalumas leidžiantis nuotoliniu būdu koreguoti, papildyti ar trinti telemetrinių įrenginių nustatymus.</w:t>
            </w:r>
          </w:p>
          <w:p w14:paraId="0AC3ADE2"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p>
        </w:tc>
        <w:tc>
          <w:tcPr>
            <w:tcW w:w="20" w:type="dxa"/>
            <w:tcBorders>
              <w:top w:val="nil"/>
              <w:left w:val="nil"/>
              <w:bottom w:val="nil"/>
              <w:right w:val="nil"/>
            </w:tcBorders>
            <w:tcMar>
              <w:top w:w="0" w:type="dxa"/>
              <w:left w:w="0" w:type="dxa"/>
              <w:bottom w:w="0" w:type="dxa"/>
              <w:right w:w="0" w:type="dxa"/>
            </w:tcMar>
            <w:hideMark/>
          </w:tcPr>
          <w:p w14:paraId="0FF26363"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833A1DF"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1DDC992"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48ADD0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Teisės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E4E1A1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galimybė skirtingiems naudotojams suteikti skirtingas teises, atsižvelgiant į naudotojo darbo vietą ir pobūdį.</w:t>
            </w:r>
          </w:p>
        </w:tc>
        <w:tc>
          <w:tcPr>
            <w:tcW w:w="20" w:type="dxa"/>
            <w:tcBorders>
              <w:top w:val="nil"/>
              <w:left w:val="nil"/>
              <w:bottom w:val="nil"/>
              <w:right w:val="nil"/>
            </w:tcBorders>
            <w:tcMar>
              <w:top w:w="0" w:type="dxa"/>
              <w:left w:w="0" w:type="dxa"/>
              <w:bottom w:w="0" w:type="dxa"/>
              <w:right w:w="0" w:type="dxa"/>
            </w:tcMar>
            <w:hideMark/>
          </w:tcPr>
          <w:p w14:paraId="054C3901"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AF85533"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FD5BEEE"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60A7EE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Objektų administravimas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BB3914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galima priskirti ar perskirstyti automobilį naudotojų grupei ar atsakingam darbuotojui;</w:t>
            </w:r>
          </w:p>
          <w:p w14:paraId="62DA1CF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galima suteikti tokias prieeigos teises naudotojui ar naudotojų grupei, kad būtų:</w:t>
            </w:r>
          </w:p>
          <w:p w14:paraId="6495785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lastRenderedPageBreak/>
              <w:t>Matomi tik vienas/keli automobiliai;</w:t>
            </w:r>
          </w:p>
          <w:p w14:paraId="5537325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Matomi tik tam tikro padalinio automobiliai;</w:t>
            </w:r>
          </w:p>
          <w:p w14:paraId="41933A6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Matomi įstaigos automobiliai;</w:t>
            </w:r>
          </w:p>
          <w:p w14:paraId="4834527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Matomi visi automobiliai;</w:t>
            </w:r>
          </w:p>
          <w:p w14:paraId="1A4D73C8"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galimybė susiregistruoti įrenginius sistemoje, šį sąrašą pildyti, keisti, trinti ir pan.;</w:t>
            </w:r>
          </w:p>
          <w:p w14:paraId="285F887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Įrenginiai turi būti skirstomi į grupes;</w:t>
            </w:r>
          </w:p>
          <w:p w14:paraId="7403EC2A"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Įrenginiai turi keisti savo statusą (Pvz. aktyvus, neaktyvus ar pan.).</w:t>
            </w:r>
          </w:p>
        </w:tc>
        <w:tc>
          <w:tcPr>
            <w:tcW w:w="20" w:type="dxa"/>
            <w:tcBorders>
              <w:top w:val="nil"/>
              <w:left w:val="nil"/>
              <w:bottom w:val="nil"/>
              <w:right w:val="nil"/>
            </w:tcBorders>
            <w:tcMar>
              <w:top w:w="0" w:type="dxa"/>
              <w:left w:w="0" w:type="dxa"/>
              <w:bottom w:w="0" w:type="dxa"/>
              <w:right w:w="0" w:type="dxa"/>
            </w:tcMar>
            <w:hideMark/>
          </w:tcPr>
          <w:p w14:paraId="5587EF68"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6A8C3A60"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3E97F5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FC7D39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Taisyklių tvarkymas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00D72F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galima kurti, nustatyti, tvarkyti ir šalinti taisykles/priminimus automobiliui;</w:t>
            </w:r>
          </w:p>
          <w:p w14:paraId="3F014F0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Taisyklių kūrimas turi būti paprastas ir aiškus;</w:t>
            </w:r>
          </w:p>
          <w:p w14:paraId="3041370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Priminimai turi būti siunčiami nurodytu el. paštu.</w:t>
            </w:r>
          </w:p>
        </w:tc>
        <w:tc>
          <w:tcPr>
            <w:tcW w:w="20" w:type="dxa"/>
            <w:tcBorders>
              <w:top w:val="nil"/>
              <w:left w:val="nil"/>
              <w:bottom w:val="nil"/>
              <w:right w:val="nil"/>
            </w:tcBorders>
            <w:tcMar>
              <w:top w:w="0" w:type="dxa"/>
              <w:left w:w="0" w:type="dxa"/>
              <w:bottom w:w="0" w:type="dxa"/>
              <w:right w:w="0" w:type="dxa"/>
            </w:tcMar>
            <w:hideMark/>
          </w:tcPr>
          <w:p w14:paraId="50E7E014"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049B7036"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0A87049"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8E85A36"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Priminimai apie aptarnavimus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4D9C49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Yra galimybė lengvai įvesti ir administruoti visas pasikartojančias objektų techninės priežiūros ir kitas aptarnavimo procedūras (periodinės techninės apžiūros, tepalų ar padangų keitimai, draudimai, kelių mokesčiai ir t. t.). Programa informuoja, kai speciali procedūra turi būti padaryta atsižvelgiant į datą, objekto ridą ar išdirbtų valandų skaičių.</w:t>
            </w:r>
          </w:p>
          <w:p w14:paraId="3157181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įrašyti vienkartinius ir pasikartojančius priminimus.</w:t>
            </w:r>
          </w:p>
          <w:p w14:paraId="7543F84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Programoje galima bet kada pažiūrėti, kiek kilometrų ar dienų liko eksploatuoti objektą iki numatyto aptarnavimo. Visos atliktos procedūros registruojamos ir suteikia galimybę peržiūrėti, kada ir kas buvo atlikta.</w:t>
            </w:r>
          </w:p>
          <w:p w14:paraId="4B98B86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Aptarnavimo pranešimų informacija siunčiama elektroniniu laišku ar trumpąja SMS žinute.</w:t>
            </w:r>
          </w:p>
        </w:tc>
        <w:tc>
          <w:tcPr>
            <w:tcW w:w="20" w:type="dxa"/>
            <w:tcBorders>
              <w:top w:val="nil"/>
              <w:left w:val="nil"/>
              <w:bottom w:val="nil"/>
              <w:right w:val="nil"/>
            </w:tcBorders>
            <w:tcMar>
              <w:top w:w="0" w:type="dxa"/>
              <w:left w:w="0" w:type="dxa"/>
              <w:bottom w:w="0" w:type="dxa"/>
              <w:right w:w="0" w:type="dxa"/>
            </w:tcMar>
            <w:hideMark/>
          </w:tcPr>
          <w:p w14:paraId="3CE6FD9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782D515F" w14:textId="77777777" w:rsidTr="00D9148E">
        <w:trPr>
          <w:gridAfter w:val="1"/>
          <w:wAfter w:w="20" w:type="dxa"/>
          <w:tblCellSpacing w:w="0" w:type="dxa"/>
        </w:trPr>
        <w:tc>
          <w:tcPr>
            <w:tcW w:w="9495" w:type="dxa"/>
            <w:gridSpan w:val="3"/>
            <w:tcBorders>
              <w:top w:val="nil"/>
              <w:left w:val="single" w:sz="6" w:space="0" w:color="000000"/>
              <w:bottom w:val="single" w:sz="6" w:space="0" w:color="000000"/>
              <w:right w:val="single" w:sz="6" w:space="0" w:color="000000"/>
            </w:tcBorders>
            <w:tcMar>
              <w:top w:w="0" w:type="dxa"/>
              <w:left w:w="58" w:type="dxa"/>
              <w:bottom w:w="58" w:type="dxa"/>
              <w:right w:w="58" w:type="dxa"/>
            </w:tcMar>
            <w:vAlign w:val="center"/>
            <w:hideMark/>
          </w:tcPr>
          <w:p w14:paraId="5A2C7FB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Programos ataskaitos</w:t>
            </w:r>
          </w:p>
        </w:tc>
      </w:tr>
      <w:tr w:rsidR="00131184" w:rsidRPr="00F24BA4" w14:paraId="723FD168"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D978FEF"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A79CFB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Vairavimo žurnalai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E227E1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pasirinkus laikotarpį, suformuoti pasirinkto objekto vairavimo žurnalą, kuriame rodomi kiekvieno maršruto išvykimo ir atvykimo adresai, nuvažiuotas atstumas, išvykimo ir atvykimo laikai, laikas sugaištas kelionei ir stovėjimui, o taip pat maksimalus ir vidutinis greičiai bei degalų suvartojimas pagal nustatytą degalų normą.</w:t>
            </w:r>
          </w:p>
        </w:tc>
        <w:tc>
          <w:tcPr>
            <w:tcW w:w="20" w:type="dxa"/>
            <w:tcBorders>
              <w:top w:val="nil"/>
              <w:left w:val="nil"/>
              <w:bottom w:val="nil"/>
              <w:right w:val="nil"/>
            </w:tcBorders>
            <w:tcMar>
              <w:top w:w="0" w:type="dxa"/>
              <w:left w:w="0" w:type="dxa"/>
              <w:bottom w:w="0" w:type="dxa"/>
              <w:right w:w="0" w:type="dxa"/>
            </w:tcMar>
            <w:hideMark/>
          </w:tcPr>
          <w:p w14:paraId="3C4D082F"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AC9B708"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55176EC"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14C0430"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Kelionės lapai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C49981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formuoti mėnesio kelionės lapą su data, automobilio marke, modeliu bei valstybiniu numeriu, maršrutu, odometro „prieš“ ir „po“ reikšmėmis, bendra mėnesio rida, bendra mėnesio suvestine (degalų likutis mėnesio pradžiai ir pabaigai, per mėnesį piltų degalų kiekis, faktinis degalų suvartojimas ir faktinės degalų normos (norma užmiestyje, norma vietinės reikšmės keliuose, norma mieste)).</w:t>
            </w:r>
          </w:p>
          <w:p w14:paraId="7E5C0DC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filtruoti ataskaitas pagal įstaigų struktūrinius padalinius (valdybos, skyriai, poskyriai ir pan.).</w:t>
            </w:r>
          </w:p>
        </w:tc>
        <w:tc>
          <w:tcPr>
            <w:tcW w:w="20" w:type="dxa"/>
            <w:tcBorders>
              <w:top w:val="nil"/>
              <w:left w:val="nil"/>
              <w:bottom w:val="nil"/>
              <w:right w:val="nil"/>
            </w:tcBorders>
            <w:tcMar>
              <w:top w:w="0" w:type="dxa"/>
              <w:left w:w="0" w:type="dxa"/>
              <w:bottom w:w="0" w:type="dxa"/>
              <w:right w:w="0" w:type="dxa"/>
            </w:tcMar>
            <w:hideMark/>
          </w:tcPr>
          <w:p w14:paraId="2C8A902C"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4F653C3E"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077F9FF3"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627F249"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Kitos programos ataskaitos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586BF87"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Programa suteikia galimybę gauti ir kitas ataskaitas, kuriose pateikiama informacija apie objektų nuvažiuotus kilometrus, sunaudotą kurą (pagal patvirtintą degalų normą), kelionėms ar stovėjimams sugaištus laikus, vidutinius ir maksimalius greičius, atvykimo ir išvykimo laikus bei vietas t. t.</w:t>
            </w:r>
          </w:p>
          <w:p w14:paraId="1D6E4BD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Ataskaitų informacija gali būti susumuojama ir priskiriama darbo dienoms arba savaitgaliams bei verslo ir asmeninėms kelionėms.</w:t>
            </w:r>
          </w:p>
          <w:p w14:paraId="2B5FB6D2"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Programa suteikia galimybę gauti tokias ataskaitas: vartotojų prisijungimų prie programos suvestinę, dažniausių maršrutų ir objektų ataskaitas.</w:t>
            </w:r>
          </w:p>
          <w:p w14:paraId="11F54F9D"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lastRenderedPageBreak/>
              <w:t>Ataskaitos lengvai palyginamos, suteikiančios galimybę stebėti visus objektų eksploatavimo nukrypimus.</w:t>
            </w:r>
          </w:p>
          <w:p w14:paraId="0AFBEBC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Visos ataskaitos peržiūrimos vartotojo programoje arba gali būti eksportuojamos į .pdf, .html ar .xls formato bylas.</w:t>
            </w:r>
          </w:p>
        </w:tc>
        <w:tc>
          <w:tcPr>
            <w:tcW w:w="20" w:type="dxa"/>
            <w:tcBorders>
              <w:top w:val="nil"/>
              <w:left w:val="nil"/>
              <w:bottom w:val="nil"/>
              <w:right w:val="nil"/>
            </w:tcBorders>
            <w:tcMar>
              <w:top w:w="0" w:type="dxa"/>
              <w:left w:w="0" w:type="dxa"/>
              <w:bottom w:w="0" w:type="dxa"/>
              <w:right w:w="0" w:type="dxa"/>
            </w:tcMar>
            <w:hideMark/>
          </w:tcPr>
          <w:p w14:paraId="7D916F3C"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66CC0F70"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9C502A4"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60351E8"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Vietos nustatymu grindžiamos ataskaitos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869DC5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Pagal vietos nustatymu grindžiamas ataskaitas galima pateikti objektų aplankytų vietų, nuvažiuotos distancijos ir įvairiose vietose, zonose praleisto laiko apžvalgą. Vietos ataskaita leidžia lengvai aptikti nukrypimus, neatitikimus bei pažeidimus.</w:t>
            </w:r>
          </w:p>
        </w:tc>
        <w:tc>
          <w:tcPr>
            <w:tcW w:w="20" w:type="dxa"/>
            <w:tcBorders>
              <w:top w:val="nil"/>
              <w:left w:val="nil"/>
              <w:bottom w:val="nil"/>
              <w:right w:val="nil"/>
            </w:tcBorders>
            <w:tcMar>
              <w:top w:w="0" w:type="dxa"/>
              <w:left w:w="0" w:type="dxa"/>
              <w:bottom w:w="0" w:type="dxa"/>
              <w:right w:w="0" w:type="dxa"/>
            </w:tcMar>
            <w:hideMark/>
          </w:tcPr>
          <w:p w14:paraId="3037C6A2"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5B019CDB"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D792CAE"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CB3E5C0"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Išlaidų valdymas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4C81EF1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Turi būti funkcionalumas leidžiantis vesti kiekvieno automobilio eksploatacinių ir kitų išlaidų suvestines, Turi būti funkcionalumas eksportuoti duomenis .csv arba analogiškais formatais.</w:t>
            </w:r>
          </w:p>
          <w:p w14:paraId="2FBDEE0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color w:val="000000"/>
                <w:kern w:val="0"/>
                <w:lang w:eastAsia="en-GB"/>
                <w14:ligatures w14:val="none"/>
              </w:rPr>
              <w:t>Turi būti galimybė įdiegti automatizuotą eksploatacijos ataskaitų rengimo funkcionalumą. Turi būti galimybė generuoti ataskaitas pagal patvirtintus ataskaitos pjūvius ir reikalingus terminus.</w:t>
            </w:r>
          </w:p>
        </w:tc>
        <w:tc>
          <w:tcPr>
            <w:tcW w:w="20" w:type="dxa"/>
            <w:tcBorders>
              <w:top w:val="nil"/>
              <w:left w:val="nil"/>
              <w:bottom w:val="nil"/>
              <w:right w:val="nil"/>
            </w:tcBorders>
            <w:tcMar>
              <w:top w:w="0" w:type="dxa"/>
              <w:left w:w="0" w:type="dxa"/>
              <w:bottom w:w="0" w:type="dxa"/>
              <w:right w:w="0" w:type="dxa"/>
            </w:tcMar>
            <w:hideMark/>
          </w:tcPr>
          <w:p w14:paraId="2461E7AD"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p>
        </w:tc>
      </w:tr>
      <w:tr w:rsidR="00131184" w:rsidRPr="00F24BA4" w14:paraId="32FE0CF4"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7EB628F"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C310275"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Ataskaitų prenumeravimas ir jų automatinis išsiuntimas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F381BA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Vartotojas turi galimybę užsakyti bet kurias pageidaujamas ataskaitas, kurios periodiškai automatiniu būdu suformuojamos ir išsiunčiamos į nurodytus elektroninius paštus. Bylų formatas laisvai pasirenkamas – .xls, .pdf, .html.</w:t>
            </w:r>
          </w:p>
        </w:tc>
        <w:tc>
          <w:tcPr>
            <w:tcW w:w="20" w:type="dxa"/>
            <w:tcBorders>
              <w:top w:val="nil"/>
              <w:left w:val="nil"/>
              <w:bottom w:val="nil"/>
              <w:right w:val="nil"/>
            </w:tcBorders>
            <w:tcMar>
              <w:top w:w="0" w:type="dxa"/>
              <w:left w:w="0" w:type="dxa"/>
              <w:bottom w:w="0" w:type="dxa"/>
              <w:right w:w="0" w:type="dxa"/>
            </w:tcMar>
            <w:hideMark/>
          </w:tcPr>
          <w:p w14:paraId="768A4ECD"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379238BE"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743B77E"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BE34838"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Maršruto informacija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3956785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Maršruto informacija turi susidėti iš:</w:t>
            </w:r>
          </w:p>
          <w:p w14:paraId="45528B7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Datos;</w:t>
            </w:r>
          </w:p>
          <w:p w14:paraId="0ABC9452"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Laiko;</w:t>
            </w:r>
          </w:p>
          <w:p w14:paraId="7F92C39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Atstumo;</w:t>
            </w:r>
          </w:p>
          <w:p w14:paraId="3C663B5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Važiavimo/sustojimo trukmės;</w:t>
            </w:r>
          </w:p>
          <w:p w14:paraId="390051F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Maksimalaus/vidutinio greičio;</w:t>
            </w:r>
          </w:p>
          <w:p w14:paraId="5C54B81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Maršrutai gali būti skirstomi į;</w:t>
            </w:r>
          </w:p>
          <w:p w14:paraId="3926F18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Asmeninius;</w:t>
            </w:r>
          </w:p>
          <w:p w14:paraId="260D3B4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Tarnybinių funkcijų vykdymą;</w:t>
            </w:r>
          </w:p>
          <w:p w14:paraId="64A7440B"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Kelionių;</w:t>
            </w:r>
          </w:p>
          <w:p w14:paraId="7FEA3781"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Komandiruočių;</w:t>
            </w:r>
          </w:p>
          <w:p w14:paraId="5760441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Darbinių kelionių;</w:t>
            </w:r>
          </w:p>
          <w:p w14:paraId="2320829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Kitos.</w:t>
            </w:r>
          </w:p>
          <w:p w14:paraId="313FA896"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Turi būti funkcionalumas leidžiantis planuotis būsimą maršrutą.</w:t>
            </w:r>
          </w:p>
        </w:tc>
        <w:tc>
          <w:tcPr>
            <w:tcW w:w="20" w:type="dxa"/>
            <w:tcBorders>
              <w:top w:val="nil"/>
              <w:left w:val="nil"/>
              <w:bottom w:val="nil"/>
              <w:right w:val="nil"/>
            </w:tcBorders>
            <w:tcMar>
              <w:top w:w="0" w:type="dxa"/>
              <w:left w:w="0" w:type="dxa"/>
              <w:bottom w:w="0" w:type="dxa"/>
              <w:right w:w="0" w:type="dxa"/>
            </w:tcMar>
            <w:hideMark/>
          </w:tcPr>
          <w:p w14:paraId="72335D61"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758BD419" w14:textId="77777777" w:rsidTr="00D9148E">
        <w:trPr>
          <w:gridAfter w:val="1"/>
          <w:wAfter w:w="20" w:type="dxa"/>
          <w:tblCellSpacing w:w="0" w:type="dxa"/>
        </w:trPr>
        <w:tc>
          <w:tcPr>
            <w:tcW w:w="9495" w:type="dxa"/>
            <w:gridSpan w:val="3"/>
            <w:tcBorders>
              <w:top w:val="nil"/>
              <w:left w:val="single" w:sz="6" w:space="0" w:color="000000"/>
              <w:bottom w:val="single" w:sz="6" w:space="0" w:color="000000"/>
              <w:right w:val="single" w:sz="6" w:space="0" w:color="000000"/>
            </w:tcBorders>
            <w:tcMar>
              <w:top w:w="0" w:type="dxa"/>
              <w:left w:w="58" w:type="dxa"/>
              <w:bottom w:w="58" w:type="dxa"/>
              <w:right w:w="58" w:type="dxa"/>
            </w:tcMar>
            <w:vAlign w:val="center"/>
            <w:hideMark/>
          </w:tcPr>
          <w:p w14:paraId="7F97971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Rezervacijos ir dalijimosi automobiliu funkcija</w:t>
            </w:r>
          </w:p>
        </w:tc>
      </w:tr>
      <w:tr w:rsidR="00131184" w:rsidRPr="00F24BA4" w14:paraId="606F1DFD"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054AA69"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B1A4434"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Dalijimosi įranga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9B7525C" w14:textId="77777777" w:rsidR="00131184" w:rsidRPr="00F24BA4" w:rsidRDefault="00131184" w:rsidP="00F24BA4">
            <w:pPr>
              <w:shd w:val="clear" w:color="auto" w:fill="FFFFFF"/>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įdiegti papildomą automobilių dalijimosi įrangą, kad automobilį būtų galima rezervuoti, atrakinti, užrakinti ir išsikviesti pagalbą mobiliuoju telefonu.</w:t>
            </w:r>
          </w:p>
        </w:tc>
        <w:tc>
          <w:tcPr>
            <w:tcW w:w="20" w:type="dxa"/>
            <w:tcBorders>
              <w:top w:val="nil"/>
              <w:left w:val="nil"/>
              <w:bottom w:val="nil"/>
              <w:right w:val="nil"/>
            </w:tcBorders>
            <w:tcMar>
              <w:top w:w="0" w:type="dxa"/>
              <w:left w:w="0" w:type="dxa"/>
              <w:bottom w:w="0" w:type="dxa"/>
              <w:right w:w="0" w:type="dxa"/>
            </w:tcMar>
            <w:hideMark/>
          </w:tcPr>
          <w:p w14:paraId="68DF7A99"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p>
        </w:tc>
      </w:tr>
      <w:tr w:rsidR="00131184" w:rsidRPr="00F24BA4" w14:paraId="2EAA9F27"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1DE6E05"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D2F7A00"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Mobilioji prieiga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1683714"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automobilį rezervuoti/prisijungti prie kito pakeleivingo rezervuoto automobilio; atšaukti/keisti/prasitęsti rezervaciją; nurodyti rezervacijos (kelionės) tikslą, paskirtį, kitus parametrus mobiliuoju telefonu, naudojant mobiliąją programėlę. Mobilioji programėlė veikia iOS ir Android aplinkose.</w:t>
            </w:r>
          </w:p>
        </w:tc>
        <w:tc>
          <w:tcPr>
            <w:tcW w:w="20" w:type="dxa"/>
            <w:tcBorders>
              <w:top w:val="nil"/>
              <w:left w:val="nil"/>
              <w:bottom w:val="nil"/>
              <w:right w:val="nil"/>
            </w:tcBorders>
            <w:tcMar>
              <w:top w:w="0" w:type="dxa"/>
              <w:left w:w="0" w:type="dxa"/>
              <w:bottom w:w="0" w:type="dxa"/>
              <w:right w:w="0" w:type="dxa"/>
            </w:tcMar>
            <w:hideMark/>
          </w:tcPr>
          <w:p w14:paraId="2615D575"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6FBA3563"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2A8771A"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3EE1BC6"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Rezervacijos sistemos funkcionalumas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0AC7A63"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Rezervacijų valdymas internetu per web naršyklę ir mobiliąją programėlę.</w:t>
            </w:r>
          </w:p>
          <w:p w14:paraId="43DFDA64"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nustatyti automobiliui papildomus, vartotojui nematomus kriterijus, kuriais remiantis vairuotojui būtų pasiūlomas automobilis rezervacijai: Rezervuojančio asmens tipas (šis požymis įvedamas ir prie sukuriamų vartotojų);</w:t>
            </w:r>
            <w:r w:rsidRPr="00F24BA4">
              <w:rPr>
                <w:rFonts w:ascii="Times New Roman" w:eastAsia="Times New Roman" w:hAnsi="Times New Roman" w:cs="Times New Roman"/>
                <w:kern w:val="0"/>
                <w:lang w:eastAsia="en-GB"/>
                <w14:ligatures w14:val="none"/>
              </w:rPr>
              <w:br/>
              <w:t xml:space="preserve">Kalendoriaus užpildymo kriterijus (siūlyti mažiausią ridą turintį </w:t>
            </w:r>
            <w:r w:rsidRPr="00F24BA4">
              <w:rPr>
                <w:rFonts w:ascii="Times New Roman" w:eastAsia="Times New Roman" w:hAnsi="Times New Roman" w:cs="Times New Roman"/>
                <w:kern w:val="0"/>
                <w:lang w:eastAsia="en-GB"/>
                <w14:ligatures w14:val="none"/>
              </w:rPr>
              <w:lastRenderedPageBreak/>
              <w:t>automobilį, siūlyti tą automobilį, kuris labiausiai užpildytų kalendorių); Kiti kriterijai.</w:t>
            </w:r>
          </w:p>
          <w:p w14:paraId="7DCA1188"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pateikti rezervacijoje tik vieną kriterijus atitinkantį automobilį, bet neleisti vairuotojui rinktis iš visų laisvų automobilių.</w:t>
            </w:r>
          </w:p>
          <w:p w14:paraId="4C0F7B20"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dalintis savo rezervacija su kitais pakeleiviais.</w:t>
            </w:r>
          </w:p>
          <w:p w14:paraId="08F36A0C"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Galimybė prisijungti pakeleiviu prie kitos rezervacijos.</w:t>
            </w:r>
          </w:p>
          <w:p w14:paraId="7D3805A7"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Sistema gali pasiūlyti prisijungti pakeleiviu prie kitos rezervacijos pagal konfigūruojamą atstumą iki paskirties vietos.</w:t>
            </w:r>
          </w:p>
          <w:p w14:paraId="693DD9D1"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Sistemoje turi būti sukuriami šie vartotojų tipai: administratorius, vairuotojas.</w:t>
            </w:r>
          </w:p>
          <w:p w14:paraId="04DA1466"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Administratorius - gali laisvai atlikti veiksmus sistemoje, peržiūrėti visas rezervacijas, rezervuoti bet kurį automobilį, atšaukti rezervacijas, jas sutrumpinti.</w:t>
            </w:r>
          </w:p>
          <w:p w14:paraId="3D4D4EFE" w14:textId="77777777" w:rsidR="00131184" w:rsidRPr="00F24BA4" w:rsidRDefault="00131184" w:rsidP="00F24BA4">
            <w:pPr>
              <w:numPr>
                <w:ilvl w:val="0"/>
                <w:numId w:val="3"/>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Vairuotojas - jam atsitiktine tvarka parenkamas automobilis, pagal priskirtus parametrus (pasiūlomas vienas atsitiktinis automobilis).</w:t>
            </w:r>
          </w:p>
          <w:p w14:paraId="59DC3A1E"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Mobiliojoje programėlėje vartotojas turi turėti galimybę paskambinti į pagalbą/techninį skyrių darbo dienomis ir darbo valandomis nuo 7 val. Iki 18 val.</w:t>
            </w:r>
          </w:p>
        </w:tc>
        <w:tc>
          <w:tcPr>
            <w:tcW w:w="20" w:type="dxa"/>
            <w:tcBorders>
              <w:top w:val="nil"/>
              <w:left w:val="nil"/>
              <w:bottom w:val="nil"/>
              <w:right w:val="nil"/>
            </w:tcBorders>
            <w:tcMar>
              <w:top w:w="0" w:type="dxa"/>
              <w:left w:w="0" w:type="dxa"/>
              <w:bottom w:w="0" w:type="dxa"/>
              <w:right w:w="0" w:type="dxa"/>
            </w:tcMar>
            <w:hideMark/>
          </w:tcPr>
          <w:p w14:paraId="70AE748D"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7FB001C5"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59F1405"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2CFE3CC"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Informaciniai pranešimai: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C62FD1A" w14:textId="77777777" w:rsidR="00131184" w:rsidRPr="00F24BA4" w:rsidRDefault="00131184" w:rsidP="00F24BA4">
            <w:pPr>
              <w:numPr>
                <w:ilvl w:val="0"/>
                <w:numId w:val="4"/>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Laiškas su pranešimu, kad automobilis rezervuotas (iš laiško galima rezervaciją atšaukti); Automatiškai atsiunčiamas kalendoriaus įrašas (pvz.: Outlook)</w:t>
            </w:r>
          </w:p>
          <w:p w14:paraId="4C9488D0" w14:textId="77777777" w:rsidR="00131184" w:rsidRPr="00F24BA4" w:rsidRDefault="00131184" w:rsidP="00F24BA4">
            <w:pPr>
              <w:numPr>
                <w:ilvl w:val="0"/>
                <w:numId w:val="4"/>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Laiškas - priminimas apie artėjančią rezervaciją (iš laiško galima rezervaciją atšaukti);</w:t>
            </w:r>
          </w:p>
          <w:p w14:paraId="79518081" w14:textId="77777777" w:rsidR="00131184" w:rsidRPr="00F24BA4" w:rsidRDefault="00131184" w:rsidP="00F24BA4">
            <w:pPr>
              <w:numPr>
                <w:ilvl w:val="0"/>
                <w:numId w:val="4"/>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Laiškas - priminimas, kai prasidėjus rezervacijai, automobilis neišvažiavo iš stovėjimo zonos (iš laiško galima rezervaciją atšaukti);</w:t>
            </w:r>
          </w:p>
          <w:p w14:paraId="46BBD91D" w14:textId="77777777" w:rsidR="00131184" w:rsidRPr="00F24BA4" w:rsidRDefault="00131184" w:rsidP="00F24BA4">
            <w:pPr>
              <w:numPr>
                <w:ilvl w:val="0"/>
                <w:numId w:val="4"/>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14:paraId="2F84F7F1" w14:textId="77777777" w:rsidR="00131184" w:rsidRPr="00F24BA4" w:rsidRDefault="00131184" w:rsidP="00F24BA4">
            <w:pPr>
              <w:spacing w:after="0" w:line="240" w:lineRule="auto"/>
              <w:ind w:left="43"/>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Laiškas užsirezervavusiam asmeniui, jeigu prie jo rezervacijos prisijungė pakaleivis.</w:t>
            </w:r>
          </w:p>
        </w:tc>
        <w:tc>
          <w:tcPr>
            <w:tcW w:w="20" w:type="dxa"/>
            <w:tcBorders>
              <w:top w:val="nil"/>
              <w:left w:val="nil"/>
              <w:bottom w:val="nil"/>
              <w:right w:val="nil"/>
            </w:tcBorders>
            <w:tcMar>
              <w:top w:w="0" w:type="dxa"/>
              <w:left w:w="0" w:type="dxa"/>
              <w:bottom w:w="0" w:type="dxa"/>
              <w:right w:w="0" w:type="dxa"/>
            </w:tcMar>
            <w:hideMark/>
          </w:tcPr>
          <w:p w14:paraId="1B289A31" w14:textId="77777777" w:rsidR="00131184" w:rsidRPr="00F24BA4" w:rsidRDefault="00131184" w:rsidP="00F24BA4">
            <w:pPr>
              <w:spacing w:after="0" w:line="240" w:lineRule="auto"/>
              <w:ind w:left="43"/>
              <w:rPr>
                <w:rFonts w:ascii="Times New Roman" w:eastAsia="Times New Roman" w:hAnsi="Times New Roman" w:cs="Times New Roman"/>
                <w:kern w:val="0"/>
                <w:lang w:eastAsia="en-GB"/>
                <w14:ligatures w14:val="none"/>
              </w:rPr>
            </w:pPr>
          </w:p>
        </w:tc>
      </w:tr>
      <w:tr w:rsidR="00131184" w:rsidRPr="00F24BA4" w14:paraId="7BF279A9"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1E40D6B5"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879A636"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Papildomas funkcionalumas: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DEA31E5"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Automatinis rezervacijos pratęsimas, jei automobilis nespėja grįžti iki numatyto rezervacijos laiko pabaigos.</w:t>
            </w:r>
          </w:p>
          <w:p w14:paraId="0C88F496"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Automatinis rezervacijos atšaukimas, jei vartotojas vėluoja paimti automobilį nustatytą laiką.</w:t>
            </w:r>
          </w:p>
          <w:p w14:paraId="7D1BE286"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Automatinis automobilio rezervacijų perkėlimas kitam automobiliui.</w:t>
            </w:r>
          </w:p>
          <w:p w14:paraId="31CE2C30"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Rezervacijų ataskaitos (kiek, kuris automobilis laiko važiavo/stovėjimo, kiek laiko buvo užrezervuotas, kurie darbuotojai rezervuoja, bet nepaima automobilio ir pan.)</w:t>
            </w:r>
          </w:p>
          <w:p w14:paraId="4D81EA81"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Rezervacijų analizės įrankiai (suvestinės apie rezervuotą laiką / procentą nuo viso rezervuotino laiko resurso; suvestinės apie važiuotą laiką / procentą nuo rezervuoto laiko), leidžiantys įvertinti realų automobilių apkrautumą, utilizaciją, panaudojamumą.</w:t>
            </w:r>
          </w:p>
          <w:p w14:paraId="0C0E3221"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lastRenderedPageBreak/>
              <w:t>Automobilių apkrautumo ir poreikio analizės įrankiai (suvestinės ir/arba grafinės ataskaitos apie automobilių ir jų rezervacijų santykį (trūkumą/perteklių)).</w:t>
            </w:r>
          </w:p>
          <w:p w14:paraId="17A5D89C" w14:textId="77777777" w:rsidR="00131184" w:rsidRPr="00F24BA4" w:rsidRDefault="00131184" w:rsidP="00F24BA4">
            <w:pPr>
              <w:numPr>
                <w:ilvl w:val="0"/>
                <w:numId w:val="5"/>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Automobilių grupių ir kategorijų kūrimas.</w:t>
            </w:r>
          </w:p>
          <w:p w14:paraId="50738A20"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Automatinis rezervavusio vairuotojo priskyrimas jo rezervacijos metu įvykusioms kelionėms.</w:t>
            </w:r>
          </w:p>
        </w:tc>
        <w:tc>
          <w:tcPr>
            <w:tcW w:w="20" w:type="dxa"/>
            <w:tcBorders>
              <w:top w:val="nil"/>
              <w:left w:val="nil"/>
              <w:bottom w:val="nil"/>
              <w:right w:val="nil"/>
            </w:tcBorders>
            <w:tcMar>
              <w:top w:w="0" w:type="dxa"/>
              <w:left w:w="0" w:type="dxa"/>
              <w:bottom w:w="0" w:type="dxa"/>
              <w:right w:w="0" w:type="dxa"/>
            </w:tcMar>
            <w:hideMark/>
          </w:tcPr>
          <w:p w14:paraId="7B86C2F7"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40DC0C93" w14:textId="77777777" w:rsidTr="00D9148E">
        <w:trPr>
          <w:gridAfter w:val="1"/>
          <w:wAfter w:w="20" w:type="dxa"/>
          <w:tblCellSpacing w:w="0" w:type="dxa"/>
        </w:trPr>
        <w:tc>
          <w:tcPr>
            <w:tcW w:w="9495" w:type="dxa"/>
            <w:gridSpan w:val="3"/>
            <w:tcBorders>
              <w:top w:val="nil"/>
              <w:left w:val="single" w:sz="6" w:space="0" w:color="000000"/>
              <w:bottom w:val="single" w:sz="6" w:space="0" w:color="000000"/>
              <w:right w:val="single" w:sz="6" w:space="0" w:color="000000"/>
            </w:tcBorders>
            <w:tcMar>
              <w:top w:w="0" w:type="dxa"/>
              <w:left w:w="58" w:type="dxa"/>
              <w:bottom w:w="58" w:type="dxa"/>
              <w:right w:w="58" w:type="dxa"/>
            </w:tcMar>
            <w:vAlign w:val="center"/>
            <w:hideMark/>
          </w:tcPr>
          <w:p w14:paraId="20323305"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t>Kitos programos funkcijos</w:t>
            </w:r>
          </w:p>
        </w:tc>
      </w:tr>
      <w:tr w:rsidR="00131184" w:rsidRPr="00F24BA4" w14:paraId="2735D24F"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4DB415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7A675E14"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Vairuotojo vairavimo stiliaus reitingas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A91288A" w14:textId="77777777" w:rsidR="00131184" w:rsidRPr="00F24BA4" w:rsidRDefault="00131184" w:rsidP="00F24BA4">
            <w:pPr>
              <w:numPr>
                <w:ilvl w:val="0"/>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Sistemos galimybėmis turi būti formuojamas vairuotojo reitingavimas, pagal faktorius:</w:t>
            </w:r>
          </w:p>
          <w:p w14:paraId="5DCD18F6" w14:textId="77777777" w:rsidR="00131184" w:rsidRPr="00F24BA4" w:rsidRDefault="00131184" w:rsidP="00F24BA4">
            <w:pPr>
              <w:numPr>
                <w:ilvl w:val="1"/>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Staigius stabdymus;</w:t>
            </w:r>
          </w:p>
          <w:p w14:paraId="2043859D" w14:textId="77777777" w:rsidR="00131184" w:rsidRPr="00F24BA4" w:rsidRDefault="00131184" w:rsidP="00F24BA4">
            <w:pPr>
              <w:numPr>
                <w:ilvl w:val="1"/>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Staigius pagreitėjimus;</w:t>
            </w:r>
          </w:p>
          <w:p w14:paraId="59698F42" w14:textId="77777777" w:rsidR="00131184" w:rsidRPr="00F24BA4" w:rsidRDefault="00131184" w:rsidP="00F24BA4">
            <w:pPr>
              <w:numPr>
                <w:ilvl w:val="1"/>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Staigius posūkio įveikimus;</w:t>
            </w:r>
          </w:p>
          <w:p w14:paraId="41A9ABCC" w14:textId="77777777" w:rsidR="00131184" w:rsidRPr="00F24BA4" w:rsidRDefault="00131184" w:rsidP="00F24BA4">
            <w:pPr>
              <w:numPr>
                <w:ilvl w:val="1"/>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Ilgo vairavimo nesustojus (vairuotojo nuovargis);</w:t>
            </w:r>
          </w:p>
          <w:p w14:paraId="25307C44" w14:textId="77777777" w:rsidR="00131184" w:rsidRPr="00F24BA4" w:rsidRDefault="00131184" w:rsidP="00F24BA4">
            <w:pPr>
              <w:numPr>
                <w:ilvl w:val="1"/>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Variklio darbą laisvais sūkiais;</w:t>
            </w:r>
          </w:p>
          <w:p w14:paraId="501BF74C" w14:textId="77777777" w:rsidR="00131184" w:rsidRPr="00F24BA4" w:rsidRDefault="00131184" w:rsidP="00F24BA4">
            <w:pPr>
              <w:numPr>
                <w:ilvl w:val="1"/>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Greičio viršijimas;</w:t>
            </w:r>
          </w:p>
          <w:p w14:paraId="5BEAFA18" w14:textId="77777777" w:rsidR="00131184" w:rsidRPr="00F24BA4" w:rsidRDefault="00131184" w:rsidP="00F24BA4">
            <w:pPr>
              <w:numPr>
                <w:ilvl w:val="0"/>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Informacija apie vairuotojo reitingą turi būti atvaizduojama PĮ mobiliojoje programėlėje veikiančiuose Android ar iOS sistemose – vairuotojas turi matyti savo asmeninį reitingą ir jį gerinančius/ bloginančius faktorius.</w:t>
            </w:r>
          </w:p>
          <w:p w14:paraId="6089629A" w14:textId="77777777" w:rsidR="00131184" w:rsidRPr="00F24BA4" w:rsidRDefault="00131184" w:rsidP="00F24BA4">
            <w:pPr>
              <w:numPr>
                <w:ilvl w:val="0"/>
                <w:numId w:val="6"/>
              </w:num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Greičio viršijimas turi būti automatiškai fiksuojamas remiantis viešai prieinamais žemėlapiais ir juose esančiais aktualiais greičio apribojimais (pvz: google maps, waze, greičių keliuose informacija).</w:t>
            </w:r>
          </w:p>
        </w:tc>
        <w:tc>
          <w:tcPr>
            <w:tcW w:w="20" w:type="dxa"/>
            <w:tcBorders>
              <w:top w:val="nil"/>
              <w:left w:val="nil"/>
              <w:bottom w:val="nil"/>
              <w:right w:val="nil"/>
            </w:tcBorders>
            <w:tcMar>
              <w:top w:w="0" w:type="dxa"/>
              <w:left w:w="0" w:type="dxa"/>
              <w:bottom w:w="0" w:type="dxa"/>
              <w:right w:w="0" w:type="dxa"/>
            </w:tcMar>
            <w:hideMark/>
          </w:tcPr>
          <w:p w14:paraId="11989FC4" w14:textId="77777777" w:rsidR="00131184" w:rsidRPr="00F24BA4" w:rsidRDefault="00131184" w:rsidP="00F24BA4">
            <w:pPr>
              <w:spacing w:after="0" w:line="240" w:lineRule="auto"/>
              <w:ind w:firstLine="29"/>
              <w:rPr>
                <w:rFonts w:ascii="Times New Roman" w:eastAsia="Times New Roman" w:hAnsi="Times New Roman" w:cs="Times New Roman"/>
                <w:kern w:val="0"/>
                <w:lang w:eastAsia="en-GB"/>
                <w14:ligatures w14:val="none"/>
              </w:rPr>
            </w:pPr>
          </w:p>
        </w:tc>
      </w:tr>
      <w:tr w:rsidR="00131184" w:rsidRPr="00F24BA4" w14:paraId="6368CC4D"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6D1EBB4"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E4C2B69"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Informaciniai pranešimai</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5B2A3EDF" w14:textId="77777777" w:rsidR="00131184" w:rsidRPr="00F24BA4" w:rsidRDefault="00131184" w:rsidP="00F24BA4">
            <w:pPr>
              <w:spacing w:after="0" w:line="240" w:lineRule="auto"/>
              <w:ind w:firstLine="29"/>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c>
          <w:tcPr>
            <w:tcW w:w="20" w:type="dxa"/>
            <w:tcBorders>
              <w:top w:val="nil"/>
              <w:left w:val="nil"/>
              <w:bottom w:val="nil"/>
              <w:right w:val="nil"/>
            </w:tcBorders>
            <w:tcMar>
              <w:top w:w="0" w:type="dxa"/>
              <w:left w:w="0" w:type="dxa"/>
              <w:bottom w:w="0" w:type="dxa"/>
              <w:right w:w="0" w:type="dxa"/>
            </w:tcMar>
            <w:hideMark/>
          </w:tcPr>
          <w:p w14:paraId="7EBAE825" w14:textId="77777777" w:rsidR="00131184" w:rsidRPr="00F24BA4" w:rsidRDefault="00131184" w:rsidP="00F24BA4">
            <w:pPr>
              <w:spacing w:after="0" w:line="240" w:lineRule="auto"/>
              <w:ind w:firstLine="29"/>
              <w:rPr>
                <w:rFonts w:ascii="Times New Roman" w:eastAsia="Times New Roman" w:hAnsi="Times New Roman" w:cs="Times New Roman"/>
                <w:kern w:val="0"/>
                <w:lang w:eastAsia="en-GB"/>
                <w14:ligatures w14:val="none"/>
              </w:rPr>
            </w:pPr>
          </w:p>
        </w:tc>
      </w:tr>
      <w:tr w:rsidR="00131184" w:rsidRPr="00F24BA4" w14:paraId="6F764B4B"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6727F5D"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18CE103"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Geografinės zonos ribų kirtimo kontrolė</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04A0FBD9" w14:textId="77777777" w:rsidR="00131184" w:rsidRPr="00F24BA4" w:rsidRDefault="00131184" w:rsidP="00F24BA4">
            <w:pPr>
              <w:spacing w:after="0" w:line="240" w:lineRule="auto"/>
              <w:ind w:firstLine="29"/>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Programa leidžia pažymėti teritorijas elektroniniame žemėlapyje. Jeigu objektas kerta nustatytų geografinių zonų ribas, programa gali tai fiksuoti, suformuoti pranešimą programos lange arba atsiųsti informacinį pranešimą elektroniniu laišku.</w:t>
            </w:r>
          </w:p>
        </w:tc>
        <w:tc>
          <w:tcPr>
            <w:tcW w:w="20" w:type="dxa"/>
            <w:tcBorders>
              <w:top w:val="nil"/>
              <w:left w:val="nil"/>
              <w:bottom w:val="nil"/>
              <w:right w:val="nil"/>
            </w:tcBorders>
            <w:tcMar>
              <w:top w:w="0" w:type="dxa"/>
              <w:left w:w="0" w:type="dxa"/>
              <w:bottom w:w="0" w:type="dxa"/>
              <w:right w:w="0" w:type="dxa"/>
            </w:tcMar>
            <w:hideMark/>
          </w:tcPr>
          <w:p w14:paraId="2EEA5973" w14:textId="77777777" w:rsidR="00131184" w:rsidRPr="00F24BA4" w:rsidRDefault="00131184" w:rsidP="00F24BA4">
            <w:pPr>
              <w:spacing w:after="0" w:line="240" w:lineRule="auto"/>
              <w:ind w:firstLine="29"/>
              <w:rPr>
                <w:rFonts w:ascii="Times New Roman" w:eastAsia="Times New Roman" w:hAnsi="Times New Roman" w:cs="Times New Roman"/>
                <w:kern w:val="0"/>
                <w:lang w:eastAsia="en-GB"/>
                <w14:ligatures w14:val="none"/>
              </w:rPr>
            </w:pPr>
          </w:p>
        </w:tc>
      </w:tr>
      <w:tr w:rsidR="00131184" w:rsidRPr="00F24BA4" w14:paraId="1D452C79"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28337721"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596E02A1"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Integracija su kitomis informacijos sistemomis (web service)</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063FC21" w14:textId="77777777" w:rsidR="00D9148E" w:rsidRPr="00F24BA4" w:rsidRDefault="00D9148E" w:rsidP="00F24BA4">
            <w:pPr>
              <w:pStyle w:val="NormalWeb"/>
              <w:spacing w:before="0" w:beforeAutospacing="0" w:after="0" w:line="240" w:lineRule="auto"/>
              <w:jc w:val="both"/>
              <w:rPr>
                <w:lang w:val="lt-LT"/>
              </w:rPr>
            </w:pPr>
            <w:r w:rsidRPr="00F24BA4">
              <w:rPr>
                <w:lang w:val="lt-LT"/>
              </w:rPr>
              <w:t>Turi būti pateikiama universali integracinė sąsaja (angl. API) duomenų iš telemetrinių įrenginių atidavimui realiu laiku į perkančiosios organizacijos sistemas (visų automobilių, kuriuose sumontuota telemetrinė įranga: koordinatės, identifikatorius, greitis, kryptis ir kiti su Perkančiąja organizacija suderinti duomenys);</w:t>
            </w:r>
          </w:p>
          <w:p w14:paraId="4957F5D6" w14:textId="77777777" w:rsidR="00D9148E" w:rsidRPr="00F24BA4" w:rsidRDefault="00D9148E" w:rsidP="00F24BA4">
            <w:pPr>
              <w:pStyle w:val="NormalWeb"/>
              <w:spacing w:before="0" w:beforeAutospacing="0" w:after="0" w:line="240" w:lineRule="auto"/>
              <w:jc w:val="both"/>
              <w:rPr>
                <w:color w:val="000000"/>
                <w:lang w:val="lt-LT"/>
              </w:rPr>
            </w:pPr>
            <w:r w:rsidRPr="00F24BA4">
              <w:rPr>
                <w:lang w:val="lt-LT"/>
              </w:rPr>
              <w:t xml:space="preserve">Turi būti pateikiama universali duomenų atidavimo sąsają (angl. API) per kurią būtų galima paimti eksploatacinių sąnaudų duomenis (laikotarpis, </w:t>
            </w:r>
            <w:r w:rsidRPr="00F24BA4">
              <w:rPr>
                <w:color w:val="000000"/>
                <w:lang w:val="lt-LT"/>
              </w:rPr>
              <w:t>degalų rūšis, kiekis, degalų matavimo vnt, policijos įstaigos, padalinio, naudotojo, automobilio ir kiti su Perkančiąja organizacija suderinti duomenys);</w:t>
            </w:r>
          </w:p>
          <w:p w14:paraId="6C67CBED" w14:textId="4E7EEB62" w:rsidR="00D9148E" w:rsidRPr="00F24BA4" w:rsidRDefault="00D9148E" w:rsidP="00F24BA4">
            <w:pPr>
              <w:pStyle w:val="NormalWeb"/>
              <w:spacing w:before="0" w:beforeAutospacing="0" w:after="0" w:line="240" w:lineRule="auto"/>
              <w:jc w:val="both"/>
              <w:rPr>
                <w:lang w:val="lt-LT"/>
              </w:rPr>
            </w:pPr>
            <w:r w:rsidRPr="00F24BA4">
              <w:rPr>
                <w:lang w:val="lt-LT"/>
              </w:rPr>
              <w:t>Naudotojų duomenys, įstaigos struktūros duomenys ir kiti susiję ir su Perkančiąja organizacija suderintos apimties duomenys automatizuotai turi būti per integracinę sąsają paimami iš Perkančiosios organizacijos pateiktos žmogiškųjų išteklių valdymo ar kitos sistemos.</w:t>
            </w:r>
          </w:p>
          <w:p w14:paraId="053BBE67" w14:textId="7998D93F"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p>
        </w:tc>
        <w:tc>
          <w:tcPr>
            <w:tcW w:w="20" w:type="dxa"/>
            <w:tcBorders>
              <w:top w:val="nil"/>
              <w:left w:val="nil"/>
              <w:bottom w:val="nil"/>
              <w:right w:val="nil"/>
            </w:tcBorders>
            <w:tcMar>
              <w:top w:w="0" w:type="dxa"/>
              <w:left w:w="0" w:type="dxa"/>
              <w:bottom w:w="0" w:type="dxa"/>
              <w:right w:w="0" w:type="dxa"/>
            </w:tcMar>
            <w:hideMark/>
          </w:tcPr>
          <w:p w14:paraId="60043A80" w14:textId="77777777" w:rsidR="00131184" w:rsidRPr="00F24BA4" w:rsidRDefault="00131184" w:rsidP="00F24BA4">
            <w:pPr>
              <w:spacing w:after="0" w:line="240" w:lineRule="auto"/>
              <w:ind w:firstLine="29"/>
              <w:rPr>
                <w:rFonts w:ascii="Times New Roman" w:eastAsia="Times New Roman" w:hAnsi="Times New Roman" w:cs="Times New Roman"/>
                <w:kern w:val="0"/>
                <w:lang w:eastAsia="en-GB"/>
                <w14:ligatures w14:val="none"/>
              </w:rPr>
            </w:pPr>
          </w:p>
        </w:tc>
      </w:tr>
      <w:tr w:rsidR="00131184" w:rsidRPr="00F24BA4" w14:paraId="6E018FB8" w14:textId="77777777" w:rsidTr="00D9148E">
        <w:trPr>
          <w:gridAfter w:val="1"/>
          <w:wAfter w:w="20" w:type="dxa"/>
          <w:tblCellSpacing w:w="0" w:type="dxa"/>
        </w:trPr>
        <w:tc>
          <w:tcPr>
            <w:tcW w:w="9495" w:type="dxa"/>
            <w:gridSpan w:val="3"/>
            <w:tcBorders>
              <w:top w:val="nil"/>
              <w:left w:val="single" w:sz="6" w:space="0" w:color="000000"/>
              <w:bottom w:val="single" w:sz="6" w:space="0" w:color="000000"/>
              <w:right w:val="single" w:sz="6" w:space="0" w:color="000000"/>
            </w:tcBorders>
            <w:tcMar>
              <w:top w:w="0" w:type="dxa"/>
              <w:left w:w="58" w:type="dxa"/>
              <w:bottom w:w="58" w:type="dxa"/>
              <w:right w:w="58" w:type="dxa"/>
            </w:tcMar>
            <w:vAlign w:val="center"/>
            <w:hideMark/>
          </w:tcPr>
          <w:p w14:paraId="01C7EDFC"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b/>
                <w:bCs/>
                <w:kern w:val="0"/>
                <w:lang w:eastAsia="en-GB"/>
                <w14:ligatures w14:val="none"/>
              </w:rPr>
              <w:lastRenderedPageBreak/>
              <w:t>Kiti reikalavimai</w:t>
            </w:r>
          </w:p>
        </w:tc>
      </w:tr>
      <w:tr w:rsidR="00131184" w:rsidRPr="00F24BA4" w14:paraId="574D15DD"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CF3885F"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35C37F1A"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Gedimų šalinimas</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7EFD313"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Telemetrinės, ir kitos įrangos, sumontuotos teikiant paslaugą automobilyje, gedimų šalinimo laikas – ne daugiau kaip 5 darbo dienos;</w:t>
            </w:r>
          </w:p>
          <w:p w14:paraId="36815672" w14:textId="77777777" w:rsidR="00131184" w:rsidRPr="00F24BA4" w:rsidRDefault="00131184" w:rsidP="00F24BA4">
            <w:pPr>
              <w:spacing w:after="0" w:line="240" w:lineRule="auto"/>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Programinių gedimų šalinimo laikas – ne ilgiau kaip 4 val. (5x8 rėžimu).</w:t>
            </w:r>
          </w:p>
        </w:tc>
        <w:tc>
          <w:tcPr>
            <w:tcW w:w="20" w:type="dxa"/>
            <w:tcBorders>
              <w:top w:val="nil"/>
              <w:left w:val="nil"/>
              <w:bottom w:val="nil"/>
              <w:right w:val="nil"/>
            </w:tcBorders>
            <w:tcMar>
              <w:top w:w="0" w:type="dxa"/>
              <w:left w:w="0" w:type="dxa"/>
              <w:bottom w:w="0" w:type="dxa"/>
              <w:right w:w="0" w:type="dxa"/>
            </w:tcMar>
            <w:hideMark/>
          </w:tcPr>
          <w:p w14:paraId="1ADE2563" w14:textId="77777777" w:rsidR="00131184" w:rsidRPr="00F24BA4" w:rsidRDefault="00131184" w:rsidP="00F24BA4">
            <w:pPr>
              <w:spacing w:after="0" w:line="240" w:lineRule="auto"/>
              <w:rPr>
                <w:rFonts w:ascii="Times New Roman" w:eastAsia="Times New Roman" w:hAnsi="Times New Roman" w:cs="Times New Roman"/>
                <w:kern w:val="0"/>
                <w:lang w:eastAsia="en-GB"/>
                <w14:ligatures w14:val="none"/>
              </w:rPr>
            </w:pPr>
          </w:p>
        </w:tc>
      </w:tr>
      <w:tr w:rsidR="00131184" w:rsidRPr="00F24BA4" w14:paraId="3ABFD9BE" w14:textId="77777777" w:rsidTr="00D9148E">
        <w:trPr>
          <w:tblCellSpacing w:w="0" w:type="dxa"/>
        </w:trPr>
        <w:tc>
          <w:tcPr>
            <w:tcW w:w="663"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434CA364" w14:textId="77777777" w:rsidR="00131184" w:rsidRPr="00F24BA4" w:rsidRDefault="00131184" w:rsidP="00F24BA4">
            <w:pPr>
              <w:pStyle w:val="ListParagraph"/>
              <w:numPr>
                <w:ilvl w:val="0"/>
                <w:numId w:val="13"/>
              </w:numPr>
              <w:spacing w:after="0" w:line="240" w:lineRule="auto"/>
              <w:ind w:left="486"/>
              <w:rPr>
                <w:rFonts w:ascii="Times New Roman" w:eastAsia="Times New Roman" w:hAnsi="Times New Roman" w:cs="Times New Roman"/>
                <w:kern w:val="0"/>
                <w:lang w:eastAsia="en-GB"/>
                <w14:ligatures w14:val="none"/>
              </w:rPr>
            </w:pPr>
          </w:p>
        </w:tc>
        <w:tc>
          <w:tcPr>
            <w:tcW w:w="1748" w:type="dxa"/>
            <w:tcBorders>
              <w:top w:val="nil"/>
              <w:left w:val="single" w:sz="6" w:space="0" w:color="000000"/>
              <w:bottom w:val="single" w:sz="6" w:space="0" w:color="000000"/>
              <w:right w:val="nil"/>
            </w:tcBorders>
            <w:tcMar>
              <w:top w:w="0" w:type="dxa"/>
              <w:left w:w="58" w:type="dxa"/>
              <w:bottom w:w="58" w:type="dxa"/>
              <w:right w:w="0" w:type="dxa"/>
            </w:tcMar>
            <w:vAlign w:val="center"/>
            <w:hideMark/>
          </w:tcPr>
          <w:p w14:paraId="6E250094" w14:textId="77777777" w:rsidR="00131184" w:rsidRPr="00F24BA4" w:rsidRDefault="00131184" w:rsidP="00F24BA4">
            <w:pPr>
              <w:shd w:val="clear" w:color="auto" w:fill="FFFFFF"/>
              <w:spacing w:after="0" w:line="240" w:lineRule="auto"/>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Serviso tarnyba</w:t>
            </w:r>
          </w:p>
        </w:tc>
        <w:tc>
          <w:tcPr>
            <w:tcW w:w="7084"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1C941206" w14:textId="77777777" w:rsidR="00131184" w:rsidRPr="00F24BA4" w:rsidRDefault="00131184" w:rsidP="00F24BA4">
            <w:pPr>
              <w:spacing w:after="0" w:line="240" w:lineRule="auto"/>
              <w:ind w:firstLine="29"/>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Tarnybos darbuotojas atsakingas už sistemos kontrolės priežiūrą, siunčia užsakymą/informaciją/paklausimą apie gedimus, nesklandumus ar papildomų sistemų užsakymus el. paštu .....@........... Paklausimai turi būti registruojami. Taip pat sistemos kontrolės priežiūrą vykdantis darbuotojas turi būti informuojamas apie paklausimo priskyrimą konkrečiam Tiekėjo darbuotojui, bei apie spendimo pabaigą.</w:t>
            </w:r>
          </w:p>
          <w:p w14:paraId="77842527" w14:textId="77777777" w:rsidR="00131184" w:rsidRPr="00F24BA4" w:rsidRDefault="00131184" w:rsidP="00F24BA4">
            <w:pPr>
              <w:spacing w:after="0" w:line="240" w:lineRule="auto"/>
              <w:ind w:firstLine="29"/>
              <w:jc w:val="both"/>
              <w:rPr>
                <w:rFonts w:ascii="Times New Roman" w:eastAsia="Times New Roman" w:hAnsi="Times New Roman" w:cs="Times New Roman"/>
                <w:kern w:val="0"/>
                <w:lang w:eastAsia="en-GB"/>
                <w14:ligatures w14:val="none"/>
              </w:rPr>
            </w:pPr>
            <w:r w:rsidRPr="00F24BA4">
              <w:rPr>
                <w:rFonts w:ascii="Times New Roman" w:eastAsia="Times New Roman" w:hAnsi="Times New Roman" w:cs="Times New Roman"/>
                <w:kern w:val="0"/>
                <w:lang w:eastAsia="en-GB"/>
                <w14:ligatures w14:val="none"/>
              </w:rPr>
              <w:t>Papildomai turi būti sudaryta galimybė sistemos kontrolės priežiūrą vykdančiam darbuotojui Tiekėjo internetiniame puslapyje el. kataloge stebėti visus savo užregistruotus gedimus ir jų vykdymo būseną, susijusią statistiką ir pan.</w:t>
            </w:r>
          </w:p>
        </w:tc>
        <w:tc>
          <w:tcPr>
            <w:tcW w:w="20" w:type="dxa"/>
            <w:tcBorders>
              <w:top w:val="nil"/>
              <w:left w:val="nil"/>
              <w:bottom w:val="nil"/>
              <w:right w:val="nil"/>
            </w:tcBorders>
            <w:tcMar>
              <w:top w:w="0" w:type="dxa"/>
              <w:left w:w="0" w:type="dxa"/>
              <w:bottom w:w="0" w:type="dxa"/>
              <w:right w:w="0" w:type="dxa"/>
            </w:tcMar>
            <w:hideMark/>
          </w:tcPr>
          <w:p w14:paraId="2392331E" w14:textId="77777777" w:rsidR="00131184" w:rsidRPr="00F24BA4" w:rsidRDefault="00131184" w:rsidP="00F24BA4">
            <w:pPr>
              <w:spacing w:after="0" w:line="240" w:lineRule="auto"/>
              <w:ind w:firstLine="29"/>
              <w:rPr>
                <w:rFonts w:ascii="Times New Roman" w:eastAsia="Times New Roman" w:hAnsi="Times New Roman" w:cs="Times New Roman"/>
                <w:kern w:val="0"/>
                <w:lang w:eastAsia="en-GB"/>
                <w14:ligatures w14:val="none"/>
              </w:rPr>
            </w:pPr>
          </w:p>
        </w:tc>
      </w:tr>
    </w:tbl>
    <w:p w14:paraId="3803E7F6" w14:textId="3650F8F9" w:rsidR="00D9148E" w:rsidRPr="00D9148E" w:rsidRDefault="00D9148E" w:rsidP="00F24BA4">
      <w:pPr>
        <w:spacing w:after="0" w:line="240" w:lineRule="auto"/>
        <w:rPr>
          <w:rFonts w:ascii="Times New Roman" w:eastAsia="Times New Roman" w:hAnsi="Times New Roman" w:cs="Times New Roman"/>
          <w:b/>
          <w:bCs/>
          <w:kern w:val="0"/>
          <w:lang w:val="lt-LT" w:eastAsia="en-GB"/>
          <w14:ligatures w14:val="none"/>
        </w:rPr>
      </w:pPr>
    </w:p>
    <w:p w14:paraId="47ABAA04" w14:textId="5B6C4777" w:rsidR="00131184" w:rsidRDefault="00131184" w:rsidP="00D9148E">
      <w:pPr>
        <w:spacing w:after="0" w:line="240" w:lineRule="auto"/>
        <w:jc w:val="center"/>
        <w:rPr>
          <w:rFonts w:ascii="Times New Roman" w:eastAsia="Times New Roman" w:hAnsi="Times New Roman" w:cs="Times New Roman"/>
          <w:b/>
          <w:bCs/>
          <w:kern w:val="0"/>
          <w:lang w:val="lt-LT" w:eastAsia="en-GB"/>
          <w14:ligatures w14:val="none"/>
        </w:rPr>
      </w:pPr>
      <w:r w:rsidRPr="00131184">
        <w:rPr>
          <w:rFonts w:ascii="Times New Roman" w:eastAsia="Times New Roman" w:hAnsi="Times New Roman" w:cs="Times New Roman"/>
          <w:b/>
          <w:bCs/>
          <w:kern w:val="0"/>
          <w:lang w:val="lt-LT" w:eastAsia="en-GB"/>
          <w14:ligatures w14:val="none"/>
        </w:rPr>
        <w:t>3.2 Reikalavimai PĮ vystymo valandoms</w:t>
      </w:r>
    </w:p>
    <w:p w14:paraId="63FE865B" w14:textId="77777777" w:rsidR="00F24BA4" w:rsidRPr="00131184" w:rsidRDefault="00F24BA4" w:rsidP="00D9148E">
      <w:pPr>
        <w:spacing w:after="0" w:line="240" w:lineRule="auto"/>
        <w:jc w:val="center"/>
        <w:rPr>
          <w:rFonts w:ascii="Times New Roman" w:eastAsia="Times New Roman" w:hAnsi="Times New Roman" w:cs="Times New Roman"/>
          <w:kern w:val="0"/>
          <w:lang w:val="lt-LT" w:eastAsia="en-GB"/>
          <w14:ligatures w14:val="none"/>
        </w:rPr>
      </w:pPr>
    </w:p>
    <w:tbl>
      <w:tblPr>
        <w:tblW w:w="9693" w:type="dxa"/>
        <w:tblCellSpacing w:w="0" w:type="dxa"/>
        <w:tblInd w:w="-150" w:type="dxa"/>
        <w:tblCellMar>
          <w:top w:w="80" w:type="dxa"/>
          <w:left w:w="80" w:type="dxa"/>
          <w:bottom w:w="80" w:type="dxa"/>
          <w:right w:w="80" w:type="dxa"/>
        </w:tblCellMar>
        <w:tblLook w:val="04A0" w:firstRow="1" w:lastRow="0" w:firstColumn="1" w:lastColumn="0" w:noHBand="0" w:noVBand="1"/>
      </w:tblPr>
      <w:tblGrid>
        <w:gridCol w:w="709"/>
        <w:gridCol w:w="1701"/>
        <w:gridCol w:w="7283"/>
      </w:tblGrid>
      <w:tr w:rsidR="00131184" w:rsidRPr="00D9148E" w14:paraId="16F3A86F" w14:textId="77777777" w:rsidTr="00131184">
        <w:trPr>
          <w:tblCellSpacing w:w="0" w:type="dxa"/>
        </w:trPr>
        <w:tc>
          <w:tcPr>
            <w:tcW w:w="709"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1FA63226" w14:textId="77777777" w:rsidR="00131184" w:rsidRPr="00131184" w:rsidRDefault="00131184" w:rsidP="00F24BA4">
            <w:pPr>
              <w:pStyle w:val="ListParagraph"/>
              <w:numPr>
                <w:ilvl w:val="0"/>
                <w:numId w:val="13"/>
              </w:numPr>
              <w:spacing w:after="0" w:afterAutospacing="1" w:line="240" w:lineRule="auto"/>
              <w:ind w:left="486"/>
              <w:rPr>
                <w:rFonts w:ascii="Times New Roman" w:eastAsia="Times New Roman" w:hAnsi="Times New Roman" w:cs="Times New Roman"/>
                <w:kern w:val="0"/>
                <w:lang w:eastAsia="en-GB"/>
                <w14:ligatures w14:val="none"/>
              </w:rPr>
            </w:pPr>
          </w:p>
        </w:tc>
        <w:tc>
          <w:tcPr>
            <w:tcW w:w="1701"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45DE9559" w14:textId="77777777" w:rsidR="00131184" w:rsidRPr="00131184" w:rsidRDefault="00131184" w:rsidP="00F24BA4">
            <w:pPr>
              <w:spacing w:after="0" w:line="240" w:lineRule="auto"/>
              <w:ind w:left="87" w:hanging="87"/>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Užsakymas</w:t>
            </w:r>
          </w:p>
        </w:tc>
        <w:tc>
          <w:tcPr>
            <w:tcW w:w="72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714645B" w14:textId="77777777" w:rsidR="00131184" w:rsidRPr="00131184" w:rsidRDefault="00131184" w:rsidP="00F24BA4">
            <w:pPr>
              <w:numPr>
                <w:ilvl w:val="0"/>
                <w:numId w:val="7"/>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Užsakomos vystymo paslaugos turi būti teikiamos pagal sutartyje nurodytą paslaugų valandinį įkainį, tik esant Perkančiosios organizacijos užsakymams ir pagal faktiškai sugaištą šių paslaugų teikimo laiką, suderintą su Perkančiąja organizacija.</w:t>
            </w:r>
          </w:p>
          <w:p w14:paraId="345AB58D" w14:textId="77777777" w:rsidR="00131184" w:rsidRPr="00131184" w:rsidRDefault="00131184" w:rsidP="00F24BA4">
            <w:pPr>
              <w:numPr>
                <w:ilvl w:val="0"/>
                <w:numId w:val="7"/>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Perkančioji organizacija neįsipareigoja sutarties galiojimo metu užsakyti paslaugų.</w:t>
            </w:r>
          </w:p>
        </w:tc>
      </w:tr>
      <w:tr w:rsidR="00131184" w:rsidRPr="00D9148E" w14:paraId="799E5991" w14:textId="77777777" w:rsidTr="00131184">
        <w:trPr>
          <w:tblCellSpacing w:w="0" w:type="dxa"/>
        </w:trPr>
        <w:tc>
          <w:tcPr>
            <w:tcW w:w="709" w:type="dxa"/>
            <w:tcBorders>
              <w:top w:val="nil"/>
              <w:left w:val="single" w:sz="6" w:space="0" w:color="000000"/>
              <w:bottom w:val="single" w:sz="6" w:space="0" w:color="000000"/>
              <w:right w:val="nil"/>
            </w:tcBorders>
            <w:tcMar>
              <w:top w:w="0" w:type="dxa"/>
              <w:left w:w="58" w:type="dxa"/>
              <w:bottom w:w="58" w:type="dxa"/>
              <w:right w:w="0" w:type="dxa"/>
            </w:tcMar>
            <w:hideMark/>
          </w:tcPr>
          <w:p w14:paraId="1C91655F" w14:textId="77777777" w:rsidR="00131184" w:rsidRPr="00131184" w:rsidRDefault="00131184" w:rsidP="00F24BA4">
            <w:pPr>
              <w:pStyle w:val="ListParagraph"/>
              <w:numPr>
                <w:ilvl w:val="0"/>
                <w:numId w:val="13"/>
              </w:numPr>
              <w:spacing w:after="0" w:afterAutospacing="1" w:line="240" w:lineRule="auto"/>
              <w:ind w:left="486"/>
              <w:rPr>
                <w:rFonts w:ascii="Times New Roman" w:eastAsia="Times New Roman" w:hAnsi="Times New Roman" w:cs="Times New Roman"/>
                <w:kern w:val="0"/>
                <w:lang w:eastAsia="en-GB"/>
                <w14:ligatures w14:val="none"/>
              </w:rPr>
            </w:pPr>
          </w:p>
        </w:tc>
        <w:tc>
          <w:tcPr>
            <w:tcW w:w="1701" w:type="dxa"/>
            <w:tcBorders>
              <w:top w:val="nil"/>
              <w:left w:val="single" w:sz="6" w:space="0" w:color="000000"/>
              <w:bottom w:val="single" w:sz="6" w:space="0" w:color="000000"/>
              <w:right w:val="nil"/>
            </w:tcBorders>
            <w:tcMar>
              <w:top w:w="0" w:type="dxa"/>
              <w:left w:w="58" w:type="dxa"/>
              <w:bottom w:w="58" w:type="dxa"/>
              <w:right w:w="0" w:type="dxa"/>
            </w:tcMar>
            <w:hideMark/>
          </w:tcPr>
          <w:p w14:paraId="10EAA616" w14:textId="77777777" w:rsidR="00131184" w:rsidRPr="00131184" w:rsidRDefault="00131184" w:rsidP="00F24BA4">
            <w:pPr>
              <w:spacing w:after="0" w:line="240" w:lineRule="auto"/>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 xml:space="preserve">Užsakomųjų vystymo paslaugų apimtis </w:t>
            </w:r>
          </w:p>
        </w:tc>
        <w:tc>
          <w:tcPr>
            <w:tcW w:w="72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4F252CA" w14:textId="77777777" w:rsidR="00131184" w:rsidRPr="00131184" w:rsidRDefault="00131184" w:rsidP="00F24BA4">
            <w:p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Užsakomosios vystymo paslaugos apima:</w:t>
            </w:r>
          </w:p>
          <w:p w14:paraId="2F5EDD16" w14:textId="77777777" w:rsidR="00131184" w:rsidRPr="00131184" w:rsidRDefault="00131184" w:rsidP="00F24BA4">
            <w:pPr>
              <w:numPr>
                <w:ilvl w:val="0"/>
                <w:numId w:val="8"/>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funkcionalumo pagal pasikeitusius teisės aktus ar Perkančiosios organizacijos poreikius specifikavimą, projektavimą, programavimą, testavimą, įdiegimą ir dokumentavimą;</w:t>
            </w:r>
          </w:p>
          <w:p w14:paraId="65545654" w14:textId="77777777" w:rsidR="00131184" w:rsidRPr="00131184" w:rsidRDefault="00131184" w:rsidP="00F24BA4">
            <w:pPr>
              <w:numPr>
                <w:ilvl w:val="0"/>
                <w:numId w:val="8"/>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naudotojų ir administratorių papildomą apmokymą;</w:t>
            </w:r>
          </w:p>
          <w:p w14:paraId="6F80BD56" w14:textId="77777777" w:rsidR="00131184" w:rsidRPr="00131184" w:rsidRDefault="00131184" w:rsidP="00F24BA4">
            <w:pPr>
              <w:numPr>
                <w:ilvl w:val="0"/>
                <w:numId w:val="8"/>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perkėlimą į kitą techninę ar sisteminę įrangą;</w:t>
            </w:r>
          </w:p>
          <w:p w14:paraId="38EC90DE" w14:textId="77777777" w:rsidR="00131184" w:rsidRPr="00131184" w:rsidRDefault="00131184" w:rsidP="00F24BA4">
            <w:pPr>
              <w:numPr>
                <w:ilvl w:val="0"/>
                <w:numId w:val="8"/>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pritaikymą naujesnėms naršyklių versijoms;</w:t>
            </w:r>
          </w:p>
          <w:p w14:paraId="667E5B9A" w14:textId="77777777" w:rsidR="00131184" w:rsidRPr="00131184" w:rsidRDefault="00131184" w:rsidP="00F24BA4">
            <w:pPr>
              <w:numPr>
                <w:ilvl w:val="0"/>
                <w:numId w:val="8"/>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programinio kodo optimizavimą;</w:t>
            </w:r>
          </w:p>
          <w:p w14:paraId="188D23AD" w14:textId="77777777" w:rsidR="00131184" w:rsidRPr="00131184" w:rsidRDefault="00131184" w:rsidP="00F24BA4">
            <w:pPr>
              <w:numPr>
                <w:ilvl w:val="0"/>
                <w:numId w:val="8"/>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Kitas paslaugas, kurios viršija priežiūros paslaugų apimtį įtrauktą į nuomos kainą ar pagal savo esmę nėra priežiūros paslaugos.</w:t>
            </w:r>
          </w:p>
        </w:tc>
      </w:tr>
      <w:tr w:rsidR="00131184" w:rsidRPr="00D9148E" w14:paraId="12A7BC5B" w14:textId="77777777" w:rsidTr="00131184">
        <w:trPr>
          <w:tblCellSpacing w:w="0" w:type="dxa"/>
        </w:trPr>
        <w:tc>
          <w:tcPr>
            <w:tcW w:w="709" w:type="dxa"/>
            <w:tcBorders>
              <w:top w:val="nil"/>
              <w:left w:val="single" w:sz="6" w:space="0" w:color="000000"/>
              <w:bottom w:val="single" w:sz="6" w:space="0" w:color="000000"/>
              <w:right w:val="nil"/>
            </w:tcBorders>
            <w:tcMar>
              <w:top w:w="0" w:type="dxa"/>
              <w:left w:w="58" w:type="dxa"/>
              <w:bottom w:w="58" w:type="dxa"/>
              <w:right w:w="0" w:type="dxa"/>
            </w:tcMar>
            <w:hideMark/>
          </w:tcPr>
          <w:p w14:paraId="4ADF18F2" w14:textId="77777777" w:rsidR="00131184" w:rsidRPr="00131184" w:rsidRDefault="00131184" w:rsidP="00F24BA4">
            <w:pPr>
              <w:pStyle w:val="ListParagraph"/>
              <w:numPr>
                <w:ilvl w:val="0"/>
                <w:numId w:val="13"/>
              </w:numPr>
              <w:spacing w:after="0" w:afterAutospacing="1" w:line="240" w:lineRule="auto"/>
              <w:ind w:left="486"/>
              <w:rPr>
                <w:rFonts w:ascii="Times New Roman" w:eastAsia="Times New Roman" w:hAnsi="Times New Roman" w:cs="Times New Roman"/>
                <w:kern w:val="0"/>
                <w:lang w:eastAsia="en-GB"/>
                <w14:ligatures w14:val="none"/>
              </w:rPr>
            </w:pPr>
          </w:p>
        </w:tc>
        <w:tc>
          <w:tcPr>
            <w:tcW w:w="1701" w:type="dxa"/>
            <w:tcBorders>
              <w:top w:val="nil"/>
              <w:left w:val="single" w:sz="6" w:space="0" w:color="000000"/>
              <w:bottom w:val="single" w:sz="6" w:space="0" w:color="000000"/>
              <w:right w:val="nil"/>
            </w:tcBorders>
            <w:tcMar>
              <w:top w:w="0" w:type="dxa"/>
              <w:left w:w="58" w:type="dxa"/>
              <w:bottom w:w="58" w:type="dxa"/>
              <w:right w:w="0" w:type="dxa"/>
            </w:tcMar>
            <w:hideMark/>
          </w:tcPr>
          <w:p w14:paraId="6BCCCCC2" w14:textId="77777777" w:rsidR="00131184" w:rsidRPr="00131184" w:rsidRDefault="00131184" w:rsidP="00F24BA4">
            <w:pPr>
              <w:spacing w:after="0" w:line="240" w:lineRule="auto"/>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Užsakomųjų paslaugų teikimas</w:t>
            </w:r>
          </w:p>
        </w:tc>
        <w:tc>
          <w:tcPr>
            <w:tcW w:w="7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2AD82E4E" w14:textId="77777777" w:rsidR="00131184" w:rsidRPr="00131184" w:rsidRDefault="00131184" w:rsidP="00F24BA4">
            <w:pPr>
              <w:numPr>
                <w:ilvl w:val="0"/>
                <w:numId w:val="9"/>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Vystymo paslaugos teikiamos tik pagal atskirus Perkančiosios organizacijos Tiekėjui pateiktus Užsakymus Sutarties galiojimo metu.</w:t>
            </w:r>
          </w:p>
          <w:p w14:paraId="42753BAE" w14:textId="77777777" w:rsidR="00131184" w:rsidRPr="00131184" w:rsidRDefault="00131184" w:rsidP="00F24BA4">
            <w:pPr>
              <w:numPr>
                <w:ilvl w:val="0"/>
                <w:numId w:val="9"/>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Užsakomosios vystymo paslaugos turės būti teikiamos su Perkančiąja organizacija užsakyme nustatyta tvarka ir suderintais terminais.</w:t>
            </w:r>
          </w:p>
          <w:p w14:paraId="267F57C8" w14:textId="77777777" w:rsidR="00131184" w:rsidRPr="00131184" w:rsidRDefault="00131184" w:rsidP="00F24BA4">
            <w:pPr>
              <w:numPr>
                <w:ilvl w:val="0"/>
                <w:numId w:val="9"/>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Perkančiosios organizacijos patvirtintus ir Tiekėjui pateikus aprašytus reikalavimus, Tiekėjas turi pateikti aprašytų reikalavimų išskaidytą vertinimą pagal darbų tipą.</w:t>
            </w:r>
          </w:p>
          <w:p w14:paraId="7E5757C3" w14:textId="77777777" w:rsidR="00131184" w:rsidRPr="00131184" w:rsidRDefault="00131184" w:rsidP="00F24BA4">
            <w:pPr>
              <w:numPr>
                <w:ilvl w:val="0"/>
                <w:numId w:val="9"/>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Perkančioji organizacija gavusi darbų apimties vertinimą gali atsisakyti užsakyti Paslaugas.</w:t>
            </w:r>
          </w:p>
          <w:p w14:paraId="77CED84F" w14:textId="77777777" w:rsidR="00131184" w:rsidRPr="00131184" w:rsidRDefault="00131184" w:rsidP="00F24BA4">
            <w:pPr>
              <w:numPr>
                <w:ilvl w:val="0"/>
                <w:numId w:val="9"/>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Užsakymus Perkančioji organizacija pateikia raštu (el. paštu, pokyčių registravimo sistemoje ar kita rašytine suderinta forma). Vystymo paslaugų suteikimo terminai, apimtys yra iš anksto suderinami ir patvirtinami Užsakyme.</w:t>
            </w:r>
          </w:p>
          <w:p w14:paraId="554D544C" w14:textId="77777777" w:rsidR="00131184" w:rsidRPr="00131184" w:rsidRDefault="00131184" w:rsidP="00F24BA4">
            <w:pPr>
              <w:numPr>
                <w:ilvl w:val="0"/>
                <w:numId w:val="9"/>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lastRenderedPageBreak/>
              <w:t>Užsakymus Perkančioji organizacija Tiekėjui gali pateikti visą Sutarties galiojimo laikotarpį. Užsakymų skaičius ir užsakoma paslaugų apimtis viename užsakyme neribojamas.</w:t>
            </w:r>
          </w:p>
        </w:tc>
      </w:tr>
      <w:tr w:rsidR="00131184" w:rsidRPr="00D9148E" w14:paraId="5ABB9A11" w14:textId="77777777" w:rsidTr="00131184">
        <w:trPr>
          <w:tblCellSpacing w:w="0" w:type="dxa"/>
        </w:trPr>
        <w:tc>
          <w:tcPr>
            <w:tcW w:w="709" w:type="dxa"/>
            <w:tcBorders>
              <w:top w:val="nil"/>
              <w:left w:val="single" w:sz="6" w:space="0" w:color="000000"/>
              <w:bottom w:val="single" w:sz="6" w:space="0" w:color="000000"/>
              <w:right w:val="nil"/>
            </w:tcBorders>
            <w:tcMar>
              <w:top w:w="0" w:type="dxa"/>
              <w:left w:w="58" w:type="dxa"/>
              <w:bottom w:w="58" w:type="dxa"/>
              <w:right w:w="0" w:type="dxa"/>
            </w:tcMar>
            <w:hideMark/>
          </w:tcPr>
          <w:p w14:paraId="47F1B33E" w14:textId="77777777" w:rsidR="00131184" w:rsidRPr="00131184" w:rsidRDefault="00131184" w:rsidP="00F24BA4">
            <w:pPr>
              <w:pStyle w:val="ListParagraph"/>
              <w:numPr>
                <w:ilvl w:val="0"/>
                <w:numId w:val="13"/>
              </w:numPr>
              <w:spacing w:after="0" w:afterAutospacing="1" w:line="240" w:lineRule="auto"/>
              <w:ind w:left="486"/>
              <w:rPr>
                <w:rFonts w:ascii="Times New Roman" w:eastAsia="Times New Roman" w:hAnsi="Times New Roman" w:cs="Times New Roman"/>
                <w:kern w:val="0"/>
                <w:lang w:eastAsia="en-GB"/>
                <w14:ligatures w14:val="none"/>
              </w:rPr>
            </w:pPr>
          </w:p>
        </w:tc>
        <w:tc>
          <w:tcPr>
            <w:tcW w:w="1701" w:type="dxa"/>
            <w:tcBorders>
              <w:top w:val="nil"/>
              <w:left w:val="single" w:sz="6" w:space="0" w:color="000000"/>
              <w:bottom w:val="single" w:sz="6" w:space="0" w:color="000000"/>
              <w:right w:val="nil"/>
            </w:tcBorders>
            <w:tcMar>
              <w:top w:w="0" w:type="dxa"/>
              <w:left w:w="58" w:type="dxa"/>
              <w:bottom w:w="58" w:type="dxa"/>
              <w:right w:w="0" w:type="dxa"/>
            </w:tcMar>
            <w:hideMark/>
          </w:tcPr>
          <w:p w14:paraId="1E76369B" w14:textId="77777777" w:rsidR="00131184" w:rsidRPr="00131184" w:rsidRDefault="00131184" w:rsidP="00F24BA4">
            <w:pPr>
              <w:spacing w:after="0" w:line="240" w:lineRule="auto"/>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Atliktų darbų ataskaitos</w:t>
            </w:r>
          </w:p>
        </w:tc>
        <w:tc>
          <w:tcPr>
            <w:tcW w:w="7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38198D0F" w14:textId="77777777" w:rsidR="00131184" w:rsidRPr="00131184" w:rsidRDefault="00131184" w:rsidP="00F24BA4">
            <w:pPr>
              <w:numPr>
                <w:ilvl w:val="0"/>
                <w:numId w:val="10"/>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Jei bus užsakomos papildomos vystymo valandos Tiekėjas privalės parengti ir pateikti Perkančiajai organizacijai atliktų darbų aktą/ataskaitą, kuris yra pagrindas Perkančiajai organizacijai apmokėti už suteiktas paslaugas.</w:t>
            </w:r>
          </w:p>
          <w:p w14:paraId="47454D7E" w14:textId="77777777" w:rsidR="00131184" w:rsidRPr="00131184" w:rsidRDefault="00131184" w:rsidP="00F24BA4">
            <w:pPr>
              <w:numPr>
                <w:ilvl w:val="0"/>
                <w:numId w:val="10"/>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Užsakomosios vystymo paslaugoms darbų atlikimo aktai/ataskaitos turės būti teikiami su Perkančiąja organizacija suderinta tvarka po kiekvieno sutarto darbų paketo įvykdymo.</w:t>
            </w:r>
          </w:p>
          <w:p w14:paraId="48BABAD5" w14:textId="77777777" w:rsidR="00131184" w:rsidRPr="00131184" w:rsidRDefault="00131184" w:rsidP="00F24BA4">
            <w:pPr>
              <w:numPr>
                <w:ilvl w:val="0"/>
                <w:numId w:val="10"/>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Atliktų darbų akte/ataskaitoje turės būti nurodyti atlikti darbai ir jiems sugaištas laikas.</w:t>
            </w:r>
          </w:p>
          <w:p w14:paraId="3E9E51F9" w14:textId="77777777" w:rsidR="00131184" w:rsidRPr="00131184" w:rsidRDefault="00131184" w:rsidP="00F24BA4">
            <w:pPr>
              <w:numPr>
                <w:ilvl w:val="0"/>
                <w:numId w:val="10"/>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Atliktų darbų aktas/ataskaita yra sąskaitos faktūros išrašymo pagrindas.</w:t>
            </w:r>
          </w:p>
        </w:tc>
      </w:tr>
      <w:tr w:rsidR="00131184" w:rsidRPr="00D9148E" w14:paraId="363B963A" w14:textId="77777777" w:rsidTr="00131184">
        <w:trPr>
          <w:tblCellSpacing w:w="0" w:type="dxa"/>
        </w:trPr>
        <w:tc>
          <w:tcPr>
            <w:tcW w:w="709" w:type="dxa"/>
            <w:tcBorders>
              <w:top w:val="nil"/>
              <w:left w:val="single" w:sz="6" w:space="0" w:color="000000"/>
              <w:bottom w:val="single" w:sz="6" w:space="0" w:color="000000"/>
              <w:right w:val="nil"/>
            </w:tcBorders>
            <w:tcMar>
              <w:top w:w="0" w:type="dxa"/>
              <w:left w:w="58" w:type="dxa"/>
              <w:bottom w:w="58" w:type="dxa"/>
              <w:right w:w="0" w:type="dxa"/>
            </w:tcMar>
            <w:hideMark/>
          </w:tcPr>
          <w:p w14:paraId="6A126B7E" w14:textId="77777777" w:rsidR="00131184" w:rsidRPr="00131184" w:rsidRDefault="00131184" w:rsidP="00F24BA4">
            <w:pPr>
              <w:pStyle w:val="ListParagraph"/>
              <w:numPr>
                <w:ilvl w:val="0"/>
                <w:numId w:val="13"/>
              </w:numPr>
              <w:spacing w:after="0" w:afterAutospacing="1" w:line="240" w:lineRule="auto"/>
              <w:ind w:left="486"/>
              <w:rPr>
                <w:rFonts w:ascii="Times New Roman" w:eastAsia="Times New Roman" w:hAnsi="Times New Roman" w:cs="Times New Roman"/>
                <w:kern w:val="0"/>
                <w:lang w:eastAsia="en-GB"/>
                <w14:ligatures w14:val="none"/>
              </w:rPr>
            </w:pPr>
          </w:p>
        </w:tc>
        <w:tc>
          <w:tcPr>
            <w:tcW w:w="1701" w:type="dxa"/>
            <w:tcBorders>
              <w:top w:val="nil"/>
              <w:left w:val="single" w:sz="6" w:space="0" w:color="000000"/>
              <w:bottom w:val="single" w:sz="6" w:space="0" w:color="000000"/>
              <w:right w:val="nil"/>
            </w:tcBorders>
            <w:tcMar>
              <w:top w:w="0" w:type="dxa"/>
              <w:left w:w="58" w:type="dxa"/>
              <w:bottom w:w="58" w:type="dxa"/>
              <w:right w:w="0" w:type="dxa"/>
            </w:tcMar>
            <w:hideMark/>
          </w:tcPr>
          <w:p w14:paraId="5FB2C180" w14:textId="77777777" w:rsidR="00131184" w:rsidRPr="00131184" w:rsidRDefault="00131184" w:rsidP="00F24BA4">
            <w:pPr>
              <w:spacing w:after="0" w:line="240" w:lineRule="auto"/>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Bendrieji reikalavimai</w:t>
            </w:r>
          </w:p>
        </w:tc>
        <w:tc>
          <w:tcPr>
            <w:tcW w:w="7283"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14:paraId="67B62796" w14:textId="77777777" w:rsidR="00131184" w:rsidRPr="00131184" w:rsidRDefault="00131184" w:rsidP="00F24BA4">
            <w:pPr>
              <w:numPr>
                <w:ilvl w:val="0"/>
                <w:numId w:val="11"/>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funkcionalumų reikalavimai PĮ modernizavimui (sukūrimui) turės būti detalizuoti analizės–projektavimo metu.</w:t>
            </w:r>
          </w:p>
          <w:p w14:paraId="52198866" w14:textId="77777777" w:rsidR="00131184" w:rsidRPr="00131184" w:rsidRDefault="00131184" w:rsidP="00F24BA4">
            <w:pPr>
              <w:numPr>
                <w:ilvl w:val="0"/>
                <w:numId w:val="11"/>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PĮ pakeitimai turi tenkinti funkcionalumo kokybės atributus: tinkamumas (angl. suitability), tikslumas (angl. accuracy), bendradarbiavimas (angl. interoperability) ir apsauga</w:t>
            </w:r>
            <w:r w:rsidRPr="00131184">
              <w:rPr>
                <w:rFonts w:ascii="Times New Roman" w:eastAsia="Times New Roman" w:hAnsi="Times New Roman" w:cs="Times New Roman"/>
                <w:b/>
                <w:bCs/>
                <w:kern w:val="0"/>
                <w:lang w:eastAsia="en-GB"/>
                <w14:ligatures w14:val="none"/>
              </w:rPr>
              <w:t xml:space="preserve"> </w:t>
            </w:r>
            <w:r w:rsidRPr="00131184">
              <w:rPr>
                <w:rFonts w:ascii="Times New Roman" w:eastAsia="Times New Roman" w:hAnsi="Times New Roman" w:cs="Times New Roman"/>
                <w:kern w:val="0"/>
                <w:lang w:eastAsia="en-GB"/>
                <w14:ligatures w14:val="none"/>
              </w:rPr>
              <w:t>(angl. Security).</w:t>
            </w:r>
          </w:p>
          <w:p w14:paraId="389281E7" w14:textId="77777777" w:rsidR="00131184" w:rsidRPr="00131184" w:rsidRDefault="00131184" w:rsidP="00F24BA4">
            <w:p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Turi būti atliktas visų sukurtų, atnaujintų PĮ komponentų testavimas, užtikrinantis atskirų komponentų ir jų tarpusavio sąsajų atitikimą techninėje specifikacijoje nustatytiems reikalavimams.</w:t>
            </w:r>
          </w:p>
          <w:p w14:paraId="678E5461" w14:textId="77777777" w:rsidR="00131184" w:rsidRPr="00131184" w:rsidRDefault="00131184" w:rsidP="00F24BA4">
            <w:pPr>
              <w:numPr>
                <w:ilvl w:val="0"/>
                <w:numId w:val="12"/>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PĮ programinio kodo pataisymai ir naujos versijos galės būti diegiamos tik iš anksto su Perkančiosios organizacijos atstovais suderintu laiku;</w:t>
            </w:r>
          </w:p>
          <w:p w14:paraId="5A4808CB" w14:textId="77777777" w:rsidR="00131184" w:rsidRPr="00131184" w:rsidRDefault="00131184" w:rsidP="00F24BA4">
            <w:pPr>
              <w:numPr>
                <w:ilvl w:val="0"/>
                <w:numId w:val="12"/>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PĮ programinio kodo pataisymų ir naujų versijų diegimo tvarka:</w:t>
            </w:r>
          </w:p>
          <w:p w14:paraId="188641BE" w14:textId="77777777" w:rsidR="00131184" w:rsidRPr="00131184" w:rsidRDefault="00131184" w:rsidP="00F24BA4">
            <w:pPr>
              <w:numPr>
                <w:ilvl w:val="0"/>
                <w:numId w:val="12"/>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programinio kodo pataisymai ir naujos versijos turi būti įdiegtos testinėje aplinkoje;</w:t>
            </w:r>
          </w:p>
          <w:p w14:paraId="7194E25F" w14:textId="77777777" w:rsidR="00131184" w:rsidRPr="00131184" w:rsidRDefault="00131184" w:rsidP="00F24BA4">
            <w:pPr>
              <w:numPr>
                <w:ilvl w:val="0"/>
                <w:numId w:val="12"/>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diegimas gamybinėje PĮ aplinkoje turi būti atliekamas tik esant Perkančiosios organizacijos įgaliotų atstovų patvirtinimui.</w:t>
            </w:r>
          </w:p>
          <w:p w14:paraId="77BD5A3C" w14:textId="77777777" w:rsidR="00131184" w:rsidRPr="00131184" w:rsidRDefault="00131184" w:rsidP="00F24BA4">
            <w:pPr>
              <w:numPr>
                <w:ilvl w:val="0"/>
                <w:numId w:val="12"/>
              </w:numPr>
              <w:spacing w:after="0" w:line="240" w:lineRule="auto"/>
              <w:jc w:val="both"/>
              <w:rPr>
                <w:rFonts w:ascii="Times New Roman" w:eastAsia="Times New Roman" w:hAnsi="Times New Roman" w:cs="Times New Roman"/>
                <w:kern w:val="0"/>
                <w:lang w:eastAsia="en-GB"/>
                <w14:ligatures w14:val="none"/>
              </w:rPr>
            </w:pPr>
            <w:r w:rsidRPr="00131184">
              <w:rPr>
                <w:rFonts w:ascii="Times New Roman" w:eastAsia="Times New Roman" w:hAnsi="Times New Roman" w:cs="Times New Roman"/>
                <w:kern w:val="0"/>
                <w:lang w:eastAsia="en-GB"/>
                <w14:ligatures w14:val="none"/>
              </w:rPr>
              <w:t>Tiekėjas privalės pateikti atnaujintą ir aktualią PĮ dokumentaciją. Po naujos versijos diegimo tiekėjas privalės pateikti atnaujintus naudotojo ir administratoriaus vadovus.</w:t>
            </w:r>
          </w:p>
        </w:tc>
      </w:tr>
    </w:tbl>
    <w:p w14:paraId="26FEEE3D"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1D06525C" w14:textId="10140D83" w:rsid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6C571C3A" w14:textId="64E2C6E8"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6AF58ED1" w14:textId="6974CE47"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411A586D" w14:textId="2ABF3740"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04B74A13" w14:textId="06A17ABF"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7BEE9B91" w14:textId="0BD313FF"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3BB2DD1A" w14:textId="57D90284"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3B425426" w14:textId="7AA3199B"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5E1A4D69" w14:textId="3218A9F5"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773CFCA9" w14:textId="79B5C55E"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4D61AF98" w14:textId="379A2B38"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3078C462" w14:textId="2412B08E"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7C0BFFF7" w14:textId="73679266" w:rsidR="00F24BA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67685401" w14:textId="77777777" w:rsidR="00F24BA4" w:rsidRPr="00131184" w:rsidRDefault="00F24BA4" w:rsidP="00D9148E">
      <w:pPr>
        <w:spacing w:after="0" w:line="240" w:lineRule="auto"/>
        <w:jc w:val="center"/>
        <w:rPr>
          <w:rFonts w:ascii="Times New Roman" w:eastAsia="Times New Roman" w:hAnsi="Times New Roman" w:cs="Times New Roman"/>
          <w:kern w:val="0"/>
          <w:lang w:val="lt-LT" w:eastAsia="en-GB"/>
          <w14:ligatures w14:val="none"/>
        </w:rPr>
      </w:pPr>
    </w:p>
    <w:p w14:paraId="4336A879" w14:textId="77777777" w:rsidR="00F24BA4" w:rsidRDefault="00F24BA4" w:rsidP="00F24BA4">
      <w:pPr>
        <w:pStyle w:val="Standard"/>
        <w:jc w:val="center"/>
        <w:rPr>
          <w:rFonts w:ascii="Times New Roman" w:hAnsi="Times New Roman"/>
          <w:b/>
        </w:rPr>
      </w:pPr>
      <w:r>
        <w:rPr>
          <w:rFonts w:ascii="Times New Roman" w:hAnsi="Times New Roman"/>
          <w:b/>
        </w:rPr>
        <w:lastRenderedPageBreak/>
        <w:t>REIKALAVIMAI TIEKĖJO KVALIFIKACIJAI</w:t>
      </w:r>
    </w:p>
    <w:p w14:paraId="22E9F7CF" w14:textId="77777777" w:rsidR="00F24BA4" w:rsidRDefault="00F24BA4" w:rsidP="00F24BA4">
      <w:pPr>
        <w:pStyle w:val="Standard"/>
        <w:jc w:val="center"/>
        <w:rPr>
          <w:rFonts w:ascii="Times New Roman" w:hAnsi="Times New Roman"/>
          <w:b/>
        </w:rPr>
      </w:pPr>
    </w:p>
    <w:tbl>
      <w:tblPr>
        <w:tblW w:w="9577" w:type="dxa"/>
        <w:tblLayout w:type="fixed"/>
        <w:tblCellMar>
          <w:left w:w="10" w:type="dxa"/>
          <w:right w:w="10" w:type="dxa"/>
        </w:tblCellMar>
        <w:tblLook w:val="0000" w:firstRow="0" w:lastRow="0" w:firstColumn="0" w:lastColumn="0" w:noHBand="0" w:noVBand="0"/>
      </w:tblPr>
      <w:tblGrid>
        <w:gridCol w:w="563"/>
        <w:gridCol w:w="9014"/>
      </w:tblGrid>
      <w:tr w:rsidR="00F24BA4" w14:paraId="79288E24" w14:textId="77777777" w:rsidTr="00451EF3">
        <w:tblPrEx>
          <w:tblCellMar>
            <w:top w:w="0" w:type="dxa"/>
            <w:bottom w:w="0" w:type="dxa"/>
          </w:tblCellMar>
        </w:tblPrEx>
        <w:tc>
          <w:tcPr>
            <w:tcW w:w="56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4D48F7A" w14:textId="77777777" w:rsidR="00F24BA4" w:rsidRDefault="00F24BA4" w:rsidP="00451EF3">
            <w:pPr>
              <w:pStyle w:val="TableContents"/>
              <w:rPr>
                <w:rFonts w:ascii="Times New Roman" w:hAnsi="Times New Roman"/>
              </w:rPr>
            </w:pPr>
            <w:r>
              <w:rPr>
                <w:rFonts w:ascii="Times New Roman" w:hAnsi="Times New Roman"/>
              </w:rPr>
              <w:t>1.</w:t>
            </w:r>
          </w:p>
        </w:tc>
        <w:tc>
          <w:tcPr>
            <w:tcW w:w="901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990F58A" w14:textId="4AD8DA5A" w:rsidR="00F24BA4" w:rsidRPr="00F24BA4" w:rsidRDefault="00F24BA4" w:rsidP="00F24BA4">
            <w:pPr>
              <w:pStyle w:val="Standard"/>
              <w:ind w:left="57" w:right="28"/>
              <w:jc w:val="both"/>
              <w:rPr>
                <w:rFonts w:ascii="Times New Roman" w:hAnsi="Times New Roman" w:cs="Times New Roman"/>
              </w:rPr>
            </w:pPr>
            <w:r w:rsidRPr="00F24BA4">
              <w:rPr>
                <w:rFonts w:ascii="Times New Roman" w:hAnsi="Times New Roman" w:cs="Times New Roman"/>
              </w:rPr>
              <w:t xml:space="preserve">Tiekėjas per pastaruosius 5 (penkerius) metus iki pasiūlymų pateikimo termino pabaigos pagal vieną ar daugiau sutarčių yra pristatęs ir įdiegęs telemetrinės transporto kontrolės  įrangos ir (ar) suteikęs telemetrinės transporto kontrolės paslaugų ne mažiau kaip už </w:t>
            </w:r>
            <w:r w:rsidRPr="00F24BA4">
              <w:rPr>
                <w:rFonts w:ascii="Times New Roman" w:hAnsi="Times New Roman" w:cs="Times New Roman"/>
                <w:i/>
              </w:rPr>
              <w:t>(įrašoma suma</w:t>
            </w:r>
            <w:r>
              <w:rPr>
                <w:rFonts w:ascii="Times New Roman" w:hAnsi="Times New Roman" w:cs="Times New Roman"/>
                <w:i/>
              </w:rPr>
              <w:t xml:space="preserve"> (30 proc. nuo planuojamos vertės)</w:t>
            </w:r>
            <w:bookmarkStart w:id="0" w:name="_GoBack"/>
            <w:bookmarkEnd w:id="0"/>
            <w:r>
              <w:rPr>
                <w:rFonts w:ascii="Times New Roman" w:hAnsi="Times New Roman" w:cs="Times New Roman"/>
                <w:i/>
              </w:rPr>
              <w:t>)</w:t>
            </w:r>
            <w:r w:rsidRPr="00F24BA4">
              <w:rPr>
                <w:rFonts w:ascii="Times New Roman" w:hAnsi="Times New Roman" w:cs="Times New Roman"/>
              </w:rPr>
              <w:t xml:space="preserve"> Eur be PVM.</w:t>
            </w:r>
          </w:p>
        </w:tc>
      </w:tr>
    </w:tbl>
    <w:p w14:paraId="16924FBE"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0609E7F8"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4514D48F" w14:textId="77777777" w:rsidR="00131184" w:rsidRPr="00131184" w:rsidRDefault="00131184" w:rsidP="00D9148E">
      <w:pPr>
        <w:spacing w:after="0" w:line="240" w:lineRule="auto"/>
        <w:jc w:val="center"/>
        <w:rPr>
          <w:rFonts w:ascii="Times New Roman" w:eastAsia="Times New Roman" w:hAnsi="Times New Roman" w:cs="Times New Roman"/>
          <w:kern w:val="0"/>
          <w:lang w:val="lt-LT" w:eastAsia="en-GB"/>
          <w14:ligatures w14:val="none"/>
        </w:rPr>
      </w:pPr>
    </w:p>
    <w:p w14:paraId="5136F422" w14:textId="77777777" w:rsidR="00131184" w:rsidRPr="00D9148E" w:rsidRDefault="00131184" w:rsidP="00D9148E">
      <w:pPr>
        <w:spacing w:line="240" w:lineRule="auto"/>
        <w:rPr>
          <w:rFonts w:ascii="Times New Roman" w:hAnsi="Times New Roman" w:cs="Times New Roman"/>
        </w:rPr>
      </w:pPr>
    </w:p>
    <w:sectPr w:rsidR="00131184" w:rsidRPr="00D91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E38"/>
    <w:multiLevelType w:val="multilevel"/>
    <w:tmpl w:val="47F2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F0D35"/>
    <w:multiLevelType w:val="multilevel"/>
    <w:tmpl w:val="D87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705E5"/>
    <w:multiLevelType w:val="multilevel"/>
    <w:tmpl w:val="C368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B3278"/>
    <w:multiLevelType w:val="multilevel"/>
    <w:tmpl w:val="D3D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B734E"/>
    <w:multiLevelType w:val="multilevel"/>
    <w:tmpl w:val="877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60B1E"/>
    <w:multiLevelType w:val="multilevel"/>
    <w:tmpl w:val="72FC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26881"/>
    <w:multiLevelType w:val="multilevel"/>
    <w:tmpl w:val="F91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11195"/>
    <w:multiLevelType w:val="multilevel"/>
    <w:tmpl w:val="6ABA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B3329"/>
    <w:multiLevelType w:val="multilevel"/>
    <w:tmpl w:val="C9A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8072E"/>
    <w:multiLevelType w:val="multilevel"/>
    <w:tmpl w:val="33C8C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D3D17"/>
    <w:multiLevelType w:val="multilevel"/>
    <w:tmpl w:val="A38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66843"/>
    <w:multiLevelType w:val="multilevel"/>
    <w:tmpl w:val="33C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A3F05"/>
    <w:multiLevelType w:val="hybridMultilevel"/>
    <w:tmpl w:val="664045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7"/>
  </w:num>
  <w:num w:numId="3">
    <w:abstractNumId w:val="4"/>
  </w:num>
  <w:num w:numId="4">
    <w:abstractNumId w:val="10"/>
  </w:num>
  <w:num w:numId="5">
    <w:abstractNumId w:val="1"/>
  </w:num>
  <w:num w:numId="6">
    <w:abstractNumId w:val="9"/>
  </w:num>
  <w:num w:numId="7">
    <w:abstractNumId w:val="0"/>
  </w:num>
  <w:num w:numId="8">
    <w:abstractNumId w:val="5"/>
  </w:num>
  <w:num w:numId="9">
    <w:abstractNumId w:val="8"/>
  </w:num>
  <w:num w:numId="10">
    <w:abstractNumId w:val="2"/>
  </w:num>
  <w:num w:numId="11">
    <w:abstractNumId w:val="11"/>
  </w:num>
  <w:num w:numId="12">
    <w:abstractNumId w:val="6"/>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84"/>
    <w:rsid w:val="00131184"/>
    <w:rsid w:val="00637453"/>
    <w:rsid w:val="00744687"/>
    <w:rsid w:val="00D9148E"/>
    <w:rsid w:val="00F24B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6A8F"/>
  <w15:chartTrackingRefBased/>
  <w15:docId w15:val="{7E5DBA7E-AE01-3D4E-B048-56B4060F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184"/>
    <w:rPr>
      <w:rFonts w:eastAsiaTheme="majorEastAsia" w:cstheme="majorBidi"/>
      <w:color w:val="272727" w:themeColor="text1" w:themeTint="D8"/>
    </w:rPr>
  </w:style>
  <w:style w:type="paragraph" w:styleId="Title">
    <w:name w:val="Title"/>
    <w:basedOn w:val="Normal"/>
    <w:next w:val="Normal"/>
    <w:link w:val="TitleChar"/>
    <w:uiPriority w:val="10"/>
    <w:qFormat/>
    <w:rsid w:val="00131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184"/>
    <w:pPr>
      <w:spacing w:before="160"/>
      <w:jc w:val="center"/>
    </w:pPr>
    <w:rPr>
      <w:i/>
      <w:iCs/>
      <w:color w:val="404040" w:themeColor="text1" w:themeTint="BF"/>
    </w:rPr>
  </w:style>
  <w:style w:type="character" w:customStyle="1" w:styleId="QuoteChar">
    <w:name w:val="Quote Char"/>
    <w:basedOn w:val="DefaultParagraphFont"/>
    <w:link w:val="Quote"/>
    <w:uiPriority w:val="29"/>
    <w:rsid w:val="00131184"/>
    <w:rPr>
      <w:i/>
      <w:iCs/>
      <w:color w:val="404040" w:themeColor="text1" w:themeTint="BF"/>
    </w:rPr>
  </w:style>
  <w:style w:type="paragraph" w:styleId="ListParagraph">
    <w:name w:val="List Paragraph"/>
    <w:basedOn w:val="Normal"/>
    <w:uiPriority w:val="34"/>
    <w:qFormat/>
    <w:rsid w:val="00131184"/>
    <w:pPr>
      <w:ind w:left="720"/>
      <w:contextualSpacing/>
    </w:pPr>
  </w:style>
  <w:style w:type="character" w:styleId="IntenseEmphasis">
    <w:name w:val="Intense Emphasis"/>
    <w:basedOn w:val="DefaultParagraphFont"/>
    <w:uiPriority w:val="21"/>
    <w:qFormat/>
    <w:rsid w:val="00131184"/>
    <w:rPr>
      <w:i/>
      <w:iCs/>
      <w:color w:val="0F4761" w:themeColor="accent1" w:themeShade="BF"/>
    </w:rPr>
  </w:style>
  <w:style w:type="paragraph" w:styleId="IntenseQuote">
    <w:name w:val="Intense Quote"/>
    <w:basedOn w:val="Normal"/>
    <w:next w:val="Normal"/>
    <w:link w:val="IntenseQuoteChar"/>
    <w:uiPriority w:val="30"/>
    <w:qFormat/>
    <w:rsid w:val="0013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184"/>
    <w:rPr>
      <w:i/>
      <w:iCs/>
      <w:color w:val="0F4761" w:themeColor="accent1" w:themeShade="BF"/>
    </w:rPr>
  </w:style>
  <w:style w:type="character" w:styleId="IntenseReference">
    <w:name w:val="Intense Reference"/>
    <w:basedOn w:val="DefaultParagraphFont"/>
    <w:uiPriority w:val="32"/>
    <w:qFormat/>
    <w:rsid w:val="00131184"/>
    <w:rPr>
      <w:b/>
      <w:bCs/>
      <w:smallCaps/>
      <w:color w:val="0F4761" w:themeColor="accent1" w:themeShade="BF"/>
      <w:spacing w:val="5"/>
    </w:rPr>
  </w:style>
  <w:style w:type="paragraph" w:styleId="NormalWeb">
    <w:name w:val="Normal (Web)"/>
    <w:basedOn w:val="Normal"/>
    <w:uiPriority w:val="99"/>
    <w:unhideWhenUsed/>
    <w:rsid w:val="00131184"/>
    <w:pPr>
      <w:spacing w:before="100" w:beforeAutospacing="1" w:after="144" w:line="288" w:lineRule="auto"/>
    </w:pPr>
    <w:rPr>
      <w:rFonts w:ascii="Times New Roman" w:eastAsia="Times New Roman" w:hAnsi="Times New Roman" w:cs="Times New Roman"/>
      <w:kern w:val="0"/>
      <w:lang w:eastAsia="en-GB"/>
      <w14:ligatures w14:val="none"/>
    </w:rPr>
  </w:style>
  <w:style w:type="paragraph" w:customStyle="1" w:styleId="Standard">
    <w:name w:val="Standard"/>
    <w:rsid w:val="00F24BA4"/>
    <w:pPr>
      <w:suppressAutoHyphens/>
      <w:autoSpaceDN w:val="0"/>
      <w:spacing w:after="0" w:line="240" w:lineRule="auto"/>
      <w:textAlignment w:val="baseline"/>
    </w:pPr>
    <w:rPr>
      <w:rFonts w:ascii="Liberation Serif" w:eastAsia="SimSun" w:hAnsi="Liberation Serif" w:cs="Mangal"/>
      <w:kern w:val="3"/>
      <w:lang w:val="lt-LT" w:eastAsia="zh-CN" w:bidi="hi-IN"/>
      <w14:ligatures w14:val="none"/>
    </w:rPr>
  </w:style>
  <w:style w:type="paragraph" w:customStyle="1" w:styleId="TableContents">
    <w:name w:val="Table Contents"/>
    <w:basedOn w:val="Standard"/>
    <w:rsid w:val="00F24BA4"/>
    <w:pPr>
      <w:suppressLineNumbers/>
    </w:pPr>
  </w:style>
  <w:style w:type="paragraph" w:customStyle="1" w:styleId="Comment">
    <w:name w:val="Comment"/>
    <w:basedOn w:val="Standard"/>
    <w:rsid w:val="00F24BA4"/>
    <w:pPr>
      <w:spacing w:before="56"/>
      <w:ind w:left="57" w:right="57"/>
    </w:pPr>
    <w:rPr>
      <w:sz w:val="20"/>
      <w:szCs w:val="20"/>
    </w:rPr>
  </w:style>
  <w:style w:type="character" w:styleId="CommentReference">
    <w:name w:val="annotation reference"/>
    <w:basedOn w:val="DefaultParagraphFont"/>
    <w:rsid w:val="00F24BA4"/>
    <w:rPr>
      <w:sz w:val="16"/>
      <w:szCs w:val="16"/>
    </w:rPr>
  </w:style>
  <w:style w:type="paragraph" w:styleId="BalloonText">
    <w:name w:val="Balloon Text"/>
    <w:basedOn w:val="Normal"/>
    <w:link w:val="BalloonTextChar"/>
    <w:uiPriority w:val="99"/>
    <w:semiHidden/>
    <w:unhideWhenUsed/>
    <w:rsid w:val="00F24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18405</Words>
  <Characters>10491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Songailaitė</dc:creator>
  <cp:keywords/>
  <dc:description/>
  <cp:lastModifiedBy>Gintarė Kanišauskaitė</cp:lastModifiedBy>
  <cp:revision>3</cp:revision>
  <dcterms:created xsi:type="dcterms:W3CDTF">2025-12-18T15:05:00Z</dcterms:created>
  <dcterms:modified xsi:type="dcterms:W3CDTF">2025-12-18T15:10:00Z</dcterms:modified>
</cp:coreProperties>
</file>