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14FAB" w14:textId="77777777" w:rsidR="00E86D1B" w:rsidRPr="00C258CF" w:rsidRDefault="00D72379" w:rsidP="00D72379">
      <w:pPr>
        <w:tabs>
          <w:tab w:val="center" w:pos="4680"/>
          <w:tab w:val="right" w:pos="9360"/>
        </w:tabs>
        <w:jc w:val="right"/>
        <w:rPr>
          <w:rFonts w:ascii="Verdana" w:hAnsi="Verdana"/>
          <w:szCs w:val="24"/>
        </w:rPr>
      </w:pPr>
      <w:r w:rsidRPr="00C258CF">
        <w:rPr>
          <w:rFonts w:ascii="Verdana" w:hAnsi="Verdana"/>
          <w:szCs w:val="24"/>
        </w:rPr>
        <w:t xml:space="preserve">Pirkimo sąlygų </w:t>
      </w:r>
      <w:r w:rsidR="0067393C" w:rsidRPr="00C258CF">
        <w:rPr>
          <w:rFonts w:ascii="Verdana" w:hAnsi="Verdana"/>
          <w:szCs w:val="24"/>
        </w:rPr>
        <w:t>2</w:t>
      </w:r>
      <w:r w:rsidRPr="00C258CF">
        <w:rPr>
          <w:rFonts w:ascii="Verdana" w:hAnsi="Verdana"/>
          <w:szCs w:val="24"/>
        </w:rPr>
        <w:t xml:space="preserve"> priedas</w:t>
      </w:r>
    </w:p>
    <w:p w14:paraId="036C45E5" w14:textId="0E72C376" w:rsidR="00D72379" w:rsidRPr="00C258CF" w:rsidRDefault="00D72379" w:rsidP="00D72379">
      <w:pPr>
        <w:tabs>
          <w:tab w:val="center" w:pos="4680"/>
          <w:tab w:val="right" w:pos="9360"/>
        </w:tabs>
        <w:jc w:val="right"/>
        <w:rPr>
          <w:rFonts w:ascii="Verdana" w:hAnsi="Verdana"/>
          <w:szCs w:val="24"/>
        </w:rPr>
      </w:pPr>
      <w:r w:rsidRPr="00C258CF">
        <w:rPr>
          <w:rFonts w:ascii="Verdana" w:hAnsi="Verdana"/>
          <w:szCs w:val="24"/>
        </w:rPr>
        <w:t xml:space="preserve"> „Sutarties projektas“</w:t>
      </w:r>
    </w:p>
    <w:p w14:paraId="1A7F6B5D" w14:textId="77777777" w:rsidR="00B767F3" w:rsidRPr="00C258CF" w:rsidRDefault="00B767F3" w:rsidP="00D72379">
      <w:pPr>
        <w:tabs>
          <w:tab w:val="center" w:pos="4680"/>
          <w:tab w:val="right" w:pos="9360"/>
        </w:tabs>
        <w:jc w:val="right"/>
        <w:rPr>
          <w:rFonts w:ascii="Verdana" w:hAnsi="Verdana"/>
          <w:szCs w:val="24"/>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rsidRPr="000D7DDA" w14:paraId="079717A4" w14:textId="77777777" w:rsidTr="004C1825">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470" w:type="dxa"/>
            <w:gridSpan w:val="3"/>
          </w:tcPr>
          <w:p w14:paraId="249F1FE3" w14:textId="6BE4576F" w:rsidR="00B767F3" w:rsidRPr="000D7DDA" w:rsidRDefault="00B60276">
            <w:pPr>
              <w:jc w:val="both"/>
              <w:rPr>
                <w:rFonts w:ascii="Verdana" w:hAnsi="Verdana"/>
                <w:kern w:val="2"/>
                <w:szCs w:val="24"/>
              </w:rPr>
            </w:pPr>
            <w:r w:rsidRPr="000D7DDA">
              <w:rPr>
                <w:rFonts w:ascii="Verdana" w:hAnsi="Verdana"/>
                <w:kern w:val="2"/>
                <w:szCs w:val="24"/>
              </w:rPr>
              <w:t>Medicininė įranga</w:t>
            </w:r>
            <w:r w:rsidR="00EF38D8">
              <w:rPr>
                <w:rFonts w:ascii="Verdana" w:hAnsi="Verdana"/>
                <w:kern w:val="2"/>
                <w:szCs w:val="24"/>
              </w:rPr>
              <w:t xml:space="preserve"> </w:t>
            </w:r>
            <w:r w:rsidRPr="000D7DDA">
              <w:rPr>
                <w:rFonts w:ascii="Verdana" w:hAnsi="Verdana"/>
                <w:kern w:val="2"/>
                <w:szCs w:val="24"/>
              </w:rPr>
              <w:t>(</w:t>
            </w:r>
            <w:r w:rsidRPr="000D7DDA">
              <w:rPr>
                <w:rFonts w:ascii="Verdana" w:hAnsi="Verdana"/>
                <w:color w:val="4472C4"/>
                <w:kern w:val="2"/>
                <w:szCs w:val="24"/>
              </w:rPr>
              <w:t>nurodyti laimėtos pirkimo objekto dalies numerį ir pavadinimą</w:t>
            </w:r>
            <w:r w:rsidRPr="000D7DDA">
              <w:rPr>
                <w:rFonts w:ascii="Verdana" w:hAnsi="Verdana"/>
                <w:kern w:val="2"/>
                <w:szCs w:val="24"/>
              </w:rPr>
              <w:t>)</w:t>
            </w:r>
          </w:p>
        </w:tc>
      </w:tr>
      <w:tr w:rsidR="00B767F3" w:rsidRPr="000D7DDA" w14:paraId="56375B6F" w14:textId="77777777" w:rsidTr="004C1825">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061ACF8" w:rsidR="00B767F3" w:rsidRPr="000D7DDA" w:rsidRDefault="00B60276">
            <w:pPr>
              <w:jc w:val="both"/>
              <w:rPr>
                <w:rFonts w:ascii="Verdana" w:hAnsi="Verdana"/>
                <w:kern w:val="2"/>
                <w:szCs w:val="24"/>
              </w:rPr>
            </w:pPr>
            <w:r w:rsidRPr="000D7DDA">
              <w:rPr>
                <w:rFonts w:ascii="Verdana" w:hAnsi="Verdana"/>
                <w:kern w:val="2"/>
                <w:szCs w:val="24"/>
              </w:rPr>
              <w:t>2025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2931"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skiltys pildomos įterpiant kiekvieno </w:t>
            </w:r>
            <w:r w:rsidRPr="000D7DDA">
              <w:rPr>
                <w:rFonts w:ascii="Verdana" w:hAnsi="Verdana"/>
                <w:color w:val="0070C0"/>
                <w:kern w:val="2"/>
                <w:szCs w:val="24"/>
              </w:rPr>
              <w:lastRenderedPageBreak/>
              <w:t>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113"/>
        <w:gridCol w:w="6"/>
        <w:gridCol w:w="1778"/>
        <w:gridCol w:w="4874"/>
      </w:tblGrid>
      <w:tr w:rsidR="00B767F3" w:rsidRPr="000D7DDA" w14:paraId="3EFEA890" w14:textId="77777777" w:rsidTr="004C1825">
        <w:trPr>
          <w:trHeight w:val="300"/>
        </w:trPr>
        <w:tc>
          <w:tcPr>
            <w:tcW w:w="9918"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652" w:type="dxa"/>
            <w:gridSpan w:val="2"/>
            <w:tcBorders>
              <w:top w:val="single" w:sz="4" w:space="0" w:color="auto"/>
              <w:left w:val="single" w:sz="4" w:space="0" w:color="auto"/>
              <w:bottom w:val="single" w:sz="4" w:space="0" w:color="auto"/>
              <w:right w:val="single" w:sz="4" w:space="0" w:color="auto"/>
            </w:tcBorders>
          </w:tcPr>
          <w:p w14:paraId="162AD7EC" w14:textId="3B4854E9" w:rsidR="00601DE2" w:rsidRPr="00B46E30" w:rsidRDefault="003920FB" w:rsidP="004C517D">
            <w:pPr>
              <w:jc w:val="both"/>
              <w:rPr>
                <w:rFonts w:ascii="Verdana" w:hAnsi="Verdana"/>
                <w:kern w:val="2"/>
              </w:rPr>
            </w:pPr>
            <w:r w:rsidRPr="00064F5E">
              <w:rPr>
                <w:rFonts w:ascii="Verdana" w:hAnsi="Verdana"/>
                <w:kern w:val="2"/>
              </w:rPr>
              <w:t>A</w:t>
            </w:r>
            <w:r w:rsidRPr="00064F5E">
              <w:rPr>
                <w:rFonts w:ascii="Verdana" w:hAnsi="Verdana"/>
              </w:rPr>
              <w:t>nesteziologijos ir operacijų</w:t>
            </w:r>
            <w:r w:rsidR="00601DE2" w:rsidRPr="00064F5E">
              <w:rPr>
                <w:rFonts w:ascii="Verdana" w:hAnsi="Verdana"/>
                <w:kern w:val="2"/>
              </w:rPr>
              <w:t xml:space="preserve"> skyriaus </w:t>
            </w:r>
            <w:r w:rsidR="00064F5E" w:rsidRPr="00064F5E">
              <w:rPr>
                <w:rFonts w:ascii="Verdana" w:hAnsi="Verdana"/>
                <w:kern w:val="2"/>
              </w:rPr>
              <w:t>v</w:t>
            </w:r>
            <w:r w:rsidR="00064F5E" w:rsidRPr="00064F5E">
              <w:rPr>
                <w:rFonts w:ascii="Verdana" w:hAnsi="Verdana"/>
              </w:rPr>
              <w:t>yresnioji slaugos administratorė – bendrosios praktikos slaugytoja</w:t>
            </w:r>
            <w:r w:rsidR="00601DE2" w:rsidRPr="003920FB">
              <w:rPr>
                <w:rFonts w:ascii="Verdana" w:hAnsi="Verdana"/>
                <w:kern w:val="2"/>
              </w:rPr>
              <w:t xml:space="preserve"> </w:t>
            </w:r>
            <w:r w:rsidR="007662C0" w:rsidRPr="003920FB">
              <w:rPr>
                <w:rFonts w:ascii="Verdana" w:hAnsi="Verdana"/>
                <w:kern w:val="2"/>
              </w:rPr>
              <w:t>Jūratė Noreikevičienė</w:t>
            </w:r>
            <w:r w:rsidR="00601DE2" w:rsidRPr="003920FB">
              <w:rPr>
                <w:rFonts w:ascii="Verdana" w:hAnsi="Verdana"/>
                <w:kern w:val="2"/>
              </w:rPr>
              <w:t>, +370 6</w:t>
            </w:r>
            <w:r w:rsidR="007662C0" w:rsidRPr="003920FB">
              <w:rPr>
                <w:rFonts w:ascii="Verdana" w:hAnsi="Verdana"/>
                <w:kern w:val="2"/>
              </w:rPr>
              <w:t>9</w:t>
            </w:r>
            <w:r w:rsidR="007662C0" w:rsidRPr="003920FB">
              <w:rPr>
                <w:rFonts w:ascii="Verdana" w:hAnsi="Verdana"/>
              </w:rPr>
              <w:t>8</w:t>
            </w:r>
            <w:r w:rsidR="00601DE2" w:rsidRPr="003920FB">
              <w:rPr>
                <w:rFonts w:ascii="Verdana" w:hAnsi="Verdana"/>
                <w:kern w:val="2"/>
              </w:rPr>
              <w:t xml:space="preserve"> 05</w:t>
            </w:r>
            <w:r w:rsidR="007662C0" w:rsidRPr="003920FB">
              <w:rPr>
                <w:rFonts w:ascii="Verdana" w:hAnsi="Verdana"/>
                <w:kern w:val="2"/>
              </w:rPr>
              <w:t>7</w:t>
            </w:r>
            <w:r w:rsidR="007662C0" w:rsidRPr="003920FB">
              <w:rPr>
                <w:rFonts w:ascii="Verdana" w:hAnsi="Verdana"/>
              </w:rPr>
              <w:t>47</w:t>
            </w:r>
            <w:r w:rsidR="00601DE2">
              <w:rPr>
                <w:rFonts w:ascii="Verdana" w:hAnsi="Verdana"/>
                <w:color w:val="4472C4"/>
                <w:kern w:val="2"/>
              </w:rPr>
              <w:t xml:space="preserve">, </w:t>
            </w:r>
            <w:hyperlink r:id="rId12" w:history="1">
              <w:r w:rsidR="007662C0" w:rsidRPr="005043AC">
                <w:rPr>
                  <w:rStyle w:val="Hyperlink"/>
                </w:rPr>
                <w:t>j</w:t>
              </w:r>
              <w:r w:rsidR="007662C0" w:rsidRPr="005043AC">
                <w:rPr>
                  <w:rStyle w:val="Hyperlink"/>
                  <w:rFonts w:ascii="Verdana" w:hAnsi="Verdana"/>
                  <w:kern w:val="2"/>
                </w:rPr>
                <w:t>.noreikeviciene@marijampolesligonine.lt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4C517D">
            <w:pPr>
              <w:jc w:val="both"/>
              <w:rPr>
                <w:rFonts w:ascii="Verdana" w:hAnsi="Verdana" w:cs="Arial"/>
              </w:rPr>
            </w:pPr>
            <w:r w:rsidRPr="001112D3">
              <w:rPr>
                <w:rFonts w:ascii="Verdana" w:hAnsi="Verdana" w:cs="Arial"/>
              </w:rPr>
              <w:t>Finansų ir ekonomikos skyriaus buhalterė Daiva</w:t>
            </w:r>
            <w:r w:rsidRPr="001112D3">
              <w:rPr>
                <w:rFonts w:ascii="Verdana" w:hAnsi="Verdana"/>
              </w:rPr>
              <w:br/>
            </w:r>
            <w:r w:rsidRPr="001112D3">
              <w:rPr>
                <w:rFonts w:ascii="Verdana" w:hAnsi="Verdana" w:cs="Arial"/>
              </w:rPr>
              <w:t>Šmigelskienė, +370 343 70737,</w:t>
            </w:r>
            <w:r w:rsidRPr="001112D3">
              <w:rPr>
                <w:rFonts w:ascii="Verdana" w:hAnsi="Verdana"/>
              </w:rPr>
              <w:br/>
            </w:r>
            <w:hyperlink r:id="rId13" w:history="1">
              <w:r w:rsidRPr="001112D3">
                <w:rPr>
                  <w:rStyle w:val="Hyperlink"/>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65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4C1825">
        <w:trPr>
          <w:trHeight w:val="300"/>
        </w:trPr>
        <w:tc>
          <w:tcPr>
            <w:tcW w:w="9918"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652" w:type="dxa"/>
            <w:gridSpan w:val="2"/>
            <w:tcBorders>
              <w:top w:val="single" w:sz="4" w:space="0" w:color="auto"/>
              <w:left w:val="single" w:sz="4" w:space="0" w:color="auto"/>
              <w:bottom w:val="single" w:sz="4" w:space="0" w:color="auto"/>
              <w:right w:val="single" w:sz="4" w:space="0" w:color="auto"/>
            </w:tcBorders>
          </w:tcPr>
          <w:p w14:paraId="5EA17B35" w14:textId="63EED0CD"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0D7DDA">
              <w:rPr>
                <w:rFonts w:ascii="Verdana" w:hAnsi="Verdana"/>
                <w:color w:val="4472C4"/>
                <w:kern w:val="2"/>
                <w:szCs w:val="24"/>
              </w:rPr>
              <w:t>(nurodyti laimėtos pirkimo objekto dalies numerį, pavadinimą ir prekių kiekį)</w:t>
            </w:r>
            <w:r w:rsidRPr="000D7DDA">
              <w:rPr>
                <w:rFonts w:ascii="Verdana" w:hAnsi="Verdana"/>
                <w:color w:val="000000"/>
                <w:kern w:val="2"/>
                <w:szCs w:val="24"/>
              </w:rPr>
              <w:t xml:space="preserve"> (toliau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652" w:type="dxa"/>
            <w:gridSpan w:val="2"/>
            <w:tcBorders>
              <w:top w:val="single" w:sz="4" w:space="0" w:color="auto"/>
              <w:left w:val="single" w:sz="4" w:space="0" w:color="auto"/>
              <w:bottom w:val="single" w:sz="4" w:space="0" w:color="auto"/>
              <w:right w:val="single" w:sz="4" w:space="0" w:color="auto"/>
            </w:tcBorders>
          </w:tcPr>
          <w:p w14:paraId="1E986A9B" w14:textId="754799BE" w:rsidR="00B767F3" w:rsidRPr="007529BE" w:rsidRDefault="00DA02A1">
            <w:pPr>
              <w:rPr>
                <w:rFonts w:ascii="Verdana" w:hAnsi="Verdana"/>
                <w:kern w:val="2"/>
                <w:szCs w:val="24"/>
                <w:lang w:val="en-US"/>
              </w:rPr>
            </w:pPr>
            <w:r w:rsidRPr="000D7DDA">
              <w:rPr>
                <w:rFonts w:ascii="Verdana" w:hAnsi="Verdana"/>
                <w:kern w:val="2"/>
                <w:szCs w:val="24"/>
              </w:rPr>
              <w:t>Medicininė įranga</w:t>
            </w:r>
            <w:r w:rsidR="004C1825">
              <w:rPr>
                <w:rFonts w:ascii="Verdana" w:hAnsi="Verdana"/>
                <w:kern w:val="2"/>
                <w:szCs w:val="24"/>
              </w:rPr>
              <w:t>,</w:t>
            </w:r>
            <w:r w:rsidR="004C1825">
              <w:rPr>
                <w:rFonts w:ascii="Verdana" w:eastAsia="Calibri" w:hAnsi="Verdana" w:cs="TimesNewRomanPSMT"/>
                <w:szCs w:val="24"/>
              </w:rPr>
              <w:t xml:space="preserve"> Pirkimo Nr.</w:t>
            </w:r>
            <w:r w:rsidR="00DC5290" w:rsidRPr="00DC5290">
              <w:rPr>
                <w:rFonts w:ascii="Roboto" w:hAnsi="Roboto"/>
                <w:color w:val="00241A"/>
                <w:sz w:val="21"/>
                <w:szCs w:val="21"/>
                <w:shd w:val="clear" w:color="auto" w:fill="FFFFFF"/>
              </w:rPr>
              <w:t xml:space="preserve"> </w:t>
            </w:r>
            <w:bookmarkStart w:id="0" w:name="_GoBack"/>
            <w:r w:rsidR="007529BE" w:rsidRPr="007529BE">
              <w:rPr>
                <w:rFonts w:ascii="Verdana" w:hAnsi="Verdana"/>
                <w:szCs w:val="24"/>
                <w:shd w:val="clear" w:color="auto" w:fill="FFFFFF"/>
                <w:lang w:val="en-US"/>
              </w:rPr>
              <w:t>5957014</w:t>
            </w:r>
            <w:bookmarkEnd w:id="0"/>
          </w:p>
        </w:tc>
      </w:tr>
      <w:tr w:rsidR="00B767F3" w:rsidRPr="000D7DDA" w14:paraId="44A63690"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652" w:type="dxa"/>
            <w:gridSpan w:val="2"/>
            <w:tcBorders>
              <w:top w:val="single" w:sz="4" w:space="0" w:color="auto"/>
              <w:left w:val="single" w:sz="4" w:space="0" w:color="auto"/>
              <w:bottom w:val="single" w:sz="4" w:space="0" w:color="auto"/>
              <w:right w:val="single" w:sz="4" w:space="0" w:color="auto"/>
            </w:tcBorders>
          </w:tcPr>
          <w:p w14:paraId="48D06FD9" w14:textId="77777777" w:rsidR="000131F8" w:rsidRPr="000131F8" w:rsidRDefault="000131F8" w:rsidP="000131F8">
            <w:pPr>
              <w:rPr>
                <w:rFonts w:ascii="Verdana" w:hAnsi="Verdana"/>
                <w:color w:val="00000A"/>
                <w:kern w:val="2"/>
                <w:szCs w:val="24"/>
              </w:rPr>
            </w:pPr>
            <w:r w:rsidRPr="000131F8">
              <w:rPr>
                <w:rFonts w:ascii="Verdana" w:hAnsi="Verdana"/>
                <w:color w:val="00000A"/>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4C1825">
        <w:trPr>
          <w:trHeight w:val="300"/>
        </w:trPr>
        <w:tc>
          <w:tcPr>
            <w:tcW w:w="9918"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4C1825">
        <w:trPr>
          <w:trHeight w:val="2684"/>
        </w:trPr>
        <w:tc>
          <w:tcPr>
            <w:tcW w:w="3266"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692B09C4" w14:textId="7F670D11" w:rsidR="00B767F3" w:rsidRPr="00477717" w:rsidRDefault="00DD7479" w:rsidP="00B46E30">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 i</w:t>
            </w:r>
            <w:r w:rsidR="004110A7" w:rsidRPr="000D7DDA">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652"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652" w:type="dxa"/>
            <w:gridSpan w:val="2"/>
            <w:tcBorders>
              <w:top w:val="single" w:sz="4" w:space="0" w:color="auto"/>
              <w:left w:val="single" w:sz="4" w:space="0" w:color="auto"/>
              <w:bottom w:val="single" w:sz="4" w:space="0" w:color="auto"/>
              <w:right w:val="single" w:sz="4" w:space="0" w:color="auto"/>
            </w:tcBorders>
          </w:tcPr>
          <w:p w14:paraId="0F423D79" w14:textId="77777777" w:rsidR="00E86D1B" w:rsidRPr="000D7DDA" w:rsidRDefault="00E86D1B" w:rsidP="00E86D1B">
            <w:pPr>
              <w:rPr>
                <w:rFonts w:ascii="Verdana" w:hAnsi="Verdana"/>
                <w:kern w:val="2"/>
                <w:szCs w:val="24"/>
              </w:rPr>
            </w:pPr>
            <w:r w:rsidRPr="000D7DDA">
              <w:rPr>
                <w:rFonts w:ascii="Verdana" w:hAnsi="Verdana"/>
                <w:kern w:val="2"/>
                <w:szCs w:val="24"/>
              </w:rPr>
              <w:t>Netaikoma</w:t>
            </w:r>
          </w:p>
          <w:p w14:paraId="4F9F0D5E" w14:textId="041D66F3" w:rsidR="00B767F3" w:rsidRPr="000D7DDA" w:rsidRDefault="00B767F3">
            <w:pPr>
              <w:rPr>
                <w:rFonts w:ascii="Verdana" w:hAnsi="Verdana"/>
                <w:kern w:val="2"/>
                <w:szCs w:val="24"/>
              </w:rPr>
            </w:pPr>
          </w:p>
        </w:tc>
      </w:tr>
      <w:tr w:rsidR="00B767F3" w:rsidRPr="000D7DDA" w14:paraId="5806B101"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65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652" w:type="dxa"/>
            <w:gridSpan w:val="2"/>
            <w:tcBorders>
              <w:top w:val="single" w:sz="4" w:space="0" w:color="auto"/>
              <w:left w:val="single" w:sz="4" w:space="0" w:color="auto"/>
              <w:bottom w:val="single" w:sz="4" w:space="0" w:color="auto"/>
              <w:right w:val="single" w:sz="4" w:space="0" w:color="auto"/>
            </w:tcBorders>
          </w:tcPr>
          <w:p w14:paraId="4EC40251" w14:textId="1024761D" w:rsidR="004C1825" w:rsidRDefault="004C1825" w:rsidP="00B46E30">
            <w:pPr>
              <w:jc w:val="both"/>
              <w:rPr>
                <w:rFonts w:ascii="Verdana" w:hAnsi="Verdana"/>
                <w:kern w:val="2"/>
                <w:szCs w:val="24"/>
              </w:rPr>
            </w:pPr>
            <w:r w:rsidRPr="006E1949">
              <w:rPr>
                <w:rFonts w:ascii="Verdana" w:hAnsi="Verdana"/>
                <w:kern w:val="2"/>
                <w:szCs w:val="24"/>
              </w:rPr>
              <w:t>Kartu su Prekėmis pateikiami šie dokumentai:</w:t>
            </w:r>
          </w:p>
          <w:p w14:paraId="2485CE14" w14:textId="5112A287" w:rsidR="004110A7" w:rsidRPr="000D7DDA" w:rsidRDefault="004110A7" w:rsidP="00B46E30">
            <w:pPr>
              <w:jc w:val="both"/>
              <w:rPr>
                <w:rFonts w:ascii="Verdana" w:hAnsi="Verdana"/>
                <w:kern w:val="2"/>
                <w:szCs w:val="24"/>
              </w:rPr>
            </w:pPr>
            <w:r w:rsidRPr="000D7DDA">
              <w:rPr>
                <w:rFonts w:ascii="Verdana" w:hAnsi="Verdana"/>
                <w:kern w:val="2"/>
                <w:szCs w:val="24"/>
              </w:rPr>
              <w:t>1. Prekių perdavimo-priėmimo aktas ar kitas Prekių pristatymą patvirtinantis dokumentas (krovinio važtaraštis, sąskaita faktūra, pakavimo lapas);</w:t>
            </w:r>
          </w:p>
          <w:p w14:paraId="3C3F9FAC" w14:textId="52F1F686" w:rsidR="004110A7" w:rsidRPr="000D7DDA" w:rsidRDefault="004110A7" w:rsidP="00B46E30">
            <w:pPr>
              <w:jc w:val="both"/>
              <w:rPr>
                <w:rFonts w:ascii="Verdana" w:hAnsi="Verdana"/>
                <w:kern w:val="2"/>
                <w:szCs w:val="24"/>
              </w:rPr>
            </w:pPr>
            <w:r w:rsidRPr="000D7DDA">
              <w:rPr>
                <w:rFonts w:ascii="Verdana" w:hAnsi="Verdana"/>
                <w:kern w:val="2"/>
                <w:szCs w:val="24"/>
              </w:rPr>
              <w:t>2. Prekės naudojimo instrukcija lietuvių kalba;</w:t>
            </w:r>
          </w:p>
          <w:p w14:paraId="6FDD4B1E" w14:textId="27D2272B" w:rsidR="004110A7" w:rsidRPr="000D7DDA" w:rsidRDefault="004110A7" w:rsidP="00B46E30">
            <w:pPr>
              <w:jc w:val="both"/>
              <w:rPr>
                <w:rFonts w:ascii="Verdana" w:hAnsi="Verdana"/>
                <w:kern w:val="2"/>
                <w:szCs w:val="24"/>
              </w:rPr>
            </w:pPr>
            <w:r w:rsidRPr="000D7DDA">
              <w:rPr>
                <w:rFonts w:ascii="Verdana" w:hAnsi="Verdana"/>
                <w:kern w:val="2"/>
                <w:szCs w:val="24"/>
              </w:rPr>
              <w:t>3. Serviso dokumentacija lietuvių arba anglų kalba</w:t>
            </w:r>
            <w:r w:rsidR="004C1825">
              <w:rPr>
                <w:rFonts w:ascii="Verdana" w:hAnsi="Verdana"/>
                <w:kern w:val="2"/>
                <w:szCs w:val="24"/>
              </w:rPr>
              <w:t>.</w:t>
            </w:r>
          </w:p>
          <w:p w14:paraId="73FFA04B" w14:textId="44356AB2" w:rsidR="00B767F3" w:rsidRPr="000D7DDA" w:rsidRDefault="004110A7" w:rsidP="00B46E30">
            <w:pPr>
              <w:jc w:val="both"/>
              <w:rPr>
                <w:rFonts w:ascii="Verdana" w:hAnsi="Verdana"/>
                <w:kern w:val="2"/>
                <w:szCs w:val="24"/>
              </w:rPr>
            </w:pPr>
            <w:r w:rsidRPr="000D7DDA">
              <w:rPr>
                <w:rFonts w:ascii="Verdana" w:hAnsi="Verdana"/>
                <w:kern w:val="2"/>
                <w:szCs w:val="24"/>
              </w:rPr>
              <w:t>Tiekėjui nepateikus nurodytų dokumentų, laikoma, kad Prekės neatitinka Sutartyje nustatytų reikalavimų.</w:t>
            </w:r>
          </w:p>
        </w:tc>
      </w:tr>
      <w:tr w:rsidR="00B767F3" w:rsidRPr="000D7DDA" w14:paraId="256DAE69" w14:textId="77777777" w:rsidTr="004C1825">
        <w:trPr>
          <w:trHeight w:val="300"/>
        </w:trPr>
        <w:tc>
          <w:tcPr>
            <w:tcW w:w="9918"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652"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Eur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9D5AFF9" w14:textId="15398C13" w:rsidR="00B767F3" w:rsidRPr="000D7DDA" w:rsidRDefault="00DD7479">
            <w:pPr>
              <w:rPr>
                <w:rFonts w:ascii="Verdana" w:hAnsi="Verdana"/>
                <w:b/>
                <w:bCs/>
                <w:kern w:val="2"/>
                <w:szCs w:val="24"/>
              </w:rPr>
            </w:pPr>
            <w:r w:rsidRPr="000D7DDA">
              <w:rPr>
                <w:rFonts w:ascii="Verdana" w:hAnsi="Verdana"/>
                <w:b/>
                <w:bCs/>
                <w:kern w:val="2"/>
                <w:szCs w:val="24"/>
              </w:rPr>
              <w:t xml:space="preserve">5.3.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 xml:space="preserve">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w:t>
            </w:r>
            <w:r w:rsidRPr="000D7DDA">
              <w:rPr>
                <w:rFonts w:ascii="Verdana" w:hAnsi="Verdana"/>
                <w:b/>
                <w:bCs/>
                <w:kern w:val="2"/>
                <w:szCs w:val="24"/>
              </w:rPr>
              <w:lastRenderedPageBreak/>
              <w:t>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57BA3F80" w14:textId="5E883999" w:rsidR="00B767F3" w:rsidRPr="000D7DDA" w:rsidRDefault="00DD7479">
            <w:pPr>
              <w:rPr>
                <w:rFonts w:ascii="Verdana" w:hAnsi="Verdana"/>
                <w:kern w:val="2"/>
                <w:szCs w:val="24"/>
              </w:rPr>
            </w:pPr>
            <w:r w:rsidRPr="000D7DDA">
              <w:rPr>
                <w:rFonts w:ascii="Verdana" w:hAnsi="Verdana"/>
                <w:kern w:val="2"/>
                <w:szCs w:val="24"/>
              </w:rPr>
              <w:lastRenderedPageBreak/>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C452F1A" w14:textId="59591FCE"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5.3.1.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peržiūra dėl PVM tarifo pasikeitimo</w:t>
            </w:r>
          </w:p>
        </w:tc>
        <w:tc>
          <w:tcPr>
            <w:tcW w:w="6652" w:type="dxa"/>
            <w:gridSpan w:val="2"/>
            <w:tcBorders>
              <w:top w:val="single" w:sz="4" w:space="0" w:color="auto"/>
              <w:left w:val="single" w:sz="4" w:space="0" w:color="auto"/>
              <w:bottom w:val="single" w:sz="4" w:space="0" w:color="auto"/>
              <w:right w:val="single" w:sz="4" w:space="0" w:color="auto"/>
            </w:tcBorders>
          </w:tcPr>
          <w:p w14:paraId="652CE5FD" w14:textId="0772080B"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3CAB510F"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įforminami Susitarimu ir turi būti taikomi nuo naujo PVM įvedimo datos (nepriklausomai nuo to, kada pasirašytas Susitarimas).</w:t>
            </w:r>
          </w:p>
        </w:tc>
      </w:tr>
      <w:tr w:rsidR="00B767F3" w:rsidRPr="000D7DDA" w14:paraId="4560B71B"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466D8BC" w14:textId="36AA0D93"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 xml:space="preserve">peržiūra dėl kitų mokesčių, lemiančių Prekių </w:t>
            </w:r>
            <w:r w:rsidRPr="00551196">
              <w:rPr>
                <w:rFonts w:ascii="Verdana" w:hAnsi="Verdana"/>
                <w:b/>
                <w:bCs/>
                <w:kern w:val="2"/>
                <w:szCs w:val="24"/>
              </w:rPr>
              <w:t xml:space="preserve">kainos </w:t>
            </w:r>
            <w:r w:rsidRPr="000D7DDA">
              <w:rPr>
                <w:rFonts w:ascii="Verdana" w:hAnsi="Verdana"/>
                <w:b/>
                <w:bCs/>
                <w:kern w:val="2"/>
                <w:szCs w:val="24"/>
              </w:rPr>
              <w:t>pokytį, pasikeitimo</w:t>
            </w:r>
          </w:p>
        </w:tc>
        <w:tc>
          <w:tcPr>
            <w:tcW w:w="665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2A5D66DE" w14:textId="4F78A05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14D3C3C" w14:textId="61ACAFDA" w:rsidR="00B767F3" w:rsidRPr="000D7DDA" w:rsidRDefault="00DD7479">
            <w:pPr>
              <w:rPr>
                <w:rFonts w:ascii="Verdana" w:hAnsi="Verdana"/>
                <w:b/>
                <w:bCs/>
                <w:kern w:val="2"/>
                <w:szCs w:val="24"/>
              </w:rPr>
            </w:pPr>
            <w:r w:rsidRPr="000D7DDA">
              <w:rPr>
                <w:rFonts w:ascii="Verdana" w:hAnsi="Verdana"/>
                <w:b/>
                <w:bCs/>
                <w:kern w:val="2"/>
                <w:szCs w:val="24"/>
              </w:rPr>
              <w:t>5.3.4. Sutarties kainos peržiūra dėl kainų lygio pokyčio pagal Prekių grupių kainų pokyčius</w:t>
            </w:r>
          </w:p>
        </w:tc>
        <w:tc>
          <w:tcPr>
            <w:tcW w:w="6652"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6BCAFDD" w14:textId="751D3F64" w:rsidR="00B767F3" w:rsidRPr="000D7DDA" w:rsidRDefault="00DD7479">
            <w:pPr>
              <w:rPr>
                <w:rFonts w:ascii="Verdana" w:hAnsi="Verdana"/>
                <w:b/>
                <w:bCs/>
                <w:kern w:val="2"/>
                <w:szCs w:val="24"/>
              </w:rPr>
            </w:pPr>
            <w:r w:rsidRPr="000D7DDA">
              <w:rPr>
                <w:rFonts w:ascii="Verdana" w:hAnsi="Verdana"/>
                <w:b/>
                <w:bCs/>
                <w:kern w:val="2"/>
                <w:szCs w:val="24"/>
              </w:rPr>
              <w:t xml:space="preserve">5.4.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 xml:space="preserve">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652"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652"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135175BB"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r w:rsidR="00E86D1B">
              <w:rPr>
                <w:rFonts w:ascii="Verdana" w:hAnsi="Verdana"/>
                <w:kern w:val="2"/>
                <w:szCs w:val="24"/>
                <w:shd w:val="clear" w:color="auto" w:fill="FFFFFF"/>
              </w:rPr>
              <w:t>.</w:t>
            </w:r>
          </w:p>
        </w:tc>
      </w:tr>
      <w:tr w:rsidR="00B767F3" w:rsidRPr="000D7DDA" w14:paraId="235F5A3F"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652"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652"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4C1825">
        <w:trPr>
          <w:trHeight w:val="300"/>
        </w:trPr>
        <w:tc>
          <w:tcPr>
            <w:tcW w:w="9918"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6. PREKIŲ KOKYBĖ IR GARANTINIAI ĮSIPAREIGOJIMAI</w:t>
            </w:r>
          </w:p>
        </w:tc>
      </w:tr>
      <w:tr w:rsidR="00B767F3" w:rsidRPr="000D7DDA" w14:paraId="193F6F52"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652" w:type="dxa"/>
            <w:gridSpan w:val="2"/>
            <w:tcBorders>
              <w:top w:val="single" w:sz="4" w:space="0" w:color="auto"/>
              <w:left w:val="single" w:sz="4" w:space="0" w:color="auto"/>
              <w:bottom w:val="single" w:sz="4" w:space="0" w:color="auto"/>
              <w:right w:val="single" w:sz="4" w:space="0" w:color="auto"/>
            </w:tcBorders>
          </w:tcPr>
          <w:p w14:paraId="5290D4C5" w14:textId="3F7DFFBD"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w:t>
            </w:r>
            <w:r w:rsidR="004C517D" w:rsidRPr="004C517D">
              <w:rPr>
                <w:rFonts w:ascii="Verdana" w:hAnsi="Verdana"/>
              </w:rPr>
              <w:t>teisės aktuose nustatytas garantinis terminas, kuris yra 24 mėnesiai</w:t>
            </w:r>
            <w:r w:rsidR="004C517D" w:rsidRPr="000D7DDA" w:rsidDel="004C517D">
              <w:rPr>
                <w:rFonts w:ascii="Verdana" w:hAnsi="Verdana"/>
                <w:kern w:val="2"/>
                <w:szCs w:val="24"/>
              </w:rPr>
              <w:t xml:space="preserve"> </w:t>
            </w:r>
            <w:r w:rsidRPr="000D7DDA">
              <w:rPr>
                <w:rFonts w:ascii="Verdana" w:hAnsi="Verdana"/>
                <w:b/>
                <w:kern w:val="2"/>
                <w:szCs w:val="24"/>
              </w:rPr>
              <w:t>(dvidešimt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652" w:type="dxa"/>
            <w:gridSpan w:val="2"/>
            <w:tcBorders>
              <w:top w:val="single" w:sz="4" w:space="0" w:color="auto"/>
              <w:left w:val="single" w:sz="4" w:space="0" w:color="auto"/>
              <w:bottom w:val="single" w:sz="4" w:space="0" w:color="auto"/>
              <w:right w:val="single" w:sz="4" w:space="0" w:color="auto"/>
            </w:tcBorders>
          </w:tcPr>
          <w:p w14:paraId="19A8D037" w14:textId="7E275D73" w:rsidR="00B767F3" w:rsidRPr="000D7DDA" w:rsidRDefault="004C517D" w:rsidP="00B46E30">
            <w:pPr>
              <w:jc w:val="both"/>
              <w:rPr>
                <w:rFonts w:ascii="Verdana" w:hAnsi="Verdana"/>
                <w:kern w:val="2"/>
                <w:szCs w:val="24"/>
              </w:rPr>
            </w:pPr>
            <w:r w:rsidRPr="006D312F">
              <w:rPr>
                <w:rFonts w:ascii="Verdana" w:hAnsi="Verdana"/>
                <w:kern w:val="2"/>
                <w:szCs w:val="24"/>
              </w:rPr>
              <w:t xml:space="preserve">Garantinio termino laikotarpiu Tiekėjas, gavęs pranešimą apie Prekės trūkumus, turi pašalinti trūkumus ne vėliau kaip per 10 darbo dienų </w:t>
            </w:r>
            <w:r w:rsidR="00E86D1B" w:rsidRPr="006D312F">
              <w:rPr>
                <w:rFonts w:ascii="Verdana" w:hAnsi="Verdana"/>
                <w:szCs w:val="24"/>
              </w:rPr>
              <w:t>nuo rašytinės pretenzijos gavimo dienos .</w:t>
            </w:r>
          </w:p>
        </w:tc>
      </w:tr>
      <w:tr w:rsidR="00B767F3" w:rsidRPr="000D7DDA" w14:paraId="459ADC5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652"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4C1825">
        <w:trPr>
          <w:trHeight w:val="300"/>
        </w:trPr>
        <w:tc>
          <w:tcPr>
            <w:tcW w:w="9918"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652"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6D312F" w:rsidRDefault="00DD7479" w:rsidP="00B46E30">
            <w:pPr>
              <w:jc w:val="both"/>
              <w:rPr>
                <w:rFonts w:ascii="Verdana" w:hAnsi="Verdana"/>
                <w:kern w:val="2"/>
                <w:szCs w:val="24"/>
              </w:rPr>
            </w:pPr>
            <w:r w:rsidRPr="006D312F">
              <w:rPr>
                <w:rFonts w:ascii="Verdana" w:hAnsi="Verdana"/>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4C1825">
        <w:trPr>
          <w:trHeight w:val="300"/>
        </w:trPr>
        <w:tc>
          <w:tcPr>
            <w:tcW w:w="9918"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652"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652"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652"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rsidTr="004C1825">
        <w:trPr>
          <w:trHeight w:val="300"/>
        </w:trPr>
        <w:tc>
          <w:tcPr>
            <w:tcW w:w="9918"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652"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652"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 xml:space="preserve">arba nevykdo kitų sutartinių įsipareigojimų, Pirkėjas nuo kitos nei </w:t>
            </w:r>
            <w:r w:rsidRPr="000D7DDA">
              <w:rPr>
                <w:rFonts w:ascii="Verdana" w:hAnsi="Verdana"/>
                <w:kern w:val="2"/>
                <w:szCs w:val="24"/>
              </w:rPr>
              <w:lastRenderedPageBreak/>
              <w:t>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652" w:type="dxa"/>
            <w:gridSpan w:val="2"/>
            <w:tcBorders>
              <w:top w:val="single" w:sz="4" w:space="0" w:color="auto"/>
              <w:left w:val="single" w:sz="4" w:space="0" w:color="auto"/>
              <w:bottom w:val="single" w:sz="4" w:space="0" w:color="auto"/>
              <w:right w:val="single" w:sz="4" w:space="0" w:color="auto"/>
            </w:tcBorders>
          </w:tcPr>
          <w:p w14:paraId="1E1FE92A" w14:textId="77777777" w:rsidR="00D250D7" w:rsidRPr="000D7DDA" w:rsidRDefault="00D250D7" w:rsidP="00B46E30">
            <w:pPr>
              <w:jc w:val="both"/>
              <w:rPr>
                <w:rFonts w:ascii="Verdana" w:hAnsi="Verdana"/>
                <w:kern w:val="2"/>
                <w:szCs w:val="24"/>
              </w:rPr>
            </w:pPr>
            <w:r w:rsidRPr="000D7DDA">
              <w:rPr>
                <w:rFonts w:ascii="Verdana" w:hAnsi="Verdana"/>
                <w:kern w:val="2"/>
                <w:szCs w:val="24"/>
              </w:rPr>
              <w:t>9.3.1. Nutraukus Sutartį dėl esminio Sutarties pažeidimo, mokama 1 000,00 (vieno tūkstančio) Eur dydžio bauda.</w:t>
            </w:r>
          </w:p>
          <w:p w14:paraId="495006C1" w14:textId="4940BBEF" w:rsidR="00D250D7" w:rsidRPr="000D7DDA" w:rsidRDefault="00D250D7" w:rsidP="00B46E30">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Pr="000D7DDA">
              <w:rPr>
                <w:rFonts w:ascii="Verdana" w:hAnsi="Verdana"/>
                <w:kern w:val="2"/>
                <w:szCs w:val="24"/>
              </w:rPr>
              <w:t xml:space="preserve"> 1 000,00 (vieno tūkstančio) Eur dydžio bauda.</w:t>
            </w:r>
          </w:p>
          <w:p w14:paraId="48292084" w14:textId="5376AB32" w:rsidR="00B767F3" w:rsidRPr="000D7DDA" w:rsidRDefault="00B767F3">
            <w:pPr>
              <w:rPr>
                <w:rFonts w:ascii="Verdana" w:hAnsi="Verdana"/>
                <w:kern w:val="2"/>
                <w:szCs w:val="24"/>
              </w:rPr>
            </w:pPr>
          </w:p>
        </w:tc>
      </w:tr>
      <w:tr w:rsidR="00B767F3" w:rsidRPr="000D7DDA" w14:paraId="539B299E"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52"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652"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652"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9.7. Tiekėjui taikomos </w:t>
            </w:r>
            <w:r w:rsidRPr="000D7DDA">
              <w:rPr>
                <w:rFonts w:ascii="Verdana" w:hAnsi="Verdana"/>
                <w:b/>
                <w:bCs/>
                <w:kern w:val="2"/>
                <w:szCs w:val="24"/>
              </w:rPr>
              <w:lastRenderedPageBreak/>
              <w:t>netesybos dėl pirkimo dokumentuose nustatytų Kokybinių kriterijų nepasiekimo Sutarties vykdymo metu</w:t>
            </w:r>
          </w:p>
        </w:tc>
        <w:tc>
          <w:tcPr>
            <w:tcW w:w="6652"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lastRenderedPageBreak/>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9.8. Tiekėjui taikomos netesybos dėl Sutarties įvykdymo užtikrinimo nepratęsimo</w:t>
            </w:r>
          </w:p>
        </w:tc>
        <w:tc>
          <w:tcPr>
            <w:tcW w:w="6652"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52"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4C1825">
        <w:trPr>
          <w:trHeight w:val="300"/>
        </w:trPr>
        <w:tc>
          <w:tcPr>
            <w:tcW w:w="9918"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4C1825">
        <w:trPr>
          <w:trHeight w:val="300"/>
        </w:trPr>
        <w:tc>
          <w:tcPr>
            <w:tcW w:w="3266"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652"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4C1825">
        <w:trPr>
          <w:trHeight w:val="300"/>
        </w:trPr>
        <w:tc>
          <w:tcPr>
            <w:tcW w:w="3260"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658"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4C1825">
        <w:trPr>
          <w:trHeight w:val="300"/>
        </w:trPr>
        <w:tc>
          <w:tcPr>
            <w:tcW w:w="9918"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652"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3908A661" w:rsidR="00B767F3" w:rsidRPr="00C258CF" w:rsidRDefault="00C258CF" w:rsidP="00C258CF">
            <w:pPr>
              <w:jc w:val="both"/>
              <w:rPr>
                <w:rFonts w:ascii="Verdana" w:hAnsi="Verdana"/>
                <w:kern w:val="2"/>
                <w:szCs w:val="24"/>
              </w:rPr>
            </w:pPr>
            <w:r w:rsidRPr="000B3376">
              <w:rPr>
                <w:rFonts w:ascii="Verdana" w:hAnsi="Verdana"/>
              </w:rPr>
              <w:t>Sutartis galioja</w:t>
            </w:r>
            <w:r>
              <w:rPr>
                <w:rFonts w:ascii="Verdana" w:hAnsi="Verdana"/>
              </w:rPr>
              <w:t xml:space="preserve"> iki visiško prievolių įvykdymo</w:t>
            </w:r>
            <w:r w:rsidRPr="000B3376">
              <w:rPr>
                <w:rFonts w:ascii="Verdana" w:hAnsi="Verdana"/>
              </w:rPr>
              <w:t xml:space="preserve">, kol </w:t>
            </w:r>
            <w:r w:rsidRPr="00104594">
              <w:rPr>
                <w:rFonts w:ascii="Verdana" w:hAnsi="Verdana"/>
              </w:rPr>
              <w:t xml:space="preserve">pavedimą suteikusi perkančioji organizacija nuperka Prekių už pirkimo-pardavimo sutarties specialiųjų sąlygų 3.1 punkte nurodytą </w:t>
            </w:r>
            <w:r>
              <w:rPr>
                <w:rFonts w:ascii="Verdana" w:hAnsi="Verdana"/>
              </w:rPr>
              <w:t>kiekį</w:t>
            </w:r>
            <w:r w:rsidRPr="000B3376">
              <w:rPr>
                <w:rFonts w:ascii="Verdana" w:hAnsi="Verdana"/>
              </w:rPr>
              <w:t>, bet ne ilgiau kaip 4 (keturi) mėn.</w:t>
            </w:r>
          </w:p>
        </w:tc>
      </w:tr>
      <w:tr w:rsidR="00B767F3" w:rsidRPr="000D7DDA" w14:paraId="6568EF21"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652"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4C1825">
        <w:trPr>
          <w:trHeight w:val="300"/>
        </w:trPr>
        <w:tc>
          <w:tcPr>
            <w:tcW w:w="9918"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4C1825">
        <w:trPr>
          <w:trHeight w:val="300"/>
        </w:trPr>
        <w:tc>
          <w:tcPr>
            <w:tcW w:w="3147"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12.1. Sutarties </w:t>
            </w:r>
            <w:r w:rsidRPr="000D7DDA">
              <w:rPr>
                <w:rFonts w:ascii="Verdana" w:hAnsi="Verdana"/>
                <w:b/>
                <w:bCs/>
                <w:kern w:val="2"/>
                <w:szCs w:val="24"/>
              </w:rPr>
              <w:lastRenderedPageBreak/>
              <w:t>nutraukimo pagrindai</w:t>
            </w:r>
          </w:p>
        </w:tc>
        <w:tc>
          <w:tcPr>
            <w:tcW w:w="6771"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lastRenderedPageBreak/>
              <w:t xml:space="preserve">Sutartis gali būti nutraukiama rašytiniu Šalių </w:t>
            </w:r>
            <w:r w:rsidRPr="000D7DDA">
              <w:rPr>
                <w:rFonts w:ascii="Verdana" w:hAnsi="Verdana"/>
                <w:kern w:val="2"/>
                <w:szCs w:val="24"/>
              </w:rPr>
              <w:lastRenderedPageBreak/>
              <w:t>susitarimu arba vienašališkai, Bendrosiose sąlygose nustatyta tvarka.</w:t>
            </w:r>
          </w:p>
        </w:tc>
      </w:tr>
      <w:tr w:rsidR="00B767F3" w:rsidRPr="000D7DDA" w14:paraId="69CB11D9" w14:textId="77777777" w:rsidTr="004C1825">
        <w:trPr>
          <w:trHeight w:val="300"/>
        </w:trPr>
        <w:tc>
          <w:tcPr>
            <w:tcW w:w="3147"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12.2. Esminiai Sutarties pažeidimai</w:t>
            </w:r>
          </w:p>
          <w:p w14:paraId="08CC1A68" w14:textId="77777777" w:rsidR="00B767F3" w:rsidRPr="000D7DDA" w:rsidRDefault="00B767F3">
            <w:pPr>
              <w:rPr>
                <w:rFonts w:ascii="Verdana" w:hAnsi="Verdana"/>
                <w:b/>
                <w:bCs/>
                <w:kern w:val="2"/>
                <w:szCs w:val="24"/>
              </w:rPr>
            </w:pPr>
          </w:p>
        </w:tc>
        <w:tc>
          <w:tcPr>
            <w:tcW w:w="6771"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4C1825">
        <w:trPr>
          <w:trHeight w:val="300"/>
        </w:trPr>
        <w:tc>
          <w:tcPr>
            <w:tcW w:w="9918"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4C1825">
        <w:trPr>
          <w:trHeight w:val="300"/>
        </w:trPr>
        <w:tc>
          <w:tcPr>
            <w:tcW w:w="3147"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6771" w:type="dxa"/>
            <w:gridSpan w:val="4"/>
          </w:tcPr>
          <w:p w14:paraId="78A8E81C" w14:textId="77777777" w:rsidR="00E86D1B" w:rsidRDefault="00DD7479" w:rsidP="00551196">
            <w:pPr>
              <w:jc w:val="both"/>
              <w:rPr>
                <w:rFonts w:ascii="Verdana" w:hAnsi="Verdana"/>
                <w:color w:val="000000"/>
                <w:kern w:val="2"/>
                <w:shd w:val="clear" w:color="auto" w:fill="FFFFFF"/>
              </w:rPr>
            </w:pPr>
            <w:r w:rsidRPr="000D7DDA">
              <w:rPr>
                <w:rFonts w:ascii="Verdana" w:hAnsi="Verdana"/>
                <w:color w:val="000000"/>
                <w:kern w:val="2"/>
                <w:szCs w:val="24"/>
                <w:shd w:val="clear" w:color="auto" w:fill="FFFFFF"/>
              </w:rPr>
              <w:t xml:space="preserve">Aplinkosauginiai kriterijai Prekėms nustatomi vadovaujantis </w:t>
            </w:r>
            <w:r w:rsidRPr="000D7DDA">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0D7DDA">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0D7DDA">
              <w:rPr>
                <w:rFonts w:ascii="Verdana" w:hAnsi="Verdana"/>
                <w:kern w:val="2"/>
                <w:szCs w:val="24"/>
                <w:shd w:val="clear" w:color="auto" w:fill="FFFFFF"/>
              </w:rPr>
              <w:t xml:space="preserve">4.4.4.1. </w:t>
            </w:r>
            <w:r w:rsidRPr="000D7DDA">
              <w:rPr>
                <w:rFonts w:ascii="Verdana" w:hAnsi="Verdana"/>
                <w:color w:val="000000"/>
                <w:kern w:val="2"/>
                <w:szCs w:val="24"/>
                <w:shd w:val="clear" w:color="auto" w:fill="FFFFFF"/>
              </w:rPr>
              <w:t>papunkčiu</w:t>
            </w:r>
            <w:r w:rsidR="00860231">
              <w:rPr>
                <w:rFonts w:ascii="Verdana" w:hAnsi="Verdana"/>
                <w:color w:val="000000"/>
                <w:kern w:val="2"/>
                <w:szCs w:val="24"/>
                <w:shd w:val="clear" w:color="auto" w:fill="FFFFFF"/>
              </w:rPr>
              <w:t xml:space="preserve"> </w:t>
            </w:r>
            <w:r w:rsidR="00860231" w:rsidRPr="00520589">
              <w:rPr>
                <w:rFonts w:ascii="Verdana" w:hAnsi="Verdana"/>
                <w:kern w:val="2"/>
                <w:szCs w:val="24"/>
                <w:shd w:val="clear" w:color="auto" w:fill="FFFFFF"/>
              </w:rPr>
              <w:t>(savarankiškai nustatyti kriterijai):</w:t>
            </w:r>
            <w:r w:rsidRPr="000D7DDA">
              <w:rPr>
                <w:rFonts w:ascii="Verdana" w:hAnsi="Verdana"/>
                <w:color w:val="000000"/>
                <w:kern w:val="2"/>
                <w:szCs w:val="24"/>
              </w:rPr>
              <w:t> </w:t>
            </w:r>
            <w:r w:rsidR="00551196" w:rsidRPr="002F2EBF">
              <w:rPr>
                <w:rFonts w:ascii="Verdana" w:hAnsi="Verdana"/>
                <w:color w:val="000000"/>
                <w:kern w:val="2"/>
                <w:szCs w:val="24"/>
              </w:rPr>
              <w:t>Prekes pristatyti ne piko metu nuo 9.00 val. iki 11.00 val. ir nuo 13.00 val. iki 16.00 val., penktadienį nuo 9.00 val. iki 11 val. ir nuo 13.00 val. iki 15.00 val. trumpiausiu galimu maršrutu.</w:t>
            </w:r>
            <w:r w:rsidR="00860231" w:rsidRPr="008F2180">
              <w:rPr>
                <w:rFonts w:ascii="Verdana" w:hAnsi="Verdana"/>
                <w:color w:val="000000"/>
                <w:kern w:val="2"/>
                <w:shd w:val="clear" w:color="auto" w:fill="FFFFFF"/>
              </w:rPr>
              <w:t xml:space="preserve"> </w:t>
            </w:r>
          </w:p>
          <w:p w14:paraId="4B6631DF" w14:textId="60CECD5A" w:rsidR="00B767F3" w:rsidRPr="00B46E30" w:rsidRDefault="00DD7479" w:rsidP="00551196">
            <w:pPr>
              <w:jc w:val="both"/>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rsidTr="004C1825">
        <w:trPr>
          <w:trHeight w:val="300"/>
        </w:trPr>
        <w:tc>
          <w:tcPr>
            <w:tcW w:w="3147"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6771"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4C1825">
        <w:trPr>
          <w:trHeight w:val="300"/>
        </w:trPr>
        <w:tc>
          <w:tcPr>
            <w:tcW w:w="9918"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11993C80" w:rsidR="00B767F3" w:rsidRPr="000D7DDA" w:rsidRDefault="00B767F3">
            <w:pPr>
              <w:jc w:val="center"/>
              <w:rPr>
                <w:rFonts w:ascii="Verdana" w:hAnsi="Verdana"/>
                <w:kern w:val="2"/>
                <w:szCs w:val="24"/>
              </w:rPr>
            </w:pPr>
          </w:p>
        </w:tc>
      </w:tr>
      <w:tr w:rsidR="00B767F3" w:rsidRPr="000D7DDA" w14:paraId="35D09A71" w14:textId="77777777" w:rsidTr="004C1825">
        <w:trPr>
          <w:trHeight w:val="300"/>
        </w:trPr>
        <w:tc>
          <w:tcPr>
            <w:tcW w:w="3147"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6771"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4C1825">
        <w:trPr>
          <w:trHeight w:val="300"/>
        </w:trPr>
        <w:tc>
          <w:tcPr>
            <w:tcW w:w="9918"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4C1825">
        <w:trPr>
          <w:trHeight w:val="300"/>
        </w:trPr>
        <w:tc>
          <w:tcPr>
            <w:tcW w:w="3147"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6771"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4C1825">
        <w:trPr>
          <w:trHeight w:val="300"/>
        </w:trPr>
        <w:tc>
          <w:tcPr>
            <w:tcW w:w="3147"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6771"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4C1825">
        <w:tc>
          <w:tcPr>
            <w:tcW w:w="9918"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4C1825">
        <w:tc>
          <w:tcPr>
            <w:tcW w:w="5044"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4874"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4C1825">
        <w:tc>
          <w:tcPr>
            <w:tcW w:w="5044"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lastRenderedPageBreak/>
              <w:t>Direktorius Mantas Čėsna</w:t>
            </w:r>
          </w:p>
        </w:tc>
        <w:tc>
          <w:tcPr>
            <w:tcW w:w="4874"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38B9DE92" w14:textId="77777777" w:rsidR="00D66E64" w:rsidRDefault="00D66E64">
      <w:pPr>
        <w:rPr>
          <w:rFonts w:ascii="Verdana" w:hAnsi="Verdana"/>
          <w:szCs w:val="24"/>
        </w:rPr>
      </w:pPr>
    </w:p>
    <w:p w14:paraId="03C47DF9" w14:textId="77777777" w:rsidR="00D66E64" w:rsidRDefault="00D66E64">
      <w:pPr>
        <w:rPr>
          <w:rFonts w:ascii="Verdana" w:hAnsi="Verdana"/>
          <w:szCs w:val="24"/>
        </w:rPr>
      </w:pPr>
    </w:p>
    <w:p w14:paraId="13E6C79B" w14:textId="77777777" w:rsidR="00D66E64" w:rsidRDefault="00D66E64">
      <w:pPr>
        <w:rPr>
          <w:rFonts w:ascii="Verdana" w:hAnsi="Verdana"/>
          <w:szCs w:val="24"/>
        </w:rPr>
      </w:pPr>
    </w:p>
    <w:p w14:paraId="4F1C53B3" w14:textId="77777777" w:rsidR="00D66E64" w:rsidRDefault="00D66E64">
      <w:pPr>
        <w:rPr>
          <w:rFonts w:ascii="Verdana" w:hAnsi="Verdana"/>
          <w:szCs w:val="24"/>
        </w:rPr>
      </w:pPr>
    </w:p>
    <w:p w14:paraId="657B9652" w14:textId="77777777" w:rsidR="00D66E64" w:rsidRDefault="00D66E64">
      <w:pPr>
        <w:rPr>
          <w:rFonts w:ascii="Verdana" w:hAnsi="Verdana"/>
          <w:szCs w:val="24"/>
        </w:rPr>
      </w:pPr>
    </w:p>
    <w:p w14:paraId="79620DEF" w14:textId="77777777" w:rsidR="00D66E64" w:rsidRDefault="00D66E64">
      <w:pPr>
        <w:rPr>
          <w:rFonts w:ascii="Verdana" w:hAnsi="Verdana"/>
          <w:szCs w:val="24"/>
        </w:rPr>
      </w:pPr>
    </w:p>
    <w:p w14:paraId="4296A041" w14:textId="77777777" w:rsidR="00D66E64" w:rsidRDefault="00D66E64">
      <w:pPr>
        <w:rPr>
          <w:rFonts w:ascii="Verdana" w:hAnsi="Verdana"/>
          <w:szCs w:val="24"/>
        </w:rPr>
      </w:pPr>
    </w:p>
    <w:p w14:paraId="7D9CE4C8" w14:textId="77777777" w:rsidR="00D66E64" w:rsidRDefault="00D66E64">
      <w:pPr>
        <w:rPr>
          <w:rFonts w:ascii="Verdana" w:hAnsi="Verdana"/>
          <w:szCs w:val="24"/>
        </w:rPr>
      </w:pPr>
    </w:p>
    <w:p w14:paraId="67A583D0" w14:textId="77777777" w:rsidR="00D66E64" w:rsidRDefault="00D66E64">
      <w:pPr>
        <w:rPr>
          <w:rFonts w:ascii="Verdana" w:hAnsi="Verdana"/>
          <w:szCs w:val="24"/>
        </w:rPr>
      </w:pPr>
    </w:p>
    <w:p w14:paraId="0607350C" w14:textId="77777777" w:rsidR="00D66E64" w:rsidRDefault="00D66E64">
      <w:pPr>
        <w:rPr>
          <w:rFonts w:ascii="Verdana" w:hAnsi="Verdana"/>
          <w:szCs w:val="24"/>
        </w:rPr>
      </w:pPr>
    </w:p>
    <w:p w14:paraId="6DEDB152" w14:textId="77777777" w:rsidR="00D66E64" w:rsidRDefault="00D66E64">
      <w:pPr>
        <w:rPr>
          <w:rFonts w:ascii="Verdana" w:hAnsi="Verdana"/>
          <w:szCs w:val="24"/>
        </w:rPr>
      </w:pPr>
    </w:p>
    <w:p w14:paraId="0E794DEA" w14:textId="77777777" w:rsidR="00D66E64" w:rsidRDefault="00D66E64">
      <w:pPr>
        <w:rPr>
          <w:rFonts w:ascii="Verdana" w:hAnsi="Verdana"/>
          <w:szCs w:val="24"/>
        </w:rPr>
      </w:pPr>
    </w:p>
    <w:p w14:paraId="62ABAEED" w14:textId="77777777" w:rsidR="00D66E64" w:rsidRDefault="00D66E64">
      <w:pPr>
        <w:rPr>
          <w:rFonts w:ascii="Verdana" w:hAnsi="Verdana"/>
          <w:szCs w:val="24"/>
        </w:rPr>
      </w:pPr>
    </w:p>
    <w:p w14:paraId="7BEFDA6E" w14:textId="77777777" w:rsidR="00D66E64" w:rsidRDefault="00D66E64">
      <w:pPr>
        <w:rPr>
          <w:rFonts w:ascii="Verdana" w:hAnsi="Verdana"/>
          <w:szCs w:val="24"/>
        </w:rPr>
      </w:pPr>
    </w:p>
    <w:p w14:paraId="58709960" w14:textId="77777777" w:rsidR="00D66E64" w:rsidRDefault="00D66E64">
      <w:pPr>
        <w:rPr>
          <w:rFonts w:ascii="Verdana" w:hAnsi="Verdana"/>
          <w:szCs w:val="24"/>
        </w:rPr>
      </w:pPr>
    </w:p>
    <w:p w14:paraId="1AF946C1" w14:textId="77777777" w:rsidR="00D66E64" w:rsidRDefault="00D66E64">
      <w:pPr>
        <w:rPr>
          <w:rFonts w:ascii="Verdana" w:hAnsi="Verdana"/>
          <w:szCs w:val="24"/>
        </w:rPr>
      </w:pPr>
    </w:p>
    <w:p w14:paraId="0BA09589" w14:textId="77777777" w:rsidR="00D66E64" w:rsidRDefault="00D66E64">
      <w:pPr>
        <w:rPr>
          <w:rFonts w:ascii="Verdana" w:hAnsi="Verdana"/>
          <w:szCs w:val="24"/>
        </w:rPr>
      </w:pPr>
    </w:p>
    <w:p w14:paraId="46A0E9D5" w14:textId="77777777" w:rsidR="00D66E64" w:rsidRDefault="00D66E64">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0EBFEB5C" w14:textId="77777777" w:rsidR="003F1A19" w:rsidRDefault="003F1A19" w:rsidP="003F1A19">
      <w:pPr>
        <w:ind w:firstLine="4820"/>
        <w:textAlignment w:val="center"/>
        <w:rPr>
          <w:rFonts w:ascii="Verdana" w:hAnsi="Verdana"/>
          <w:color w:val="000000"/>
          <w:szCs w:val="24"/>
        </w:rPr>
      </w:pPr>
    </w:p>
    <w:p w14:paraId="1A486C67"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7736C14"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5206321A"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52BCEC6E"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4C721C3"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5666FB99"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692E7AD2" w14:textId="77777777" w:rsidR="00D66E64" w:rsidRPr="003F1A19" w:rsidRDefault="00D66E64"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lastRenderedPageBreak/>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lastRenderedPageBreak/>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w:t>
      </w:r>
      <w:r w:rsidRPr="003F1A19">
        <w:rPr>
          <w:rFonts w:ascii="Verdana" w:hAnsi="Verdana"/>
          <w:color w:val="000000"/>
          <w:szCs w:val="24"/>
        </w:rPr>
        <w:lastRenderedPageBreak/>
        <w:t>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3.2.1. Tiekėjas įsipareigoja užtikrinti, kad Sutartį vykdys pirkime pasiūlyti ir kvalifikacijos bei kitus pirkimo dokumentuose nustatytus reikalavimus atitinkantys </w:t>
      </w:r>
      <w:r w:rsidRPr="003F1A19">
        <w:rPr>
          <w:rFonts w:ascii="Verdana" w:eastAsia="Arial" w:hAnsi="Verdana"/>
          <w:kern w:val="2"/>
          <w:szCs w:val="24"/>
        </w:rPr>
        <w:lastRenderedPageBreak/>
        <w:t>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lastRenderedPageBreak/>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w:t>
      </w:r>
      <w:r w:rsidRPr="003F1A19">
        <w:rPr>
          <w:rFonts w:ascii="Verdana" w:eastAsia="Cambria" w:hAnsi="Verdana"/>
          <w:kern w:val="2"/>
          <w:szCs w:val="24"/>
        </w:rPr>
        <w:lastRenderedPageBreak/>
        <w:t>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 xml:space="preserve">Prieš Susitarimo pasirašymą, Pirkėjui pateikiama naujos </w:t>
      </w:r>
      <w:r w:rsidRPr="003F1A19">
        <w:rPr>
          <w:rFonts w:ascii="Verdana" w:eastAsia="Cambria" w:hAnsi="Verdana"/>
          <w:kern w:val="2"/>
          <w:szCs w:val="24"/>
          <w:shd w:val="clear" w:color="auto" w:fill="FFFFFF"/>
        </w:rPr>
        <w:lastRenderedPageBreak/>
        <w:t>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lastRenderedPageBreak/>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 xml:space="preserve">7.4.1.2. reikalauti sumažinti Tiekėjui mokėtiną sumą ir grąžinti dėl šios sumos sumažinimo susidariusią permoką per 30 (trisdešimt) dienų nuo Tiekėjui </w:t>
      </w:r>
      <w:r w:rsidRPr="003F1A19">
        <w:rPr>
          <w:rFonts w:ascii="Verdana" w:hAnsi="Verdana"/>
          <w:szCs w:val="24"/>
        </w:rPr>
        <w:lastRenderedPageBreak/>
        <w:t>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3F1A19">
        <w:rPr>
          <w:rFonts w:ascii="Verdana" w:hAnsi="Verdana"/>
          <w:color w:val="000000"/>
          <w:szCs w:val="24"/>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12.1.4. Prieš pateikdamas Avanso užtikrinimą, Tiekėjas gali prašyti Pirkėjo patvirtinti, kad Pirkėjas sutinka priimti Tiekėjo siūlomą Avanso užtikrinimą. Tokiu </w:t>
      </w:r>
      <w:r w:rsidRPr="003F1A19">
        <w:rPr>
          <w:rFonts w:ascii="Verdana" w:hAnsi="Verdana"/>
          <w:szCs w:val="24"/>
        </w:rPr>
        <w:lastRenderedPageBreak/>
        <w:t>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w:t>
      </w:r>
      <w:r w:rsidRPr="003F1A19">
        <w:rPr>
          <w:rFonts w:ascii="Verdana" w:hAnsi="Verdana"/>
          <w:color w:val="000000"/>
          <w:szCs w:val="24"/>
        </w:rPr>
        <w:lastRenderedPageBreak/>
        <w:t>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w:t>
      </w:r>
      <w:r w:rsidRPr="003F1A19">
        <w:rPr>
          <w:rFonts w:ascii="Verdana" w:hAnsi="Verdana"/>
          <w:color w:val="000000"/>
          <w:szCs w:val="24"/>
        </w:rPr>
        <w:lastRenderedPageBreak/>
        <w:t>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F1A19">
        <w:rPr>
          <w:rFonts w:ascii="Verdana" w:hAnsi="Verdana"/>
          <w:i/>
          <w:iCs/>
          <w:color w:val="000000"/>
          <w:szCs w:val="24"/>
        </w:rPr>
        <w:t>sui generis</w:t>
      </w:r>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lastRenderedPageBreak/>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w:t>
      </w:r>
      <w:r w:rsidRPr="003F1A19">
        <w:rPr>
          <w:rFonts w:ascii="Verdana" w:hAnsi="Verdana"/>
          <w:color w:val="000000"/>
          <w:szCs w:val="24"/>
        </w:rPr>
        <w:lastRenderedPageBreak/>
        <w:t>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 xml:space="preserve">21.6. Šalys sutartinių įsipareigojimų vykdymo stabdymą įformina rašytiniu susitarimu, nurodant priežastis ir sustabdymo terminą, bei pridedant </w:t>
      </w:r>
      <w:r w:rsidRPr="003F1A19">
        <w:rPr>
          <w:rFonts w:ascii="Verdana" w:hAnsi="Verdana"/>
          <w:color w:val="000000"/>
          <w:szCs w:val="24"/>
        </w:rPr>
        <w:lastRenderedPageBreak/>
        <w:t>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w:t>
      </w:r>
      <w:r w:rsidRPr="003F1A19">
        <w:rPr>
          <w:rFonts w:ascii="Verdana" w:hAnsi="Verdana"/>
          <w:color w:val="000000"/>
          <w:szCs w:val="24"/>
        </w:rPr>
        <w:lastRenderedPageBreak/>
        <w:t>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22.3.2.1. Pirkėjui yra iškelta bankroto byla, pradėtas procesas dėl bankroto ne teismo tvarka, jis tampa nemokus arba yra nemokumo tikimybė, Pirkėjas </w:t>
      </w:r>
      <w:r w:rsidRPr="003F1A19">
        <w:rPr>
          <w:rFonts w:ascii="Verdana" w:hAnsi="Verdana"/>
          <w:color w:val="000000"/>
          <w:szCs w:val="24"/>
        </w:rPr>
        <w:lastRenderedPageBreak/>
        <w:t>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w:t>
      </w:r>
      <w:r w:rsidRPr="003F1A19">
        <w:rPr>
          <w:rFonts w:ascii="Verdana" w:hAnsi="Verdana"/>
          <w:szCs w:val="24"/>
        </w:rPr>
        <w:lastRenderedPageBreak/>
        <w:t>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7F262" w14:textId="77777777" w:rsidR="007100B5" w:rsidRDefault="007100B5">
      <w:r>
        <w:separator/>
      </w:r>
    </w:p>
  </w:endnote>
  <w:endnote w:type="continuationSeparator" w:id="0">
    <w:p w14:paraId="30C90993" w14:textId="77777777" w:rsidR="007100B5" w:rsidRDefault="0071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8704C" w14:textId="77777777" w:rsidR="007100B5" w:rsidRDefault="007100B5">
      <w:r>
        <w:separator/>
      </w:r>
    </w:p>
  </w:footnote>
  <w:footnote w:type="continuationSeparator" w:id="0">
    <w:p w14:paraId="70D3A4EC" w14:textId="77777777" w:rsidR="007100B5" w:rsidRDefault="00710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131F8"/>
    <w:rsid w:val="00064F5E"/>
    <w:rsid w:val="00081961"/>
    <w:rsid w:val="000D7DDA"/>
    <w:rsid w:val="0010168D"/>
    <w:rsid w:val="001B2EB7"/>
    <w:rsid w:val="00201517"/>
    <w:rsid w:val="00202E5E"/>
    <w:rsid w:val="00265AB9"/>
    <w:rsid w:val="002B7CB3"/>
    <w:rsid w:val="002D610B"/>
    <w:rsid w:val="002F0B5F"/>
    <w:rsid w:val="00346DCB"/>
    <w:rsid w:val="003920FB"/>
    <w:rsid w:val="003B2818"/>
    <w:rsid w:val="003E41F1"/>
    <w:rsid w:val="003E5D1D"/>
    <w:rsid w:val="003F1A19"/>
    <w:rsid w:val="004110A7"/>
    <w:rsid w:val="00477717"/>
    <w:rsid w:val="0048578E"/>
    <w:rsid w:val="004C1825"/>
    <w:rsid w:val="004C517D"/>
    <w:rsid w:val="00514C27"/>
    <w:rsid w:val="00551196"/>
    <w:rsid w:val="005828DD"/>
    <w:rsid w:val="00587E3C"/>
    <w:rsid w:val="005C70C8"/>
    <w:rsid w:val="00601DE2"/>
    <w:rsid w:val="006234A0"/>
    <w:rsid w:val="00666536"/>
    <w:rsid w:val="0067393C"/>
    <w:rsid w:val="0069053F"/>
    <w:rsid w:val="006D312F"/>
    <w:rsid w:val="006E4F5F"/>
    <w:rsid w:val="007100B5"/>
    <w:rsid w:val="00727523"/>
    <w:rsid w:val="007529BE"/>
    <w:rsid w:val="007662C0"/>
    <w:rsid w:val="00782B31"/>
    <w:rsid w:val="007919E1"/>
    <w:rsid w:val="00847A3C"/>
    <w:rsid w:val="00860231"/>
    <w:rsid w:val="008A11D5"/>
    <w:rsid w:val="008E60C4"/>
    <w:rsid w:val="009B0915"/>
    <w:rsid w:val="009E46E2"/>
    <w:rsid w:val="00A05628"/>
    <w:rsid w:val="00A140AE"/>
    <w:rsid w:val="00B46E30"/>
    <w:rsid w:val="00B60276"/>
    <w:rsid w:val="00B767F3"/>
    <w:rsid w:val="00BE66C5"/>
    <w:rsid w:val="00BF460C"/>
    <w:rsid w:val="00C136E7"/>
    <w:rsid w:val="00C22E81"/>
    <w:rsid w:val="00C258CF"/>
    <w:rsid w:val="00CB14C6"/>
    <w:rsid w:val="00CB423F"/>
    <w:rsid w:val="00CC1F9B"/>
    <w:rsid w:val="00D06B7E"/>
    <w:rsid w:val="00D250D7"/>
    <w:rsid w:val="00D66E64"/>
    <w:rsid w:val="00D72379"/>
    <w:rsid w:val="00DA02A1"/>
    <w:rsid w:val="00DA7770"/>
    <w:rsid w:val="00DC5290"/>
    <w:rsid w:val="00DD19A3"/>
    <w:rsid w:val="00DD7479"/>
    <w:rsid w:val="00E86D1B"/>
    <w:rsid w:val="00EB30EA"/>
    <w:rsid w:val="00EC032F"/>
    <w:rsid w:val="00EF38D8"/>
    <w:rsid w:val="00FD4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22E81"/>
    <w:rPr>
      <w:rFonts w:ascii="Tahoma" w:hAnsi="Tahoma" w:cs="Tahoma"/>
      <w:sz w:val="16"/>
      <w:szCs w:val="16"/>
    </w:rPr>
  </w:style>
  <w:style w:type="character" w:customStyle="1" w:styleId="BalloonTextChar">
    <w:name w:val="Balloon Text Char"/>
    <w:basedOn w:val="DefaultParagraphFont"/>
    <w:link w:val="BalloonText"/>
    <w:semiHidden/>
    <w:rsid w:val="00C22E81"/>
    <w:rPr>
      <w:rFonts w:ascii="Tahoma" w:hAnsi="Tahoma" w:cs="Tahoma"/>
      <w:sz w:val="16"/>
      <w:szCs w:val="16"/>
    </w:rPr>
  </w:style>
  <w:style w:type="character" w:styleId="Hyperlink">
    <w:name w:val="Hyperlink"/>
    <w:aliases w:val="Alna"/>
    <w:basedOn w:val="DefaultParagraphFont"/>
    <w:uiPriority w:val="99"/>
    <w:qFormat/>
    <w:rsid w:val="00601DE2"/>
    <w:rPr>
      <w:rFonts w:cs="Times New Roman"/>
      <w:color w:val="0000FF"/>
      <w:u w:val="single"/>
    </w:rPr>
  </w:style>
  <w:style w:type="character" w:customStyle="1" w:styleId="UnresolvedMention">
    <w:name w:val="Unresolved Mention"/>
    <w:basedOn w:val="DefaultParagraphFont"/>
    <w:uiPriority w:val="99"/>
    <w:semiHidden/>
    <w:unhideWhenUsed/>
    <w:rsid w:val="007662C0"/>
    <w:rPr>
      <w:color w:val="605E5C"/>
      <w:shd w:val="clear" w:color="auto" w:fill="E1DFDD"/>
    </w:rPr>
  </w:style>
  <w:style w:type="paragraph" w:styleId="Revision">
    <w:name w:val="Revision"/>
    <w:hidden/>
    <w:semiHidden/>
    <w:rsid w:val="004C1825"/>
  </w:style>
  <w:style w:type="character" w:styleId="CommentReference">
    <w:name w:val="annotation reference"/>
    <w:basedOn w:val="DefaultParagraphFont"/>
    <w:semiHidden/>
    <w:unhideWhenUsed/>
    <w:rsid w:val="004C1825"/>
    <w:rPr>
      <w:sz w:val="16"/>
      <w:szCs w:val="16"/>
    </w:rPr>
  </w:style>
  <w:style w:type="paragraph" w:styleId="CommentText">
    <w:name w:val="annotation text"/>
    <w:basedOn w:val="Normal"/>
    <w:link w:val="CommentTextChar"/>
    <w:unhideWhenUsed/>
    <w:rsid w:val="004C1825"/>
    <w:rPr>
      <w:sz w:val="20"/>
    </w:rPr>
  </w:style>
  <w:style w:type="character" w:customStyle="1" w:styleId="CommentTextChar">
    <w:name w:val="Comment Text Char"/>
    <w:basedOn w:val="DefaultParagraphFont"/>
    <w:link w:val="CommentText"/>
    <w:rsid w:val="004C1825"/>
    <w:rPr>
      <w:sz w:val="20"/>
    </w:rPr>
  </w:style>
  <w:style w:type="paragraph" w:styleId="CommentSubject">
    <w:name w:val="annotation subject"/>
    <w:basedOn w:val="CommentText"/>
    <w:next w:val="CommentText"/>
    <w:link w:val="CommentSubjectChar"/>
    <w:semiHidden/>
    <w:unhideWhenUsed/>
    <w:rsid w:val="004C1825"/>
    <w:rPr>
      <w:b/>
      <w:bCs/>
    </w:rPr>
  </w:style>
  <w:style w:type="character" w:customStyle="1" w:styleId="CommentSubjectChar">
    <w:name w:val="Comment Subject Char"/>
    <w:basedOn w:val="CommentTextChar"/>
    <w:link w:val="CommentSubject"/>
    <w:semiHidden/>
    <w:rsid w:val="004C1825"/>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22E81"/>
    <w:rPr>
      <w:rFonts w:ascii="Tahoma" w:hAnsi="Tahoma" w:cs="Tahoma"/>
      <w:sz w:val="16"/>
      <w:szCs w:val="16"/>
    </w:rPr>
  </w:style>
  <w:style w:type="character" w:customStyle="1" w:styleId="BalloonTextChar">
    <w:name w:val="Balloon Text Char"/>
    <w:basedOn w:val="DefaultParagraphFont"/>
    <w:link w:val="BalloonText"/>
    <w:semiHidden/>
    <w:rsid w:val="00C22E81"/>
    <w:rPr>
      <w:rFonts w:ascii="Tahoma" w:hAnsi="Tahoma" w:cs="Tahoma"/>
      <w:sz w:val="16"/>
      <w:szCs w:val="16"/>
    </w:rPr>
  </w:style>
  <w:style w:type="character" w:styleId="Hyperlink">
    <w:name w:val="Hyperlink"/>
    <w:aliases w:val="Alna"/>
    <w:basedOn w:val="DefaultParagraphFont"/>
    <w:uiPriority w:val="99"/>
    <w:qFormat/>
    <w:rsid w:val="00601DE2"/>
    <w:rPr>
      <w:rFonts w:cs="Times New Roman"/>
      <w:color w:val="0000FF"/>
      <w:u w:val="single"/>
    </w:rPr>
  </w:style>
  <w:style w:type="character" w:customStyle="1" w:styleId="UnresolvedMention">
    <w:name w:val="Unresolved Mention"/>
    <w:basedOn w:val="DefaultParagraphFont"/>
    <w:uiPriority w:val="99"/>
    <w:semiHidden/>
    <w:unhideWhenUsed/>
    <w:rsid w:val="007662C0"/>
    <w:rPr>
      <w:color w:val="605E5C"/>
      <w:shd w:val="clear" w:color="auto" w:fill="E1DFDD"/>
    </w:rPr>
  </w:style>
  <w:style w:type="paragraph" w:styleId="Revision">
    <w:name w:val="Revision"/>
    <w:hidden/>
    <w:semiHidden/>
    <w:rsid w:val="004C1825"/>
  </w:style>
  <w:style w:type="character" w:styleId="CommentReference">
    <w:name w:val="annotation reference"/>
    <w:basedOn w:val="DefaultParagraphFont"/>
    <w:semiHidden/>
    <w:unhideWhenUsed/>
    <w:rsid w:val="004C1825"/>
    <w:rPr>
      <w:sz w:val="16"/>
      <w:szCs w:val="16"/>
    </w:rPr>
  </w:style>
  <w:style w:type="paragraph" w:styleId="CommentText">
    <w:name w:val="annotation text"/>
    <w:basedOn w:val="Normal"/>
    <w:link w:val="CommentTextChar"/>
    <w:unhideWhenUsed/>
    <w:rsid w:val="004C1825"/>
    <w:rPr>
      <w:sz w:val="20"/>
    </w:rPr>
  </w:style>
  <w:style w:type="character" w:customStyle="1" w:styleId="CommentTextChar">
    <w:name w:val="Comment Text Char"/>
    <w:basedOn w:val="DefaultParagraphFont"/>
    <w:link w:val="CommentText"/>
    <w:rsid w:val="004C1825"/>
    <w:rPr>
      <w:sz w:val="20"/>
    </w:rPr>
  </w:style>
  <w:style w:type="paragraph" w:styleId="CommentSubject">
    <w:name w:val="annotation subject"/>
    <w:basedOn w:val="CommentText"/>
    <w:next w:val="CommentText"/>
    <w:link w:val="CommentSubjectChar"/>
    <w:semiHidden/>
    <w:unhideWhenUsed/>
    <w:rsid w:val="004C1825"/>
    <w:rPr>
      <w:b/>
      <w:bCs/>
    </w:rPr>
  </w:style>
  <w:style w:type="character" w:customStyle="1" w:styleId="CommentSubjectChar">
    <w:name w:val="Comment Subject Char"/>
    <w:basedOn w:val="CommentTextChar"/>
    <w:link w:val="CommentSubject"/>
    <w:semiHidden/>
    <w:rsid w:val="004C182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skaita@marijampoesligonin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j.noreikeviciene@marijampoles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7D328-462E-45C8-ADB1-8CB2BCA6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14458</Words>
  <Characters>82413</Characters>
  <Application>Microsoft Office Word</Application>
  <DocSecurity>0</DocSecurity>
  <Lines>686</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Mindaudas Samusis</dc:creator>
  <cp:lastModifiedBy>Mindaugas</cp:lastModifiedBy>
  <cp:revision>6</cp:revision>
  <dcterms:created xsi:type="dcterms:W3CDTF">2025-12-19T08:36:00Z</dcterms:created>
  <dcterms:modified xsi:type="dcterms:W3CDTF">2025-12-19T11:44:00Z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