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C4CBFB" w14:textId="4C30100D" w:rsidR="003A5585" w:rsidRPr="00175CB6" w:rsidRDefault="00175CB6" w:rsidP="00175CB6">
      <w:pPr>
        <w:pStyle w:val="Temosantrat21"/>
        <w:keepNext/>
        <w:keepLines/>
        <w:shd w:val="clear" w:color="auto" w:fill="auto"/>
        <w:tabs>
          <w:tab w:val="left" w:pos="905"/>
        </w:tabs>
        <w:spacing w:before="0" w:after="0" w:line="240" w:lineRule="auto"/>
        <w:jc w:val="left"/>
        <w:rPr>
          <w:b w:val="0"/>
          <w:bCs w:val="0"/>
          <w:szCs w:val="24"/>
        </w:rPr>
      </w:pPr>
      <w:r w:rsidRPr="00175CB6">
        <w:rPr>
          <w:rFonts w:ascii="Times New Roman" w:hAnsi="Times New Roman"/>
          <w:b w:val="0"/>
          <w:bCs w:val="0"/>
          <w:sz w:val="24"/>
          <w:szCs w:val="24"/>
        </w:rPr>
        <w:t xml:space="preserve">                                                                   </w:t>
      </w:r>
      <w:r>
        <w:rPr>
          <w:rFonts w:ascii="Times New Roman" w:hAnsi="Times New Roman"/>
          <w:b w:val="0"/>
          <w:bCs w:val="0"/>
          <w:sz w:val="24"/>
          <w:szCs w:val="24"/>
        </w:rPr>
        <w:t xml:space="preserve">            </w:t>
      </w:r>
      <w:r w:rsidRPr="00175CB6">
        <w:rPr>
          <w:rFonts w:ascii="Times New Roman" w:hAnsi="Times New Roman"/>
          <w:b w:val="0"/>
          <w:bCs w:val="0"/>
          <w:sz w:val="24"/>
          <w:szCs w:val="24"/>
        </w:rPr>
        <w:t xml:space="preserve"> </w:t>
      </w:r>
      <w:r w:rsidRPr="00175CB6">
        <w:rPr>
          <w:rFonts w:ascii="Times New Roman" w:hAnsi="Times New Roman"/>
          <w:b w:val="0"/>
          <w:bCs w:val="0"/>
          <w:sz w:val="24"/>
          <w:szCs w:val="24"/>
        </w:rPr>
        <w:t>Pirkimo sąlygų 6 priedas „Techninė specifikacija“</w:t>
      </w:r>
      <w:r w:rsidR="003A5585" w:rsidRPr="00175CB6">
        <w:rPr>
          <w:rStyle w:val="Temosantrat20"/>
          <w:b w:val="0"/>
          <w:bCs w:val="0"/>
          <w:sz w:val="20"/>
          <w:szCs w:val="20"/>
          <w:u w:val="none"/>
        </w:rPr>
        <w:tab/>
      </w:r>
      <w:r w:rsidR="003A5585" w:rsidRPr="00175CB6">
        <w:rPr>
          <w:rStyle w:val="Temosantrat20"/>
          <w:b w:val="0"/>
          <w:bCs w:val="0"/>
          <w:sz w:val="20"/>
          <w:szCs w:val="20"/>
          <w:u w:val="none"/>
        </w:rPr>
        <w:tab/>
      </w:r>
      <w:r w:rsidR="003A5585" w:rsidRPr="00175CB6">
        <w:rPr>
          <w:rStyle w:val="Temosantrat20"/>
          <w:b w:val="0"/>
          <w:bCs w:val="0"/>
          <w:sz w:val="20"/>
          <w:szCs w:val="20"/>
          <w:u w:val="none"/>
        </w:rPr>
        <w:tab/>
      </w:r>
      <w:r w:rsidR="003A5585" w:rsidRPr="00175CB6">
        <w:rPr>
          <w:rStyle w:val="Temosantrat20"/>
          <w:b w:val="0"/>
          <w:bCs w:val="0"/>
          <w:sz w:val="20"/>
          <w:szCs w:val="20"/>
          <w:u w:val="none"/>
        </w:rPr>
        <w:tab/>
      </w:r>
      <w:r w:rsidR="003A5585" w:rsidRPr="00175CB6">
        <w:rPr>
          <w:rStyle w:val="Temosantrat20"/>
          <w:b w:val="0"/>
          <w:bCs w:val="0"/>
          <w:sz w:val="20"/>
          <w:szCs w:val="20"/>
          <w:u w:val="none"/>
        </w:rPr>
        <w:tab/>
      </w:r>
      <w:r w:rsidR="003A5585" w:rsidRPr="00175CB6">
        <w:rPr>
          <w:rStyle w:val="Temosantrat20"/>
          <w:b w:val="0"/>
          <w:bCs w:val="0"/>
          <w:sz w:val="20"/>
          <w:szCs w:val="20"/>
          <w:u w:val="none"/>
        </w:rPr>
        <w:tab/>
      </w:r>
    </w:p>
    <w:p w14:paraId="6181D906" w14:textId="77777777" w:rsidR="00175CB6" w:rsidRDefault="00E4402B" w:rsidP="00E4402B">
      <w:pPr>
        <w:tabs>
          <w:tab w:val="left" w:pos="1134"/>
        </w:tabs>
        <w:spacing w:after="0" w:line="240" w:lineRule="auto"/>
        <w:jc w:val="center"/>
        <w:rPr>
          <w:rFonts w:ascii="Times New Roman" w:eastAsia="Calibri" w:hAnsi="Times New Roman" w:cs="Times New Roman"/>
          <w:b/>
          <w:sz w:val="24"/>
          <w:szCs w:val="24"/>
        </w:rPr>
      </w:pPr>
      <w:r w:rsidRPr="00E4402B">
        <w:rPr>
          <w:rFonts w:ascii="Times New Roman" w:eastAsia="Calibri" w:hAnsi="Times New Roman" w:cs="Times New Roman"/>
          <w:b/>
          <w:sz w:val="24"/>
          <w:szCs w:val="24"/>
        </w:rPr>
        <w:t xml:space="preserve">ROKIŠKIO RAJONO VIETINĖS REIKŠMĖS KELIŲ (GATVIŲ) IR KITŲ INŽINERINIŲ STATINIŲ TIESIMO, REKONSTRAVIMO, REMONTO IR PRIEŽIŪROS DARBŲ TECHNINĖS PRIEŽIŪROS PASLAUGŲ PIRKIMO </w:t>
      </w:r>
    </w:p>
    <w:p w14:paraId="749EF913" w14:textId="6AE4AB05" w:rsidR="00E4402B" w:rsidRPr="00E4402B" w:rsidRDefault="00E4402B" w:rsidP="00E4402B">
      <w:pPr>
        <w:tabs>
          <w:tab w:val="left" w:pos="1134"/>
        </w:tabs>
        <w:spacing w:after="0" w:line="240" w:lineRule="auto"/>
        <w:jc w:val="center"/>
        <w:rPr>
          <w:rFonts w:ascii="Times New Roman" w:eastAsia="Calibri" w:hAnsi="Times New Roman" w:cs="Times New Roman"/>
          <w:b/>
          <w:sz w:val="24"/>
          <w:szCs w:val="24"/>
        </w:rPr>
      </w:pPr>
      <w:r w:rsidRPr="00E4402B">
        <w:rPr>
          <w:rFonts w:ascii="Times New Roman" w:eastAsia="Calibri" w:hAnsi="Times New Roman" w:cs="Times New Roman"/>
          <w:b/>
          <w:sz w:val="24"/>
          <w:szCs w:val="24"/>
        </w:rPr>
        <w:t>TECHNINĖ SPECIFIKACIJA</w:t>
      </w:r>
    </w:p>
    <w:p w14:paraId="11C64830" w14:textId="77777777" w:rsidR="00E4402B" w:rsidRPr="00E4402B" w:rsidRDefault="00E4402B" w:rsidP="00E4402B">
      <w:pPr>
        <w:tabs>
          <w:tab w:val="left" w:pos="1134"/>
        </w:tabs>
        <w:spacing w:after="0" w:line="240" w:lineRule="auto"/>
        <w:jc w:val="both"/>
        <w:rPr>
          <w:rFonts w:ascii="Times New Roman" w:eastAsia="Calibri" w:hAnsi="Times New Roman" w:cs="Times New Roman"/>
          <w:sz w:val="24"/>
          <w:szCs w:val="24"/>
        </w:rPr>
      </w:pPr>
    </w:p>
    <w:p w14:paraId="7ECC1DB2"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b/>
          <w:sz w:val="24"/>
          <w:szCs w:val="24"/>
        </w:rPr>
      </w:pPr>
      <w:r w:rsidRPr="00E4402B">
        <w:rPr>
          <w:rFonts w:ascii="Times New Roman" w:eastAsia="Calibri" w:hAnsi="Times New Roman" w:cs="Times New Roman"/>
          <w:b/>
          <w:sz w:val="24"/>
          <w:szCs w:val="24"/>
        </w:rPr>
        <w:t>1. Paslaugų teikimo apimtis ir terminai</w:t>
      </w:r>
    </w:p>
    <w:p w14:paraId="779C21B5" w14:textId="7BAC7E3E"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 xml:space="preserve">1.2. Pirkimo sutartis </w:t>
      </w:r>
      <w:bookmarkStart w:id="0" w:name="_Hlk194565681"/>
      <w:r w:rsidRPr="00E4402B">
        <w:rPr>
          <w:rFonts w:ascii="Times New Roman" w:eastAsia="Calibri" w:hAnsi="Times New Roman" w:cs="Times New Roman"/>
          <w:sz w:val="24"/>
          <w:szCs w:val="24"/>
        </w:rPr>
        <w:t xml:space="preserve">galioja </w:t>
      </w:r>
      <w:r w:rsidR="00F9193B">
        <w:rPr>
          <w:rFonts w:ascii="Times New Roman" w:eastAsia="Calibri" w:hAnsi="Times New Roman" w:cs="Times New Roman"/>
          <w:sz w:val="24"/>
          <w:szCs w:val="24"/>
        </w:rPr>
        <w:t>12 mėnesių su galimybę pratęsti ją 2 kartus po 12 mėnesių.</w:t>
      </w:r>
      <w:r w:rsidRPr="00E4402B">
        <w:rPr>
          <w:rFonts w:ascii="Times New Roman" w:eastAsia="Calibri" w:hAnsi="Times New Roman" w:cs="Times New Roman"/>
          <w:sz w:val="24"/>
          <w:szCs w:val="24"/>
        </w:rPr>
        <w:t xml:space="preserve"> </w:t>
      </w:r>
      <w:bookmarkEnd w:id="0"/>
    </w:p>
    <w:p w14:paraId="3BC61A42"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1.3. Techninės priežiūros paslaugos gali būti teikiamos šiems darbams:</w:t>
      </w:r>
    </w:p>
    <w:p w14:paraId="39EA3968"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1.3.1. kelių (gatvių) ir kitų inžinerinių statinių statyba;</w:t>
      </w:r>
    </w:p>
    <w:p w14:paraId="69A9260B"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1.3.2. kelių (gatvių) ir kitų inžinerinių statinių rekonstravimas;</w:t>
      </w:r>
    </w:p>
    <w:p w14:paraId="192556FB"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1.3.3. kelių (gatvių) ir kitų inžinerinių statinių kapitalinis remontas;</w:t>
      </w:r>
    </w:p>
    <w:p w14:paraId="48868CA3"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1.3.4. kelių (gatvių) ir kitų inžinerinių statinių paprastasis remontas;</w:t>
      </w:r>
    </w:p>
    <w:p w14:paraId="6CCE1E8E"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 xml:space="preserve">1.3.5. kelių (gatvių) ir kitų inžinerinių statinių priežiūros darbai (kelių (gatvių) su žvyro danga </w:t>
      </w:r>
      <w:proofErr w:type="spellStart"/>
      <w:r w:rsidRPr="00E4402B">
        <w:rPr>
          <w:rFonts w:ascii="Times New Roman" w:eastAsia="Calibri" w:hAnsi="Times New Roman" w:cs="Times New Roman"/>
          <w:sz w:val="24"/>
          <w:szCs w:val="24"/>
        </w:rPr>
        <w:t>greideriavimo</w:t>
      </w:r>
      <w:proofErr w:type="spellEnd"/>
      <w:r w:rsidRPr="00E4402B">
        <w:rPr>
          <w:rFonts w:ascii="Times New Roman" w:eastAsia="Calibri" w:hAnsi="Times New Roman" w:cs="Times New Roman"/>
          <w:sz w:val="24"/>
          <w:szCs w:val="24"/>
        </w:rPr>
        <w:t>, žvyravimo, griovių profiliavimo, kelių (gatvių) su asfaltbetonio danga duobių ir plyšių taisymo, kelio ženklų įrengimo, šviesoforų priežiūros, kelių (gatvių) ir kitų statinių priežiūros darbai žiemos metu ir kiti panašaus pobūdžio darbai, susiję su kelių priežiūra).</w:t>
      </w:r>
    </w:p>
    <w:p w14:paraId="3A772985" w14:textId="77777777" w:rsidR="00E4402B" w:rsidRPr="00E4402B" w:rsidRDefault="00E4402B" w:rsidP="00E4402B">
      <w:pPr>
        <w:tabs>
          <w:tab w:val="left" w:pos="1134"/>
        </w:tabs>
        <w:spacing w:after="0" w:line="240" w:lineRule="auto"/>
        <w:jc w:val="both"/>
        <w:rPr>
          <w:rFonts w:ascii="Times New Roman" w:eastAsia="Calibri" w:hAnsi="Times New Roman" w:cs="Times New Roman"/>
          <w:sz w:val="24"/>
          <w:szCs w:val="24"/>
        </w:rPr>
      </w:pPr>
    </w:p>
    <w:p w14:paraId="08809794"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b/>
          <w:sz w:val="24"/>
          <w:szCs w:val="24"/>
        </w:rPr>
      </w:pPr>
      <w:r w:rsidRPr="00E4402B">
        <w:rPr>
          <w:rFonts w:ascii="Times New Roman" w:eastAsia="Calibri" w:hAnsi="Times New Roman" w:cs="Times New Roman"/>
          <w:b/>
          <w:sz w:val="24"/>
          <w:szCs w:val="24"/>
        </w:rPr>
        <w:t>2. Teisinis reglamentavimas</w:t>
      </w:r>
    </w:p>
    <w:p w14:paraId="4843CE73"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2.1. Tiekėjas teikdamas paslaugas turi vadovaujasi šiais aktualiais dokumentais:</w:t>
      </w:r>
    </w:p>
    <w:p w14:paraId="6C53E8C4"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2.1.1. Lietuvos Respublikos kelių įstatymu;</w:t>
      </w:r>
    </w:p>
    <w:p w14:paraId="6A15A2FB"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2.1.2. Lietuvos Respublikos statybos įstatymu;</w:t>
      </w:r>
    </w:p>
    <w:p w14:paraId="5B1A7A15"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2.1.3. STR 1.06.01:2016 Statybos darbai. Statinio statybos priežiūra;</w:t>
      </w:r>
    </w:p>
    <w:p w14:paraId="21CA5DFC"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2.1.4. STR 1.05.01:2017 Statybą leidžiantys dokumentai. Statybos užbaigimas. Statybos sustabdymas. Savavališkos statybos padarinių šalinimas. Statybos pagal neteisėtai išduotą statybą leidžiantį dokumentą padarinių šalinimas;</w:t>
      </w:r>
    </w:p>
    <w:p w14:paraId="6B8444AA"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2.1.5. su konkrečiais statybos darbų objektais susijusių kitų statybos techninių reglamentų aktualiomis redakcijomis;</w:t>
      </w:r>
    </w:p>
    <w:p w14:paraId="4C4B2FD5"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2.1.6. konkrečių projektų statybos darbų objektų projektine dokumentacija;</w:t>
      </w:r>
    </w:p>
    <w:p w14:paraId="7B76E4CD"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2.1.7. konkrečių statybos rangos sutarčių sąlygomis;</w:t>
      </w:r>
    </w:p>
    <w:p w14:paraId="1B34984B" w14:textId="2607C646"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 xml:space="preserve">2.1.8. </w:t>
      </w:r>
      <w:r w:rsidR="00F9193B">
        <w:rPr>
          <w:rFonts w:ascii="Times New Roman" w:eastAsia="Calibri" w:hAnsi="Times New Roman" w:cs="Times New Roman"/>
          <w:sz w:val="24"/>
          <w:szCs w:val="24"/>
        </w:rPr>
        <w:t>AB „Via Lietuva“</w:t>
      </w:r>
      <w:r w:rsidRPr="00E4402B">
        <w:rPr>
          <w:rFonts w:ascii="Times New Roman" w:eastAsia="Calibri" w:hAnsi="Times New Roman" w:cs="Times New Roman"/>
          <w:sz w:val="24"/>
          <w:szCs w:val="24"/>
        </w:rPr>
        <w:t xml:space="preserve"> nurodytais statybos techniniais reglamentais, standartais, instrukcijomis, metodikomis bei normatyviniais statybos techniniais dokumentais;</w:t>
      </w:r>
    </w:p>
    <w:p w14:paraId="4BC326A0"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2.1.9. kitais paslaugų teikimą reglamentuojančiais teisės aktais ir dokumentais.</w:t>
      </w:r>
    </w:p>
    <w:p w14:paraId="18AD9681" w14:textId="77777777" w:rsidR="00E4402B" w:rsidRPr="00E4402B" w:rsidRDefault="00E4402B" w:rsidP="00E4402B">
      <w:pPr>
        <w:tabs>
          <w:tab w:val="left" w:pos="1134"/>
        </w:tabs>
        <w:spacing w:after="0" w:line="240" w:lineRule="auto"/>
        <w:jc w:val="both"/>
        <w:rPr>
          <w:rFonts w:ascii="Times New Roman" w:eastAsia="Calibri" w:hAnsi="Times New Roman" w:cs="Times New Roman"/>
          <w:sz w:val="24"/>
          <w:szCs w:val="24"/>
        </w:rPr>
      </w:pPr>
    </w:p>
    <w:p w14:paraId="56738630"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b/>
          <w:sz w:val="24"/>
          <w:szCs w:val="24"/>
        </w:rPr>
      </w:pPr>
      <w:r w:rsidRPr="00E4402B">
        <w:rPr>
          <w:rFonts w:ascii="Times New Roman" w:eastAsia="Calibri" w:hAnsi="Times New Roman" w:cs="Times New Roman"/>
          <w:b/>
          <w:sz w:val="24"/>
          <w:szCs w:val="24"/>
        </w:rPr>
        <w:t>3. Reikalavimai darbuotojams</w:t>
      </w:r>
    </w:p>
    <w:p w14:paraId="28EFC98A" w14:textId="2BADC330"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3.1. Tiekėjas vykdydamas sutartį privalo paskirti reikiamą skaičių statinio statybos techninės priežiūros vadovų (priklausomai kokioje statinių grupėje vykdys techninę priežiūrą)</w:t>
      </w:r>
      <w:r w:rsidR="0089472B">
        <w:rPr>
          <w:rFonts w:ascii="Times New Roman" w:eastAsia="Calibri" w:hAnsi="Times New Roman" w:cs="Times New Roman"/>
          <w:sz w:val="24"/>
          <w:szCs w:val="24"/>
        </w:rPr>
        <w:t>.</w:t>
      </w:r>
      <w:r w:rsidRPr="00E4402B">
        <w:rPr>
          <w:rFonts w:ascii="Times New Roman" w:eastAsia="Calibri" w:hAnsi="Times New Roman" w:cs="Times New Roman"/>
          <w:sz w:val="24"/>
          <w:szCs w:val="24"/>
        </w:rPr>
        <w:t xml:space="preserve"> Techninės priežiūros vadovas paskiriamas kiekvienam rangos darbų objektui atskirtai, daliai jų arba visiems objektams kartu.</w:t>
      </w:r>
    </w:p>
    <w:p w14:paraId="12136E67"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3.2. Techninės priežiūros komanda turi būti sudaryta taip, kad laiku būtų atliekamos visos šioje techninėje specifikacijoje, konkrečių statybos darbų sutarčių sąlygose, kituose statybos techninę priežiūrą reglamentuojančiuose teisės aktuose ir normatyviniuose dokumentuose nurodytos funkcijos bei užtikrintas pagrindinių darbuotojų pavadavimas jų atostogų, komandiruočių ar ligos metu, taip pat esant kitoms nenumatytoms aplinkybėms.</w:t>
      </w:r>
    </w:p>
    <w:p w14:paraId="0E7F32E6"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3.3. Pagrindinių darbuotojų atostogų, komandiruočių ar ligos metu, taip pat esant kitoms nenumatytoms aplinkybėms, juos pavaduoja kiti tiekėjo numatyti techninės priežiūros vadovai. Tokiais atvejais darbuotojų pavadavimas ar pakeitimas įforminami tiekėjo įmonės vadovo įsakymu, kurio kopija el. paštu pateikiama perkančiajai organizacijai.</w:t>
      </w:r>
    </w:p>
    <w:p w14:paraId="40D04DFD"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3.4. Perkančioji organizacija pirkimo sutarties vykdymo metu gali raštu paprašyti, nurodydama pagrįstą priežastį, pakeisti bet kurį tiekėjo techninės priežiūros vadovą, jei yra manoma, kad tas darbuotojas neatlieka savo pareigų pagal pirkimo sutarties sąlygas.</w:t>
      </w:r>
    </w:p>
    <w:p w14:paraId="124CB1BD"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lastRenderedPageBreak/>
        <w:t xml:space="preserve">3.5. Už visus kaštus, susijusius su bet kurių techninės priežiūros vadovų pakeitimu ar naujų paskyrimu, yra atsakingas tiekėjas. </w:t>
      </w:r>
    </w:p>
    <w:p w14:paraId="234B566F" w14:textId="77777777" w:rsidR="00E4402B" w:rsidRPr="00E4402B" w:rsidRDefault="00E4402B" w:rsidP="00E4402B">
      <w:pPr>
        <w:tabs>
          <w:tab w:val="left" w:pos="1134"/>
        </w:tabs>
        <w:spacing w:after="0" w:line="240" w:lineRule="auto"/>
        <w:jc w:val="both"/>
        <w:rPr>
          <w:rFonts w:ascii="Times New Roman" w:eastAsia="Calibri" w:hAnsi="Times New Roman" w:cs="Times New Roman"/>
          <w:sz w:val="24"/>
          <w:szCs w:val="24"/>
        </w:rPr>
      </w:pPr>
    </w:p>
    <w:p w14:paraId="1C3FB1B3"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b/>
          <w:sz w:val="24"/>
          <w:szCs w:val="24"/>
        </w:rPr>
      </w:pPr>
      <w:r w:rsidRPr="00E4402B">
        <w:rPr>
          <w:rFonts w:ascii="Times New Roman" w:eastAsia="Calibri" w:hAnsi="Times New Roman" w:cs="Times New Roman"/>
          <w:b/>
          <w:sz w:val="24"/>
          <w:szCs w:val="24"/>
        </w:rPr>
        <w:t>4. Paslaugų teikimo tvarka</w:t>
      </w:r>
    </w:p>
    <w:p w14:paraId="5290DD8B"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4.1. Techninės priežiūros vadovo funkcijas tiekėjas vykdo vadovaudamasis statybos techniniu reglamentu STR 1.06.01:2016 „Statybos darbai. Statinio statybos priežiūra“.</w:t>
      </w:r>
    </w:p>
    <w:p w14:paraId="1A8FFC35"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4.2. Statinio statybos techninės priežiūros vadovas savo veiklos rezultatus įformina, įrašydamas reikalavimus elektroniniame statybos darbų žurnale arba pasirašydamas (vizuodamas) dokumentus (statinių statybos darbų priėmimo aktus, paslėptų statybos darbų aktus ar kitus dokumentus).</w:t>
      </w:r>
    </w:p>
    <w:p w14:paraId="20CB4783"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4.3. Statinio statybos techninės priežiūros vadovas nepasirašo darbų perdavimo-priėmimo dokumentų, tol kol rangovas tinkamai neužpildo elektroninio statybos žurnalo, jei toks žurnalas pildomas.</w:t>
      </w:r>
    </w:p>
    <w:p w14:paraId="3183204B"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4.4. Statinio statybos techninės priežiūros vadovo parašas dokumentuose patvirtina jo reikalavimų vykdymą statinio statybos vadovui, o priimant atliktus statybos darbus – tų statybos darbų būtiną normatyvinę kokybę ir dokumentuose nurodytų statybos darbų kiekių sutikimą su faktiškais statybos darbų kiekiais.</w:t>
      </w:r>
    </w:p>
    <w:p w14:paraId="0E7A9D77"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 Statinio statybos techninės priežiūros vadovas taip pat privalo:</w:t>
      </w:r>
    </w:p>
    <w:p w14:paraId="10F784E6"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4.5.1. tikrinti per visą statinio statybos laiką, kad statinys būtų statomas pagal statinio projektą, laikantis teisės aktų, statybą leidžiančio dokumento, statybos normatyvinių dokumentų, normatyvinių statinio saugos ir paskirties dokumentų, prisijungimo sąlygų ir kitų aktualių dokumentų reikalavimų, laiku būtų atliekami reikalingi matavimai ir bandymai;</w:t>
      </w:r>
    </w:p>
    <w:p w14:paraId="02B2148B"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4.5.2. kontroliuoti statybą leidžiančio dokumento, statinio projekto, prisijungimo sąlygų, leidimo riboti eismą galiojimo terminus, informuoti perkančiąją organizaciją apie jų pratęsimo (pakeitimo) būtinumą;</w:t>
      </w:r>
    </w:p>
    <w:p w14:paraId="04CAD9B0"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4.5.3. kontroliuoti statybos darbų vietų nužymėjimo, statybos darbų vietų aptvėrimų, eismo organizavimo reikalavimų laikymąsi (ar įrengti visi numatyti kelio ženklai, ar išlaikyti nustatyti atstumai, pločiai ir bendras ruožo ilgis bei, jei buvo numatyta, ar tinkamai veikia šviesoforai, yra dangos ženklinimas, ar veikia apšvietimas tamsiu paros metu ir pan.), statybos rangos sutartyje numatytą rangovo perimtos statybvietės ir joje esančio turto priežiūrą, nedelsiant apie nustatytus neatitikimus informuoti rangovą ir perkančiąją organizaciją;</w:t>
      </w:r>
    </w:p>
    <w:p w14:paraId="750DE976"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4.5.4. nagrinėti statinio projektą. Pastebėjus, kad statinio projekto sprendiniai arba darbų kiekiai neatitinka faktiškų statybos sąlygų, ar dėl kitų priežasčių negali būti realizuojami, informuoti visus statybos dalyvius dėl poreikio tikslinti projektinius sprendinius rangos darbų sutarties sąlygose nustatyta tvarka, dalyvauti rengiant ir įforminant darbų pakeitimą. Analizuoti pateikiant savo argumentus, pagrindžiančius papildomų ir (ar) neatliekamų darbų būtinybę, dėl pritarimo darbų pakeitimui;</w:t>
      </w:r>
    </w:p>
    <w:p w14:paraId="31C2515D"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4.5.5. kontroliuoti, kad visi statinio projekto pakeitimai būtų atlikti ir įforminti teisės aktų nustatyta tvarka. Jei pakeisti projektiniai sprendiniai neįteisinti nustatyta tvarka, sustabdyti tos dalies, kurios projektiniai sprendiniai buvo keičiami, statybos darbus;</w:t>
      </w:r>
    </w:p>
    <w:p w14:paraId="06B830EF"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 xml:space="preserve">4.5.6. kontroliuoti statybos metu naudojamų statybos produktų bei įrenginių kokybę ir neleisti jų naudoti, jeigu jie neatitinka statinio projekto, normatyvinių statybos techninių dokumentų, normatyvinių statinio saugos ir paskirties dokumentų reikalavimų, taip pat jei nepateikti kokybę patvirtinantys dokumentai; </w:t>
      </w:r>
    </w:p>
    <w:p w14:paraId="6339F3A0"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4.5.7. tikrinti rangovo pateiktą statybos darbų technologijos projekto, jei jis rengiamas, atitikimą STR 1.06.01:2016 „Statybos darbai. Statinio statybos priežiūra“, kitiems galiojantiems teisės aktams ir normatyviniams dokumentams, projektinei dokumentacijai, ir pritarti (suderinimo žyma ant viršelio), arba esant neatitikimams, gražinti tikslinti rangovui;</w:t>
      </w:r>
    </w:p>
    <w:p w14:paraId="414420CF"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 xml:space="preserve">4.5.8. tikrinti statybos rangovo atliktų statybos darbų kokybę bei mastą, kontroliuoti statybos darbų atlikimą pagal statybos rangos sutartyje numatytą darbų technologiją, sekti atlikimo pagal technologiją nuoseklumą, derinti technologijų keitimą, nedelsiant informuoti perkančiąją </w:t>
      </w:r>
      <w:r w:rsidRPr="00E4402B">
        <w:rPr>
          <w:rFonts w:ascii="Times New Roman" w:eastAsia="Calibri" w:hAnsi="Times New Roman" w:cs="Times New Roman"/>
          <w:sz w:val="24"/>
          <w:szCs w:val="24"/>
        </w:rPr>
        <w:lastRenderedPageBreak/>
        <w:t>organizaciją apie atliktus statybos darbus, kurie neatitinka statybos rangos sutarties, statinio projekto ar/ir statinio normatyvinės kokybės reikalavimų;</w:t>
      </w:r>
    </w:p>
    <w:p w14:paraId="6DAB7D50"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4.5.9. tikrinti ir pasirašyti (vizuoti) statybos rangovo parengtus ir pateiktus apmokėti statybos darbų atlikimo dokumentus tik tuomet, kai atlikti statybos darbai atitinka statinio normatyvinės kokybės reikalavimus bei kai juos pasirašė specialiosios techninės priežiūros vadovai (kai specialioji statinio statybos techninė priežiūra privaloma);</w:t>
      </w:r>
    </w:p>
    <w:p w14:paraId="66F35747"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4.5.10. ne vėliau kaip per 3 (tris) darbo dienas išnagrinėti rangovo pateiktus prašymo dėl rangos sutarties vykdymo sustabdymo (kai ši sąlyga yra numatyta rangos sutartyje) dokumentus ir pateikti Kelių direkcijai kompetentingą ir pagrįstą siūlymą dėl pritarimo ar nepritarimo šiam prašymui;</w:t>
      </w:r>
    </w:p>
    <w:p w14:paraId="20682A51"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4.5.11. tikrinti ir priimti statybos rangovo atliktus paslėptus statybos darbus ir paslėptas statinio konstrukcijas;</w:t>
      </w:r>
    </w:p>
    <w:p w14:paraId="572C3200"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4.5.12. iš statybos rangovo gavus pranešimą apie numatomą užbaigto statybos darbo ar darbo dalies pridavimą, ne vėliau kaip per 2 darbo dienas, apimtis suderinus su perkančiąją organizaciją, el. paštu pateikti perkančiosios organizacijos nurodytai įmonei (laboratorijai) užsakymą atlikti reikalingus bandymus ir/ar tyrimus (pvz. išgręžti kernus, nustatyti deformacijos modulį ir pan.);</w:t>
      </w:r>
    </w:p>
    <w:p w14:paraId="55871C44"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4.5.13. iš statybos rangovo gavus pranešimą apie numatomą užbaigto statybos darbo ar darbo dalies pridavimą, ne vėliau kaip per 2 darbo dienas, apimtis suderinus su perkančiąją organizaciją, paimti iš objekto medžiagas, kurioms privaloma atlikti kontrolinius bandymus ir/ar tyrimus (pvz. asfaltbetonio mišinio granuliometrinės sudėties nustatymas, nesurištųjų mineralinių medžiagų granuliometrinės sudėties nustatymas ir pan.) ir tiesiogiai pristatyti perkančiosios organizacijos nurodytai įmonei (laboratorijai);</w:t>
      </w:r>
    </w:p>
    <w:p w14:paraId="3B54369E"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 xml:space="preserve">4.5.14. tikrinti, kad atliktų statybos darbų dokumentuose nurodyti darbų kiekiai atitiktų faktiškus ir, jei reikia, organizuoti tų statybos darbų kiekių nustatymą apmatuojant. </w:t>
      </w:r>
    </w:p>
    <w:p w14:paraId="28C0240A"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4.5.15. dalyvauti išbandant ir pasirašant (vizuojant) inžinerinių tinklų, inžinerinių sistemų, įrenginių, statybos užbaigimo aktus;</w:t>
      </w:r>
    </w:p>
    <w:p w14:paraId="6E3368E6"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4.5.16. neleisti atlikti statinio projekto pakeitimų (nepritarti statybos rangovo pretenzijoms/siūlymams), statybos projekte arba statybos rangos sutartyje numatytų medžiagų ir/ar gaminių keitimų bei statybos rangos sutartyje numatytų statybos darbų technologijų keitimų, jeigu tai yra nepagrįsta ir nebūtina tinkamai, kokybiškai, saugiai ir laiku užbaigti statybos darbus pagal rangos darbų sutarties sąlygas;</w:t>
      </w:r>
    </w:p>
    <w:p w14:paraId="454C3485"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4.5.17. atlikti bendrosios statinio statybos techninės priežiūros vadovo funkcijas, koordinuoti specialiąją (specialiųjų statybos darbų) statinio statybos techninę priežiūrą (kai pagal teisės aktus specialioji statinio statybos techninė priežiūra privaloma) ir jos vadovų veiklą. Reikalauti, kad specialiųjų statybos darbų aktus pasirašytų specialiosios statinio statybos techninės priežiūros vadovai;</w:t>
      </w:r>
    </w:p>
    <w:p w14:paraId="17879AA0"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4.5.18. kontroliuoti tinkamą statybos darbų žurnalų pildymą statybos techninio reglamento STR 1.06.01:2016 „Statybos darbai. Statinio statybos priežiūra“ nustatyta tvarka, nedelsiant apie nustatytus neatitikimus informuoti perkančiąją organizaciją;</w:t>
      </w:r>
    </w:p>
    <w:p w14:paraId="4843AA77"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4.5.19. kontroliuoti, ar statybos darbus vykdo tik tie subrangovai, kurie buvo nurodyti statybos rangovo pasiūlyme ar papildomai pasitelkti suderinti sutartyje nustatyta tvarka ir apie nustatytus neatitikimus informuoti rangovą ir perkančiąją organizaciją;</w:t>
      </w:r>
    </w:p>
    <w:p w14:paraId="66EF75DD"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4.5.20. pagal statybos normatyvinių dokumentų reikalavimus visa apimtimi visiems objektams apskaičiuoti pinigines išskaitas statybos rangovui už ribinių verčių ir leistinų nuokrypių nesilaikymą, šias paskaičiuotas ir parašu patvirtintas išskaitas el. paštu pateikti perkančiajai organizacijai, kartu pridedant atliktų kontrolinių laboratorinių bandymų ir tyrimų rezultatų suvestinę bei tuos protokolus, pagal kuriuos buvo apskaičiuotos piniginės išskaitos;</w:t>
      </w:r>
    </w:p>
    <w:p w14:paraId="0B8988F0" w14:textId="45A88C78"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4.5.21. kartu su perkančiosios organizacijos atstovu atlikti galutinę statybos objektų apžiūrą, esant poreikiui parengti tų apžiūrų aktus, kuriuose nurodomi esminiai ir</w:t>
      </w:r>
      <w:r w:rsidR="00445ECD">
        <w:rPr>
          <w:rFonts w:ascii="Times New Roman" w:eastAsia="Calibri" w:hAnsi="Times New Roman" w:cs="Times New Roman"/>
          <w:sz w:val="24"/>
          <w:szCs w:val="24"/>
        </w:rPr>
        <w:t xml:space="preserve"> (</w:t>
      </w:r>
      <w:r w:rsidRPr="00E4402B">
        <w:rPr>
          <w:rFonts w:ascii="Times New Roman" w:eastAsia="Calibri" w:hAnsi="Times New Roman" w:cs="Times New Roman"/>
          <w:sz w:val="24"/>
          <w:szCs w:val="24"/>
        </w:rPr>
        <w:t>ar</w:t>
      </w:r>
      <w:r w:rsidR="00445ECD">
        <w:rPr>
          <w:rFonts w:ascii="Times New Roman" w:eastAsia="Calibri" w:hAnsi="Times New Roman" w:cs="Times New Roman"/>
          <w:sz w:val="24"/>
          <w:szCs w:val="24"/>
        </w:rPr>
        <w:t>)</w:t>
      </w:r>
      <w:r w:rsidRPr="00E4402B">
        <w:rPr>
          <w:rFonts w:ascii="Times New Roman" w:eastAsia="Calibri" w:hAnsi="Times New Roman" w:cs="Times New Roman"/>
          <w:sz w:val="24"/>
          <w:szCs w:val="24"/>
        </w:rPr>
        <w:t xml:space="preserve"> neesminiai trūkumai;</w:t>
      </w:r>
    </w:p>
    <w:p w14:paraId="36571703"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 xml:space="preserve">4.5.22. el. paštu pateikti perkančiajai organizacijai kontrolinių laboratorinių bandymų protokolus skaitmeniniu formatu; </w:t>
      </w:r>
    </w:p>
    <w:p w14:paraId="461A8DEE"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lastRenderedPageBreak/>
        <w:t>4.5.23. reikalaujant projektą finansuojančiai institucijai, teikti ataskaitas apie projektų įgyvendinimo eigą;</w:t>
      </w:r>
    </w:p>
    <w:p w14:paraId="03C3B403"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4.5.24. vykdyti kitus pagrįstus, neprieštaraujančius sutartiniams įsipareigojimams ir teisės aktų reikalavimams perkančiosios organizacijos nurodymus.</w:t>
      </w:r>
    </w:p>
    <w:p w14:paraId="05DD94AF" w14:textId="77777777" w:rsidR="00E4402B" w:rsidRPr="00E4402B" w:rsidRDefault="00E4402B" w:rsidP="00E4402B">
      <w:pPr>
        <w:tabs>
          <w:tab w:val="left" w:pos="1134"/>
        </w:tabs>
        <w:spacing w:after="0" w:line="240" w:lineRule="auto"/>
        <w:jc w:val="both"/>
        <w:rPr>
          <w:rFonts w:ascii="Times New Roman" w:eastAsia="Calibri" w:hAnsi="Times New Roman" w:cs="Times New Roman"/>
          <w:sz w:val="24"/>
          <w:szCs w:val="24"/>
        </w:rPr>
      </w:pPr>
    </w:p>
    <w:p w14:paraId="209DBCE4"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b/>
          <w:sz w:val="24"/>
          <w:szCs w:val="24"/>
        </w:rPr>
      </w:pPr>
      <w:r w:rsidRPr="00E4402B">
        <w:rPr>
          <w:rFonts w:ascii="Times New Roman" w:eastAsia="Calibri" w:hAnsi="Times New Roman" w:cs="Times New Roman"/>
          <w:b/>
          <w:sz w:val="24"/>
          <w:szCs w:val="24"/>
        </w:rPr>
        <w:t>5. Statybos techninio prižiūrėtojo teisės ir atsakomybė</w:t>
      </w:r>
    </w:p>
    <w:p w14:paraId="5E643CF6"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5.1. Statinio statybos techniniai prižiūrėtojai, be nurodytų STR 1.06.01:2016 „Statybos darbai. Statinio statybos priežiūra“, turi šias teises:</w:t>
      </w:r>
    </w:p>
    <w:p w14:paraId="468383CE"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5.1.1. atstovauti (be papildomo įgaliojimo) perkančiajai organizacijai pagal STR 1.06.01:2016 „Statybos darbai. Statinio statybos priežiūra“ nustatytą kompetenciją sprendžiant statybos techninės priežiūros klausimus su valstybės ir savivaldos institucijomis, juridiniais ir fiziniais asmenimis;</w:t>
      </w:r>
    </w:p>
    <w:p w14:paraId="3E6458E4"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5.1.2. nustačius, kad statinio projekto sprendiniai neatitinka faktiškų statybos sąlygų arba dėl kitų priežasčių negali būti realizuojami, neleisti (įrašant į statybos darbų žurnalą) statybos rangovui tokių statinio projekto sprendinių realizuoti ir kreiptis į perkančiąją organizaciją dėl šių statinio projekto sprendinių koregavimo;</w:t>
      </w:r>
    </w:p>
    <w:p w14:paraId="2AB3019D" w14:textId="762DD0F6"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5.1.3. reikalauti, kad statybos rangovas nurodytais terminais pateiktų atliktų statybos ir montavimo darbų, panaudotų statybos medžiagų, gaminių, produktų ir</w:t>
      </w:r>
      <w:r w:rsidR="00445ECD">
        <w:rPr>
          <w:rFonts w:ascii="Times New Roman" w:eastAsia="Calibri" w:hAnsi="Times New Roman" w:cs="Times New Roman"/>
          <w:sz w:val="24"/>
          <w:szCs w:val="24"/>
        </w:rPr>
        <w:t xml:space="preserve"> (</w:t>
      </w:r>
      <w:r w:rsidRPr="00E4402B">
        <w:rPr>
          <w:rFonts w:ascii="Times New Roman" w:eastAsia="Calibri" w:hAnsi="Times New Roman" w:cs="Times New Roman"/>
          <w:sz w:val="24"/>
          <w:szCs w:val="24"/>
        </w:rPr>
        <w:t>ar</w:t>
      </w:r>
      <w:r w:rsidR="00445ECD">
        <w:rPr>
          <w:rFonts w:ascii="Times New Roman" w:eastAsia="Calibri" w:hAnsi="Times New Roman" w:cs="Times New Roman"/>
          <w:sz w:val="24"/>
          <w:szCs w:val="24"/>
        </w:rPr>
        <w:t>)</w:t>
      </w:r>
      <w:r w:rsidRPr="00E4402B">
        <w:rPr>
          <w:rFonts w:ascii="Times New Roman" w:eastAsia="Calibri" w:hAnsi="Times New Roman" w:cs="Times New Roman"/>
          <w:sz w:val="24"/>
          <w:szCs w:val="24"/>
        </w:rPr>
        <w:t xml:space="preserve"> įrenginių kokybę ir atitiktį patvirtinančius dokumentus;</w:t>
      </w:r>
    </w:p>
    <w:p w14:paraId="3051B542"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5.1.4. reikalauti, kad statybos rangovas nurodytais terminais pašalintų nustatytus statybos darbų žurnalo pildymo trūkumus;</w:t>
      </w:r>
    </w:p>
    <w:p w14:paraId="49A37AEB"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5.1.5. reikalauti, kad statybos rangovas nurodytais terminais pašalintų statinio projekto, statybos normatyvinių dokumentų bei normatyvinių statinio saugos ir paskirties dokumentų reikalavimų pažeidimus;</w:t>
      </w:r>
    </w:p>
    <w:p w14:paraId="1FAF7053" w14:textId="441647BE"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5.1.6. sustabdyti statybos darbus teisės aktų reikalavimų nustatytais atvejais ir tvarka, arba jei statybos darbai vykdomi ne pagal statinio projektą ar pakeisti statinio projekto sprendiniai neįteisinti teisės aktų nustatyta tvarka</w:t>
      </w:r>
      <w:r w:rsidR="00445ECD">
        <w:rPr>
          <w:rFonts w:ascii="Times New Roman" w:eastAsia="Calibri" w:hAnsi="Times New Roman" w:cs="Times New Roman"/>
          <w:sz w:val="24"/>
          <w:szCs w:val="24"/>
        </w:rPr>
        <w:t>.</w:t>
      </w:r>
    </w:p>
    <w:p w14:paraId="2874E9A9"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6.1. Statinio statybos techniniai prižiūrėtojai taip pat, be nurodytų STR 1.06.01:2016 „Statybos darbai. Statinio statybos priežiūra“, turi teisę atsisakyti:</w:t>
      </w:r>
    </w:p>
    <w:p w14:paraId="2834B324"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6.1.1. pasirašyti paslėptų statybos darbų ir statinio konstrukcijų patikrinimo, šių konstrukcijų bei inžinerinių tinklų išbandymo, priėmimo, statybos darbų įvykdymo aktus bei kitus statybos vykdymo dokumentus, neatitinkančius statinio normatyvinės kokybės (statybos normatyvinių dokumentų bei normatyvinių statinio saugos ir paskirties dokumentų) reikalavimų, apie tai įrašant į statybos darbų žurnalą ir raštu informuojant perkančiąją organizaciją;</w:t>
      </w:r>
    </w:p>
    <w:p w14:paraId="08C92F25"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6.1.2. vizuoti užmokesčio už atliktus statybos darbus dokumentus, jeigu darbai atlikti pažeidžiant statinio projekto, normatyvinių statybos techninių dokumentų, normatyvinių statinio saugos ir paskirties dokumentų arba statybos rangos sutarčių reikalavimus, apie tai raštu informuojant perkančiąją organizaciją;</w:t>
      </w:r>
    </w:p>
    <w:p w14:paraId="2922415C" w14:textId="5F1C7AA6"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6.1.3. vykdyti valstybės ir savivaldos institucijų, juridinių (tarp jų perkančiosios organizacijos ar statybos rangovo) ir</w:t>
      </w:r>
      <w:r w:rsidR="00445ECD">
        <w:rPr>
          <w:rFonts w:ascii="Times New Roman" w:eastAsia="Calibri" w:hAnsi="Times New Roman" w:cs="Times New Roman"/>
          <w:sz w:val="24"/>
          <w:szCs w:val="24"/>
        </w:rPr>
        <w:t xml:space="preserve"> (</w:t>
      </w:r>
      <w:r w:rsidRPr="00E4402B">
        <w:rPr>
          <w:rFonts w:ascii="Times New Roman" w:eastAsia="Calibri" w:hAnsi="Times New Roman" w:cs="Times New Roman"/>
          <w:sz w:val="24"/>
          <w:szCs w:val="24"/>
        </w:rPr>
        <w:t>ar</w:t>
      </w:r>
      <w:r w:rsidR="00445ECD">
        <w:rPr>
          <w:rFonts w:ascii="Times New Roman" w:eastAsia="Calibri" w:hAnsi="Times New Roman" w:cs="Times New Roman"/>
          <w:sz w:val="24"/>
          <w:szCs w:val="24"/>
        </w:rPr>
        <w:t>)</w:t>
      </w:r>
      <w:r w:rsidRPr="00E4402B">
        <w:rPr>
          <w:rFonts w:ascii="Times New Roman" w:eastAsia="Calibri" w:hAnsi="Times New Roman" w:cs="Times New Roman"/>
          <w:sz w:val="24"/>
          <w:szCs w:val="24"/>
        </w:rPr>
        <w:t xml:space="preserve"> fizinių asmenų reikalavimus, jei jie prieštarauja teisės aktų reikalavimams.</w:t>
      </w:r>
    </w:p>
    <w:p w14:paraId="223232A0"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6.2. Statinio statybos techniniai prižiūrėtojai (bendrosios statinio statybos techninės priežiūros vadovai) ir specialiosios statinio statybos techninės priežiūros vadovai už STR 1.06.01:2016 „Statybos darbai. Statinio statybos priežiūra“ ir šioje techninėje specifikacijoje nurodytų pareigų nevykdymą ar netinkamą vykdymą atsako teisės aktų nustatyta tvarka.</w:t>
      </w:r>
    </w:p>
    <w:p w14:paraId="7ACCF38C" w14:textId="77777777" w:rsidR="00E4402B" w:rsidRPr="00E4402B" w:rsidRDefault="00E4402B" w:rsidP="00E4402B">
      <w:pPr>
        <w:tabs>
          <w:tab w:val="left" w:pos="1134"/>
        </w:tabs>
        <w:spacing w:after="0" w:line="240" w:lineRule="auto"/>
        <w:ind w:firstLine="709"/>
        <w:jc w:val="both"/>
        <w:rPr>
          <w:rFonts w:ascii="Times New Roman" w:eastAsia="Calibri" w:hAnsi="Times New Roman" w:cs="Times New Roman"/>
          <w:sz w:val="24"/>
          <w:szCs w:val="24"/>
        </w:rPr>
      </w:pPr>
      <w:r w:rsidRPr="00E4402B">
        <w:rPr>
          <w:rFonts w:ascii="Times New Roman" w:eastAsia="Calibri" w:hAnsi="Times New Roman" w:cs="Times New Roman"/>
          <w:sz w:val="24"/>
          <w:szCs w:val="24"/>
        </w:rPr>
        <w:t>6.3. Statinio statybos techniniai prižiūrėtojai taip pat atsako už kitas savo veiklos neigiamas pasekmes, kurios atsirado pažeidus STR 1.06.01:2016 „Statybos darbai. Statinio statybos priežiūra“ reikalavimus arba jais nepasinaudojus.</w:t>
      </w:r>
    </w:p>
    <w:p w14:paraId="23A83061" w14:textId="77777777" w:rsidR="00E4402B" w:rsidRPr="00E4402B" w:rsidRDefault="00E4402B" w:rsidP="00E4402B">
      <w:pPr>
        <w:tabs>
          <w:tab w:val="left" w:pos="1134"/>
        </w:tabs>
        <w:spacing w:after="0" w:line="240" w:lineRule="auto"/>
        <w:jc w:val="both"/>
        <w:rPr>
          <w:rFonts w:ascii="Times New Roman" w:eastAsia="Calibri" w:hAnsi="Times New Roman" w:cs="Times New Roman"/>
          <w:sz w:val="20"/>
          <w:szCs w:val="20"/>
        </w:rPr>
      </w:pPr>
    </w:p>
    <w:p w14:paraId="0654D016" w14:textId="77777777" w:rsidR="00E4402B" w:rsidRPr="00E4402B" w:rsidRDefault="00E4402B" w:rsidP="00E4402B">
      <w:pPr>
        <w:tabs>
          <w:tab w:val="left" w:pos="1134"/>
        </w:tabs>
        <w:spacing w:after="0" w:line="240" w:lineRule="auto"/>
        <w:jc w:val="center"/>
        <w:rPr>
          <w:rFonts w:ascii="Times New Roman" w:eastAsia="Calibri" w:hAnsi="Times New Roman" w:cs="Times New Roman"/>
          <w:sz w:val="20"/>
          <w:szCs w:val="20"/>
        </w:rPr>
      </w:pPr>
      <w:r w:rsidRPr="00E4402B">
        <w:rPr>
          <w:rFonts w:ascii="Times New Roman" w:eastAsia="Calibri" w:hAnsi="Times New Roman" w:cs="Times New Roman"/>
          <w:sz w:val="20"/>
          <w:szCs w:val="20"/>
        </w:rPr>
        <w:t>__________________________________________</w:t>
      </w:r>
    </w:p>
    <w:p w14:paraId="37882DDC" w14:textId="3856CA63" w:rsidR="00372328" w:rsidRPr="00372328" w:rsidRDefault="00372328" w:rsidP="00E4402B">
      <w:pPr>
        <w:spacing w:after="0" w:line="240" w:lineRule="auto"/>
        <w:jc w:val="center"/>
        <w:rPr>
          <w:rFonts w:ascii="Times New Roman" w:eastAsia="Calibri" w:hAnsi="Times New Roman" w:cs="Times New Roman"/>
          <w:sz w:val="24"/>
          <w:szCs w:val="24"/>
        </w:rPr>
      </w:pPr>
    </w:p>
    <w:sectPr w:rsidR="00372328" w:rsidRPr="00372328" w:rsidSect="00175CB6">
      <w:headerReference w:type="default" r:id="rId7"/>
      <w:pgSz w:w="11906" w:h="16838"/>
      <w:pgMar w:top="1134" w:right="567" w:bottom="1134" w:left="1701" w:header="397" w:footer="39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898372" w14:textId="77777777" w:rsidR="00E967C5" w:rsidRDefault="00E967C5" w:rsidP="000A7697">
      <w:pPr>
        <w:spacing w:after="0" w:line="240" w:lineRule="auto"/>
      </w:pPr>
      <w:r>
        <w:separator/>
      </w:r>
    </w:p>
  </w:endnote>
  <w:endnote w:type="continuationSeparator" w:id="0">
    <w:p w14:paraId="5742EC4E" w14:textId="77777777" w:rsidR="00E967C5" w:rsidRDefault="00E967C5" w:rsidP="000A76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BA"/>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4C501" w14:textId="77777777" w:rsidR="00E967C5" w:rsidRDefault="00E967C5" w:rsidP="000A7697">
      <w:pPr>
        <w:spacing w:after="0" w:line="240" w:lineRule="auto"/>
      </w:pPr>
      <w:r>
        <w:separator/>
      </w:r>
    </w:p>
  </w:footnote>
  <w:footnote w:type="continuationSeparator" w:id="0">
    <w:p w14:paraId="13572867" w14:textId="77777777" w:rsidR="00E967C5" w:rsidRDefault="00E967C5" w:rsidP="000A769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3F6776" w14:textId="7D0D6C27" w:rsidR="00175CB6" w:rsidRPr="00175CB6" w:rsidRDefault="00175CB6">
    <w:pPr>
      <w:pStyle w:val="Antrats"/>
      <w:rPr>
        <w:rFonts w:ascii="Times New Roman" w:hAnsi="Times New Roman" w:cs="Times New Roman"/>
        <w:sz w:val="24"/>
        <w:szCs w:val="24"/>
      </w:rPr>
    </w:pPr>
    <w:r>
      <w:rPr>
        <w:rFonts w:ascii="Times New Roman" w:hAnsi="Times New Roman" w:cs="Times New Roman"/>
        <w:sz w:val="24"/>
        <w:szCs w:val="24"/>
      </w:rPr>
      <w:t xml:space="preserve">                                                                                                                                           </w:t>
    </w:r>
    <w:r w:rsidRPr="00175CB6">
      <w:rPr>
        <w:rFonts w:ascii="Times New Roman" w:hAnsi="Times New Roman" w:cs="Times New Roman"/>
        <w:sz w:val="24"/>
        <w:szCs w:val="24"/>
      </w:rPr>
      <w:t>Versija Nr. 1</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4405B2"/>
    <w:multiLevelType w:val="hybridMultilevel"/>
    <w:tmpl w:val="41A48516"/>
    <w:lvl w:ilvl="0" w:tplc="CF801208">
      <w:start w:val="1"/>
      <w:numFmt w:val="bullet"/>
      <w:lvlText w:val="-"/>
      <w:lvlJc w:val="left"/>
      <w:pPr>
        <w:ind w:left="564" w:hanging="360"/>
      </w:pPr>
      <w:rPr>
        <w:rFonts w:ascii="Calibri" w:eastAsiaTheme="minorHAnsi" w:hAnsi="Calibri" w:cstheme="minorBidi" w:hint="default"/>
      </w:rPr>
    </w:lvl>
    <w:lvl w:ilvl="1" w:tplc="04090003" w:tentative="1">
      <w:start w:val="1"/>
      <w:numFmt w:val="bullet"/>
      <w:lvlText w:val="o"/>
      <w:lvlJc w:val="left"/>
      <w:pPr>
        <w:ind w:left="1284" w:hanging="360"/>
      </w:pPr>
      <w:rPr>
        <w:rFonts w:ascii="Courier New" w:hAnsi="Courier New" w:cs="Courier New" w:hint="default"/>
      </w:rPr>
    </w:lvl>
    <w:lvl w:ilvl="2" w:tplc="04090005" w:tentative="1">
      <w:start w:val="1"/>
      <w:numFmt w:val="bullet"/>
      <w:lvlText w:val=""/>
      <w:lvlJc w:val="left"/>
      <w:pPr>
        <w:ind w:left="2004" w:hanging="360"/>
      </w:pPr>
      <w:rPr>
        <w:rFonts w:ascii="Wingdings" w:hAnsi="Wingdings" w:hint="default"/>
      </w:rPr>
    </w:lvl>
    <w:lvl w:ilvl="3" w:tplc="04090001" w:tentative="1">
      <w:start w:val="1"/>
      <w:numFmt w:val="bullet"/>
      <w:lvlText w:val=""/>
      <w:lvlJc w:val="left"/>
      <w:pPr>
        <w:ind w:left="2724" w:hanging="360"/>
      </w:pPr>
      <w:rPr>
        <w:rFonts w:ascii="Symbol" w:hAnsi="Symbol" w:hint="default"/>
      </w:rPr>
    </w:lvl>
    <w:lvl w:ilvl="4" w:tplc="04090003" w:tentative="1">
      <w:start w:val="1"/>
      <w:numFmt w:val="bullet"/>
      <w:lvlText w:val="o"/>
      <w:lvlJc w:val="left"/>
      <w:pPr>
        <w:ind w:left="3444" w:hanging="360"/>
      </w:pPr>
      <w:rPr>
        <w:rFonts w:ascii="Courier New" w:hAnsi="Courier New" w:cs="Courier New" w:hint="default"/>
      </w:rPr>
    </w:lvl>
    <w:lvl w:ilvl="5" w:tplc="04090005" w:tentative="1">
      <w:start w:val="1"/>
      <w:numFmt w:val="bullet"/>
      <w:lvlText w:val=""/>
      <w:lvlJc w:val="left"/>
      <w:pPr>
        <w:ind w:left="4164" w:hanging="360"/>
      </w:pPr>
      <w:rPr>
        <w:rFonts w:ascii="Wingdings" w:hAnsi="Wingdings" w:hint="default"/>
      </w:rPr>
    </w:lvl>
    <w:lvl w:ilvl="6" w:tplc="04090001" w:tentative="1">
      <w:start w:val="1"/>
      <w:numFmt w:val="bullet"/>
      <w:lvlText w:val=""/>
      <w:lvlJc w:val="left"/>
      <w:pPr>
        <w:ind w:left="4884" w:hanging="360"/>
      </w:pPr>
      <w:rPr>
        <w:rFonts w:ascii="Symbol" w:hAnsi="Symbol" w:hint="default"/>
      </w:rPr>
    </w:lvl>
    <w:lvl w:ilvl="7" w:tplc="04090003" w:tentative="1">
      <w:start w:val="1"/>
      <w:numFmt w:val="bullet"/>
      <w:lvlText w:val="o"/>
      <w:lvlJc w:val="left"/>
      <w:pPr>
        <w:ind w:left="5604" w:hanging="360"/>
      </w:pPr>
      <w:rPr>
        <w:rFonts w:ascii="Courier New" w:hAnsi="Courier New" w:cs="Courier New" w:hint="default"/>
      </w:rPr>
    </w:lvl>
    <w:lvl w:ilvl="8" w:tplc="04090005" w:tentative="1">
      <w:start w:val="1"/>
      <w:numFmt w:val="bullet"/>
      <w:lvlText w:val=""/>
      <w:lvlJc w:val="left"/>
      <w:pPr>
        <w:ind w:left="6324" w:hanging="360"/>
      </w:pPr>
      <w:rPr>
        <w:rFonts w:ascii="Wingdings" w:hAnsi="Wingdings" w:hint="default"/>
      </w:rPr>
    </w:lvl>
  </w:abstractNum>
  <w:abstractNum w:abstractNumId="1" w15:restartNumberingAfterBreak="0">
    <w:nsid w:val="0F0D1196"/>
    <w:multiLevelType w:val="hybridMultilevel"/>
    <w:tmpl w:val="B31A99F0"/>
    <w:lvl w:ilvl="0" w:tplc="B78E7902">
      <w:start w:val="1"/>
      <w:numFmt w:val="decimal"/>
      <w:lvlText w:val="%1."/>
      <w:lvlJc w:val="left"/>
      <w:pPr>
        <w:ind w:left="1656" w:hanging="360"/>
      </w:pPr>
      <w:rPr>
        <w:rFonts w:hint="default"/>
        <w:color w:val="000000" w:themeColor="text1"/>
      </w:rPr>
    </w:lvl>
    <w:lvl w:ilvl="1" w:tplc="04270019" w:tentative="1">
      <w:start w:val="1"/>
      <w:numFmt w:val="lowerLetter"/>
      <w:lvlText w:val="%2."/>
      <w:lvlJc w:val="left"/>
      <w:pPr>
        <w:ind w:left="2376" w:hanging="360"/>
      </w:pPr>
    </w:lvl>
    <w:lvl w:ilvl="2" w:tplc="0427001B" w:tentative="1">
      <w:start w:val="1"/>
      <w:numFmt w:val="lowerRoman"/>
      <w:lvlText w:val="%3."/>
      <w:lvlJc w:val="right"/>
      <w:pPr>
        <w:ind w:left="3096" w:hanging="180"/>
      </w:pPr>
    </w:lvl>
    <w:lvl w:ilvl="3" w:tplc="0427000F" w:tentative="1">
      <w:start w:val="1"/>
      <w:numFmt w:val="decimal"/>
      <w:lvlText w:val="%4."/>
      <w:lvlJc w:val="left"/>
      <w:pPr>
        <w:ind w:left="3816" w:hanging="360"/>
      </w:pPr>
    </w:lvl>
    <w:lvl w:ilvl="4" w:tplc="04270019" w:tentative="1">
      <w:start w:val="1"/>
      <w:numFmt w:val="lowerLetter"/>
      <w:lvlText w:val="%5."/>
      <w:lvlJc w:val="left"/>
      <w:pPr>
        <w:ind w:left="4536" w:hanging="360"/>
      </w:pPr>
    </w:lvl>
    <w:lvl w:ilvl="5" w:tplc="0427001B" w:tentative="1">
      <w:start w:val="1"/>
      <w:numFmt w:val="lowerRoman"/>
      <w:lvlText w:val="%6."/>
      <w:lvlJc w:val="right"/>
      <w:pPr>
        <w:ind w:left="5256" w:hanging="180"/>
      </w:pPr>
    </w:lvl>
    <w:lvl w:ilvl="6" w:tplc="0427000F" w:tentative="1">
      <w:start w:val="1"/>
      <w:numFmt w:val="decimal"/>
      <w:lvlText w:val="%7."/>
      <w:lvlJc w:val="left"/>
      <w:pPr>
        <w:ind w:left="5976" w:hanging="360"/>
      </w:pPr>
    </w:lvl>
    <w:lvl w:ilvl="7" w:tplc="04270019" w:tentative="1">
      <w:start w:val="1"/>
      <w:numFmt w:val="lowerLetter"/>
      <w:lvlText w:val="%8."/>
      <w:lvlJc w:val="left"/>
      <w:pPr>
        <w:ind w:left="6696" w:hanging="360"/>
      </w:pPr>
    </w:lvl>
    <w:lvl w:ilvl="8" w:tplc="0427001B" w:tentative="1">
      <w:start w:val="1"/>
      <w:numFmt w:val="lowerRoman"/>
      <w:lvlText w:val="%9."/>
      <w:lvlJc w:val="right"/>
      <w:pPr>
        <w:ind w:left="7416" w:hanging="180"/>
      </w:pPr>
    </w:lvl>
  </w:abstractNum>
  <w:num w:numId="1" w16cid:durableId="59908967">
    <w:abstractNumId w:val="1"/>
  </w:num>
  <w:num w:numId="2" w16cid:durableId="141809380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7EC1"/>
    <w:rsid w:val="00017A4F"/>
    <w:rsid w:val="00047012"/>
    <w:rsid w:val="0005534D"/>
    <w:rsid w:val="000A7697"/>
    <w:rsid w:val="001521F5"/>
    <w:rsid w:val="00157B2A"/>
    <w:rsid w:val="001609B2"/>
    <w:rsid w:val="00175CB6"/>
    <w:rsid w:val="001A74D2"/>
    <w:rsid w:val="001B61A5"/>
    <w:rsid w:val="001B6D2F"/>
    <w:rsid w:val="001B7EC1"/>
    <w:rsid w:val="001C4F7A"/>
    <w:rsid w:val="00252CEE"/>
    <w:rsid w:val="00264F06"/>
    <w:rsid w:val="00265B7E"/>
    <w:rsid w:val="002C1D46"/>
    <w:rsid w:val="002D1B7A"/>
    <w:rsid w:val="002F67B7"/>
    <w:rsid w:val="00344127"/>
    <w:rsid w:val="00355A45"/>
    <w:rsid w:val="00372328"/>
    <w:rsid w:val="003A5585"/>
    <w:rsid w:val="00402871"/>
    <w:rsid w:val="00431B14"/>
    <w:rsid w:val="00434227"/>
    <w:rsid w:val="00445ECD"/>
    <w:rsid w:val="004A5F54"/>
    <w:rsid w:val="004D37A4"/>
    <w:rsid w:val="005110C6"/>
    <w:rsid w:val="0051504C"/>
    <w:rsid w:val="005E65E5"/>
    <w:rsid w:val="005F0F08"/>
    <w:rsid w:val="006246E6"/>
    <w:rsid w:val="00641AA3"/>
    <w:rsid w:val="00646ACE"/>
    <w:rsid w:val="00664778"/>
    <w:rsid w:val="006A6614"/>
    <w:rsid w:val="00721B53"/>
    <w:rsid w:val="00781C64"/>
    <w:rsid w:val="00802186"/>
    <w:rsid w:val="0089472B"/>
    <w:rsid w:val="008C638C"/>
    <w:rsid w:val="008F060B"/>
    <w:rsid w:val="00910593"/>
    <w:rsid w:val="0091141A"/>
    <w:rsid w:val="0093537A"/>
    <w:rsid w:val="009C5175"/>
    <w:rsid w:val="009D2A2D"/>
    <w:rsid w:val="009D76FB"/>
    <w:rsid w:val="00A334B2"/>
    <w:rsid w:val="00A42F41"/>
    <w:rsid w:val="00A70EC4"/>
    <w:rsid w:val="00AA04AD"/>
    <w:rsid w:val="00B17719"/>
    <w:rsid w:val="00B73368"/>
    <w:rsid w:val="00C172D4"/>
    <w:rsid w:val="00C70A78"/>
    <w:rsid w:val="00C81C41"/>
    <w:rsid w:val="00C9141D"/>
    <w:rsid w:val="00D171A0"/>
    <w:rsid w:val="00D86B06"/>
    <w:rsid w:val="00DC164F"/>
    <w:rsid w:val="00DD02A2"/>
    <w:rsid w:val="00E4402B"/>
    <w:rsid w:val="00E967C5"/>
    <w:rsid w:val="00F10544"/>
    <w:rsid w:val="00F22EF4"/>
    <w:rsid w:val="00F9193B"/>
    <w:rsid w:val="00FA17C8"/>
    <w:rsid w:val="00FA2D3C"/>
    <w:rsid w:val="00FA40CA"/>
    <w:rsid w:val="00FE6B57"/>
    <w:rsid w:val="00FF6838"/>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239878"/>
  <w15:chartTrackingRefBased/>
  <w15:docId w15:val="{B0297C78-BA09-4306-85FD-9DF631138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3A5585"/>
    <w:pPr>
      <w:spacing w:after="200" w:line="276" w:lineRule="auto"/>
    </w:pPr>
    <w:rPr>
      <w:kern w:val="0"/>
      <w:sz w:val="22"/>
      <w:szCs w:val="22"/>
      <w14:ligatures w14:val="none"/>
    </w:rPr>
  </w:style>
  <w:style w:type="paragraph" w:styleId="Antrat1">
    <w:name w:val="heading 1"/>
    <w:basedOn w:val="prastasis"/>
    <w:next w:val="prastasis"/>
    <w:link w:val="Antrat1Diagrama"/>
    <w:uiPriority w:val="9"/>
    <w:qFormat/>
    <w:rsid w:val="001B7EC1"/>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Antrat2">
    <w:name w:val="heading 2"/>
    <w:basedOn w:val="prastasis"/>
    <w:next w:val="prastasis"/>
    <w:link w:val="Antrat2Diagrama"/>
    <w:uiPriority w:val="9"/>
    <w:semiHidden/>
    <w:unhideWhenUsed/>
    <w:qFormat/>
    <w:rsid w:val="001B7EC1"/>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Antrat3">
    <w:name w:val="heading 3"/>
    <w:basedOn w:val="prastasis"/>
    <w:next w:val="prastasis"/>
    <w:link w:val="Antrat3Diagrama"/>
    <w:uiPriority w:val="9"/>
    <w:semiHidden/>
    <w:unhideWhenUsed/>
    <w:qFormat/>
    <w:rsid w:val="001B7EC1"/>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Antrat4">
    <w:name w:val="heading 4"/>
    <w:basedOn w:val="prastasis"/>
    <w:next w:val="prastasis"/>
    <w:link w:val="Antrat4Diagrama"/>
    <w:uiPriority w:val="9"/>
    <w:semiHidden/>
    <w:unhideWhenUsed/>
    <w:qFormat/>
    <w:rsid w:val="001B7EC1"/>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Antrat5">
    <w:name w:val="heading 5"/>
    <w:basedOn w:val="prastasis"/>
    <w:next w:val="prastasis"/>
    <w:link w:val="Antrat5Diagrama"/>
    <w:uiPriority w:val="9"/>
    <w:semiHidden/>
    <w:unhideWhenUsed/>
    <w:qFormat/>
    <w:rsid w:val="001B7EC1"/>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Antrat6">
    <w:name w:val="heading 6"/>
    <w:basedOn w:val="prastasis"/>
    <w:next w:val="prastasis"/>
    <w:link w:val="Antrat6Diagrama"/>
    <w:uiPriority w:val="9"/>
    <w:semiHidden/>
    <w:unhideWhenUsed/>
    <w:qFormat/>
    <w:rsid w:val="001B7EC1"/>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Antrat7">
    <w:name w:val="heading 7"/>
    <w:basedOn w:val="prastasis"/>
    <w:next w:val="prastasis"/>
    <w:link w:val="Antrat7Diagrama"/>
    <w:uiPriority w:val="9"/>
    <w:semiHidden/>
    <w:unhideWhenUsed/>
    <w:qFormat/>
    <w:rsid w:val="001B7EC1"/>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Antrat8">
    <w:name w:val="heading 8"/>
    <w:basedOn w:val="prastasis"/>
    <w:next w:val="prastasis"/>
    <w:link w:val="Antrat8Diagrama"/>
    <w:uiPriority w:val="9"/>
    <w:semiHidden/>
    <w:unhideWhenUsed/>
    <w:qFormat/>
    <w:rsid w:val="001B7EC1"/>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Antrat9">
    <w:name w:val="heading 9"/>
    <w:basedOn w:val="prastasis"/>
    <w:next w:val="prastasis"/>
    <w:link w:val="Antrat9Diagrama"/>
    <w:uiPriority w:val="9"/>
    <w:semiHidden/>
    <w:unhideWhenUsed/>
    <w:qFormat/>
    <w:rsid w:val="001B7EC1"/>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1B7EC1"/>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1B7EC1"/>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1B7EC1"/>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1B7EC1"/>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1B7EC1"/>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1B7EC1"/>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1B7EC1"/>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1B7EC1"/>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1B7EC1"/>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1B7EC1"/>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PavadinimasDiagrama">
    <w:name w:val="Pavadinimas Diagrama"/>
    <w:basedOn w:val="Numatytasispastraiposriftas"/>
    <w:link w:val="Pavadinimas"/>
    <w:uiPriority w:val="10"/>
    <w:rsid w:val="001B7EC1"/>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1B7EC1"/>
    <w:pPr>
      <w:numPr>
        <w:ilvl w:val="1"/>
      </w:numPr>
      <w:spacing w:after="160"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PaantratDiagrama">
    <w:name w:val="Paantraštė Diagrama"/>
    <w:basedOn w:val="Numatytasispastraiposriftas"/>
    <w:link w:val="Paantrat"/>
    <w:uiPriority w:val="11"/>
    <w:rsid w:val="001B7EC1"/>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1B7EC1"/>
    <w:pPr>
      <w:spacing w:before="160" w:after="160" w:line="278" w:lineRule="auto"/>
      <w:jc w:val="center"/>
    </w:pPr>
    <w:rPr>
      <w:i/>
      <w:iCs/>
      <w:color w:val="404040" w:themeColor="text1" w:themeTint="BF"/>
      <w:kern w:val="2"/>
      <w:sz w:val="24"/>
      <w:szCs w:val="24"/>
      <w14:ligatures w14:val="standardContextual"/>
    </w:rPr>
  </w:style>
  <w:style w:type="character" w:customStyle="1" w:styleId="CitataDiagrama">
    <w:name w:val="Citata Diagrama"/>
    <w:basedOn w:val="Numatytasispastraiposriftas"/>
    <w:link w:val="Citata"/>
    <w:uiPriority w:val="29"/>
    <w:rsid w:val="001B7EC1"/>
    <w:rPr>
      <w:i/>
      <w:iCs/>
      <w:color w:val="404040" w:themeColor="text1" w:themeTint="BF"/>
    </w:rPr>
  </w:style>
  <w:style w:type="paragraph" w:styleId="Sraopastraipa">
    <w:name w:val="List Paragraph"/>
    <w:aliases w:val="Numbering,ERP-List Paragraph,List Paragraph11,Bullet EY,List Paragraph2,List Paragraph Red,List Paragraph1"/>
    <w:basedOn w:val="prastasis"/>
    <w:link w:val="SraopastraipaDiagrama"/>
    <w:uiPriority w:val="34"/>
    <w:qFormat/>
    <w:rsid w:val="001B7EC1"/>
    <w:pPr>
      <w:spacing w:after="160" w:line="278" w:lineRule="auto"/>
      <w:ind w:left="720"/>
      <w:contextualSpacing/>
    </w:pPr>
    <w:rPr>
      <w:kern w:val="2"/>
      <w:sz w:val="24"/>
      <w:szCs w:val="24"/>
      <w14:ligatures w14:val="standardContextual"/>
    </w:rPr>
  </w:style>
  <w:style w:type="character" w:styleId="Rykuspabraukimas">
    <w:name w:val="Intense Emphasis"/>
    <w:basedOn w:val="Numatytasispastraiposriftas"/>
    <w:uiPriority w:val="21"/>
    <w:qFormat/>
    <w:rsid w:val="001B7EC1"/>
    <w:rPr>
      <w:i/>
      <w:iCs/>
      <w:color w:val="0F4761" w:themeColor="accent1" w:themeShade="BF"/>
    </w:rPr>
  </w:style>
  <w:style w:type="paragraph" w:styleId="Iskirtacitata">
    <w:name w:val="Intense Quote"/>
    <w:basedOn w:val="prastasis"/>
    <w:next w:val="prastasis"/>
    <w:link w:val="IskirtacitataDiagrama"/>
    <w:uiPriority w:val="30"/>
    <w:qFormat/>
    <w:rsid w:val="001B7EC1"/>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skirtacitataDiagrama">
    <w:name w:val="Išskirta citata Diagrama"/>
    <w:basedOn w:val="Numatytasispastraiposriftas"/>
    <w:link w:val="Iskirtacitata"/>
    <w:uiPriority w:val="30"/>
    <w:rsid w:val="001B7EC1"/>
    <w:rPr>
      <w:i/>
      <w:iCs/>
      <w:color w:val="0F4761" w:themeColor="accent1" w:themeShade="BF"/>
    </w:rPr>
  </w:style>
  <w:style w:type="character" w:styleId="Rykinuoroda">
    <w:name w:val="Intense Reference"/>
    <w:basedOn w:val="Numatytasispastraiposriftas"/>
    <w:uiPriority w:val="32"/>
    <w:qFormat/>
    <w:rsid w:val="001B7EC1"/>
    <w:rPr>
      <w:b/>
      <w:bCs/>
      <w:smallCaps/>
      <w:color w:val="0F4761" w:themeColor="accent1" w:themeShade="BF"/>
      <w:spacing w:val="5"/>
    </w:rPr>
  </w:style>
  <w:style w:type="character" w:customStyle="1" w:styleId="Temosantrat2">
    <w:name w:val="Temos antraštė #2_"/>
    <w:link w:val="Temosantrat21"/>
    <w:locked/>
    <w:rsid w:val="003A5585"/>
    <w:rPr>
      <w:b/>
      <w:bCs/>
      <w:sz w:val="19"/>
      <w:szCs w:val="19"/>
      <w:shd w:val="clear" w:color="auto" w:fill="FFFFFF"/>
    </w:rPr>
  </w:style>
  <w:style w:type="paragraph" w:customStyle="1" w:styleId="Temosantrat21">
    <w:name w:val="Temos antraštė #21"/>
    <w:basedOn w:val="prastasis"/>
    <w:link w:val="Temosantrat2"/>
    <w:rsid w:val="003A5585"/>
    <w:pPr>
      <w:shd w:val="clear" w:color="auto" w:fill="FFFFFF"/>
      <w:spacing w:before="420" w:after="300" w:line="240" w:lineRule="atLeast"/>
      <w:jc w:val="both"/>
      <w:outlineLvl w:val="1"/>
    </w:pPr>
    <w:rPr>
      <w:b/>
      <w:bCs/>
      <w:kern w:val="2"/>
      <w:sz w:val="19"/>
      <w:szCs w:val="19"/>
      <w14:ligatures w14:val="standardContextual"/>
    </w:rPr>
  </w:style>
  <w:style w:type="character" w:customStyle="1" w:styleId="Temosantrat20">
    <w:name w:val="Temos antraštė #2"/>
    <w:rsid w:val="003A5585"/>
    <w:rPr>
      <w:rFonts w:ascii="Times New Roman" w:hAnsi="Times New Roman" w:cs="Times New Roman" w:hint="default"/>
      <w:b w:val="0"/>
      <w:bCs w:val="0"/>
      <w:spacing w:val="0"/>
      <w:sz w:val="19"/>
      <w:szCs w:val="19"/>
      <w:u w:val="single"/>
      <w:shd w:val="clear" w:color="auto" w:fill="FFFFFF"/>
    </w:rPr>
  </w:style>
  <w:style w:type="paragraph" w:styleId="Antrats">
    <w:name w:val="header"/>
    <w:basedOn w:val="prastasis"/>
    <w:link w:val="AntratsDiagrama"/>
    <w:uiPriority w:val="99"/>
    <w:unhideWhenUsed/>
    <w:rsid w:val="000A7697"/>
    <w:pPr>
      <w:tabs>
        <w:tab w:val="center" w:pos="4819"/>
        <w:tab w:val="right" w:pos="9638"/>
      </w:tabs>
      <w:spacing w:after="0" w:line="240" w:lineRule="auto"/>
    </w:pPr>
  </w:style>
  <w:style w:type="character" w:customStyle="1" w:styleId="AntratsDiagrama">
    <w:name w:val="Antraštės Diagrama"/>
    <w:basedOn w:val="Numatytasispastraiposriftas"/>
    <w:link w:val="Antrats"/>
    <w:uiPriority w:val="99"/>
    <w:rsid w:val="000A7697"/>
    <w:rPr>
      <w:kern w:val="0"/>
      <w:sz w:val="22"/>
      <w:szCs w:val="22"/>
      <w14:ligatures w14:val="none"/>
    </w:rPr>
  </w:style>
  <w:style w:type="paragraph" w:styleId="Porat">
    <w:name w:val="footer"/>
    <w:basedOn w:val="prastasis"/>
    <w:link w:val="PoratDiagrama"/>
    <w:uiPriority w:val="99"/>
    <w:unhideWhenUsed/>
    <w:rsid w:val="000A7697"/>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0A7697"/>
    <w:rPr>
      <w:kern w:val="0"/>
      <w:sz w:val="22"/>
      <w:szCs w:val="22"/>
      <w14:ligatures w14:val="none"/>
    </w:rPr>
  </w:style>
  <w:style w:type="character" w:styleId="Komentaronuoroda">
    <w:name w:val="annotation reference"/>
    <w:basedOn w:val="Numatytasispastraiposriftas"/>
    <w:uiPriority w:val="99"/>
    <w:semiHidden/>
    <w:unhideWhenUsed/>
    <w:rsid w:val="00664778"/>
    <w:rPr>
      <w:sz w:val="16"/>
      <w:szCs w:val="16"/>
    </w:rPr>
  </w:style>
  <w:style w:type="paragraph" w:styleId="Komentarotekstas">
    <w:name w:val="annotation text"/>
    <w:basedOn w:val="prastasis"/>
    <w:link w:val="KomentarotekstasDiagrama"/>
    <w:uiPriority w:val="99"/>
    <w:unhideWhenUsed/>
    <w:rsid w:val="00664778"/>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64778"/>
    <w:rPr>
      <w:kern w:val="0"/>
      <w:sz w:val="20"/>
      <w:szCs w:val="20"/>
      <w14:ligatures w14:val="none"/>
    </w:rPr>
  </w:style>
  <w:style w:type="paragraph" w:styleId="Komentarotema">
    <w:name w:val="annotation subject"/>
    <w:basedOn w:val="Komentarotekstas"/>
    <w:next w:val="Komentarotekstas"/>
    <w:link w:val="KomentarotemaDiagrama"/>
    <w:uiPriority w:val="99"/>
    <w:semiHidden/>
    <w:unhideWhenUsed/>
    <w:rsid w:val="00664778"/>
    <w:rPr>
      <w:b/>
      <w:bCs/>
    </w:rPr>
  </w:style>
  <w:style w:type="character" w:customStyle="1" w:styleId="KomentarotemaDiagrama">
    <w:name w:val="Komentaro tema Diagrama"/>
    <w:basedOn w:val="KomentarotekstasDiagrama"/>
    <w:link w:val="Komentarotema"/>
    <w:uiPriority w:val="99"/>
    <w:semiHidden/>
    <w:rsid w:val="00664778"/>
    <w:rPr>
      <w:b/>
      <w:bCs/>
      <w:kern w:val="0"/>
      <w:sz w:val="20"/>
      <w:szCs w:val="20"/>
      <w14:ligatures w14:val="none"/>
    </w:rPr>
  </w:style>
  <w:style w:type="paragraph" w:customStyle="1" w:styleId="Point1">
    <w:name w:val="Point 1"/>
    <w:basedOn w:val="prastasis"/>
    <w:rsid w:val="009D2A2D"/>
    <w:pPr>
      <w:spacing w:before="120" w:after="120" w:line="240" w:lineRule="auto"/>
      <w:ind w:left="1418" w:hanging="567"/>
      <w:jc w:val="both"/>
    </w:pPr>
    <w:rPr>
      <w:rFonts w:ascii="Times New Roman" w:eastAsia="Times New Roman" w:hAnsi="Times New Roman" w:cs="Times New Roman"/>
      <w:sz w:val="24"/>
      <w:szCs w:val="20"/>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
    <w:link w:val="Sraopastraipa"/>
    <w:uiPriority w:val="34"/>
    <w:locked/>
    <w:rsid w:val="009D2A2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15290337">
      <w:bodyDiv w:val="1"/>
      <w:marLeft w:val="0"/>
      <w:marRight w:val="0"/>
      <w:marTop w:val="0"/>
      <w:marBottom w:val="0"/>
      <w:divBdr>
        <w:top w:val="none" w:sz="0" w:space="0" w:color="auto"/>
        <w:left w:val="none" w:sz="0" w:space="0" w:color="auto"/>
        <w:bottom w:val="none" w:sz="0" w:space="0" w:color="auto"/>
        <w:right w:val="none" w:sz="0" w:space="0" w:color="auto"/>
      </w:divBdr>
    </w:div>
    <w:div w:id="1850094371">
      <w:bodyDiv w:val="1"/>
      <w:marLeft w:val="0"/>
      <w:marRight w:val="0"/>
      <w:marTop w:val="0"/>
      <w:marBottom w:val="0"/>
      <w:divBdr>
        <w:top w:val="none" w:sz="0" w:space="0" w:color="auto"/>
        <w:left w:val="none" w:sz="0" w:space="0" w:color="auto"/>
        <w:bottom w:val="none" w:sz="0" w:space="0" w:color="auto"/>
        <w:right w:val="none" w:sz="0" w:space="0" w:color="auto"/>
      </w:divBdr>
    </w:div>
    <w:div w:id="1967467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3</TotalTime>
  <Pages>4</Pages>
  <Words>9822</Words>
  <Characters>5599</Characters>
  <Application>Microsoft Office Word</Application>
  <DocSecurity>0</DocSecurity>
  <Lines>46</Lines>
  <Paragraphs>30</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15391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Akvilė Kisielienė</dc:creator>
  <cp:keywords/>
  <dc:description/>
  <cp:lastModifiedBy>Dalia Bulovienė</cp:lastModifiedBy>
  <cp:revision>2</cp:revision>
  <dcterms:created xsi:type="dcterms:W3CDTF">2025-12-18T12:54:00Z</dcterms:created>
  <dcterms:modified xsi:type="dcterms:W3CDTF">2025-12-18T12:54:00Z</dcterms:modified>
</cp:coreProperties>
</file>