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5F0BC863" w:rsidR="00C71538" w:rsidRPr="005C1D34" w:rsidRDefault="00231356" w:rsidP="005E5636">
      <w:pPr>
        <w:spacing w:after="0" w:line="240" w:lineRule="auto"/>
        <w:jc w:val="right"/>
        <w:rPr>
          <w:rFonts w:ascii="Arial" w:eastAsia="Times New Roman" w:hAnsi="Arial" w:cs="Arial"/>
          <w:i/>
          <w:iCs/>
          <w:lang w:eastAsia="lt-LT"/>
        </w:rPr>
      </w:pPr>
      <w:r w:rsidRPr="005C1D34">
        <w:rPr>
          <w:rFonts w:ascii="Arial" w:eastAsia="Times New Roman" w:hAnsi="Arial" w:cs="Arial"/>
          <w:i/>
          <w:iCs/>
          <w:lang w:eastAsia="lt-LT"/>
        </w:rPr>
        <w:t>Specialiųjų pirkimo sąlygų</w:t>
      </w:r>
      <w:r w:rsidR="005E5636" w:rsidRPr="005C1D34">
        <w:rPr>
          <w:rFonts w:ascii="Arial" w:eastAsia="Times New Roman" w:hAnsi="Arial" w:cs="Arial"/>
          <w:i/>
          <w:iCs/>
          <w:lang w:eastAsia="lt-LT"/>
        </w:rPr>
        <w:t xml:space="preserve"> priedas Nr. 2 „Techninė specifikacija“</w:t>
      </w:r>
    </w:p>
    <w:p w14:paraId="460C84AA" w14:textId="77777777" w:rsidR="00231356" w:rsidRPr="005C1D34" w:rsidRDefault="00231356" w:rsidP="005E5636">
      <w:pPr>
        <w:spacing w:after="0" w:line="240" w:lineRule="auto"/>
        <w:jc w:val="right"/>
        <w:rPr>
          <w:rFonts w:ascii="Arial" w:eastAsia="Times New Roman" w:hAnsi="Arial" w:cs="Arial"/>
          <w:i/>
          <w:iCs/>
          <w:lang w:eastAsia="lt-LT"/>
        </w:rPr>
      </w:pPr>
    </w:p>
    <w:p w14:paraId="013B813C" w14:textId="756956E3" w:rsidR="004A5BDE" w:rsidRPr="005C1D34" w:rsidRDefault="00274F91" w:rsidP="00554709">
      <w:pPr>
        <w:tabs>
          <w:tab w:val="left" w:pos="8137"/>
        </w:tabs>
        <w:spacing w:after="0" w:line="240" w:lineRule="auto"/>
        <w:jc w:val="center"/>
        <w:rPr>
          <w:rFonts w:ascii="Arial" w:eastAsia="Calibri" w:hAnsi="Arial" w:cs="Arial"/>
          <w:b/>
          <w:bCs/>
        </w:rPr>
      </w:pPr>
      <w:r w:rsidRPr="005C1D34">
        <w:rPr>
          <w:rFonts w:ascii="Arial" w:hAnsi="Arial" w:cs="Arial"/>
          <w:noProof/>
        </w:rPr>
        <w:drawing>
          <wp:inline distT="0" distB="0" distL="0" distR="0" wp14:anchorId="6D88053B" wp14:editId="72E9AE01">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5C1D34" w:rsidRDefault="004A5BDE" w:rsidP="00682323">
      <w:pPr>
        <w:tabs>
          <w:tab w:val="left" w:pos="8137"/>
        </w:tabs>
        <w:spacing w:after="0" w:line="240" w:lineRule="auto"/>
        <w:rPr>
          <w:rFonts w:ascii="Arial" w:eastAsia="Calibri" w:hAnsi="Arial" w:cs="Arial"/>
          <w:b/>
          <w:bCs/>
        </w:rPr>
      </w:pPr>
    </w:p>
    <w:p w14:paraId="4DB5964D" w14:textId="77777777" w:rsidR="004A0C48" w:rsidRPr="005C1D34" w:rsidRDefault="004A0C48" w:rsidP="008660BC">
      <w:pPr>
        <w:tabs>
          <w:tab w:val="left" w:pos="8137"/>
        </w:tabs>
        <w:spacing w:after="0" w:line="240" w:lineRule="auto"/>
        <w:ind w:firstLine="142"/>
        <w:jc w:val="center"/>
        <w:rPr>
          <w:rFonts w:ascii="Arial" w:eastAsia="Calibri" w:hAnsi="Arial" w:cs="Arial"/>
          <w:b/>
          <w:bCs/>
        </w:rPr>
      </w:pPr>
      <w:r w:rsidRPr="005C1D34">
        <w:rPr>
          <w:rFonts w:ascii="Arial" w:eastAsia="Calibri" w:hAnsi="Arial" w:cs="Arial"/>
          <w:b/>
          <w:bCs/>
        </w:rPr>
        <w:t>TECHNINĖ SPECIFIKACIJA</w:t>
      </w:r>
    </w:p>
    <w:p w14:paraId="4A53F7D7" w14:textId="77777777" w:rsidR="004A0C48" w:rsidRPr="005C1D34"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5C1D3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5C1D34">
        <w:rPr>
          <w:rFonts w:ascii="Arial" w:eastAsia="Calibri" w:hAnsi="Arial" w:cs="Arial"/>
          <w:b/>
        </w:rPr>
        <w:t>SĄVOKOS IR SUTRUMPINIMAI</w:t>
      </w:r>
      <w:r w:rsidR="00B12E41" w:rsidRPr="005C1D34">
        <w:rPr>
          <w:rFonts w:ascii="Arial" w:eastAsia="Calibri" w:hAnsi="Arial" w:cs="Arial"/>
          <w:b/>
        </w:rPr>
        <w:t>/ BENDRA INFORMACIJA</w:t>
      </w:r>
    </w:p>
    <w:p w14:paraId="4E75050A" w14:textId="4298BA98" w:rsidR="004A0C48" w:rsidRPr="005C1D3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5C1D34">
        <w:rPr>
          <w:rFonts w:ascii="Arial" w:eastAsia="Calibri" w:hAnsi="Arial" w:cs="Arial"/>
          <w:b/>
        </w:rPr>
        <w:t>Pirkėjas / P</w:t>
      </w:r>
      <w:r w:rsidR="00682323" w:rsidRPr="005C1D34">
        <w:rPr>
          <w:rFonts w:ascii="Arial" w:eastAsia="Calibri" w:hAnsi="Arial" w:cs="Arial"/>
          <w:b/>
        </w:rPr>
        <w:t>erkančioji organizacija</w:t>
      </w:r>
      <w:r w:rsidRPr="005C1D34">
        <w:rPr>
          <w:rFonts w:ascii="Arial" w:eastAsia="Calibri" w:hAnsi="Arial" w:cs="Arial"/>
          <w:b/>
        </w:rPr>
        <w:t xml:space="preserve"> –</w:t>
      </w:r>
      <w:r w:rsidR="00A904B7" w:rsidRPr="005C1D34">
        <w:rPr>
          <w:rFonts w:ascii="Arial" w:eastAsia="Calibri" w:hAnsi="Arial" w:cs="Arial"/>
          <w:b/>
        </w:rPr>
        <w:t xml:space="preserve"> </w:t>
      </w:r>
      <w:r w:rsidR="00B06A26" w:rsidRPr="005C1D34">
        <w:rPr>
          <w:rFonts w:ascii="Arial" w:eastAsia="Calibri" w:hAnsi="Arial" w:cs="Arial"/>
          <w:b/>
        </w:rPr>
        <w:t>Vilniaus universitetas</w:t>
      </w:r>
      <w:r w:rsidR="00FF5418" w:rsidRPr="005C1D34">
        <w:rPr>
          <w:rFonts w:ascii="Arial" w:eastAsia="Calibri" w:hAnsi="Arial" w:cs="Arial"/>
          <w:b/>
        </w:rPr>
        <w:t>.</w:t>
      </w:r>
    </w:p>
    <w:p w14:paraId="7A4F4046" w14:textId="77777777" w:rsidR="004A0C48" w:rsidRPr="005C1D3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5C1D34">
        <w:rPr>
          <w:rFonts w:ascii="Arial" w:eastAsia="Calibri" w:hAnsi="Arial" w:cs="Arial"/>
          <w:b/>
          <w:bCs/>
        </w:rPr>
        <w:t>Tiekėjas</w:t>
      </w:r>
      <w:r w:rsidRPr="005C1D34">
        <w:rPr>
          <w:rFonts w:ascii="Arial" w:eastAsia="Calibri" w:hAnsi="Arial" w:cs="Arial"/>
          <w:bCs/>
        </w:rPr>
        <w:t xml:space="preserve"> –</w:t>
      </w:r>
      <w:r w:rsidR="00F83FAA" w:rsidRPr="005C1D34">
        <w:rPr>
          <w:rFonts w:ascii="Arial" w:eastAsia="Calibri" w:hAnsi="Arial" w:cs="Arial"/>
          <w:bCs/>
        </w:rPr>
        <w:t xml:space="preserve"> </w:t>
      </w:r>
      <w:r w:rsidR="009A4D65" w:rsidRPr="005C1D34">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5C1D34">
        <w:rPr>
          <w:rFonts w:ascii="Arial" w:eastAsia="Calibri" w:hAnsi="Arial" w:cs="Arial"/>
        </w:rPr>
        <w:t>su kuriuo Pirkėjas sudarys šio Pirkimo</w:t>
      </w:r>
      <w:r w:rsidRPr="005C1D34">
        <w:rPr>
          <w:rFonts w:ascii="Arial" w:eastAsia="Calibri" w:hAnsi="Arial" w:cs="Arial"/>
        </w:rPr>
        <w:t xml:space="preserve"> sutartį.</w:t>
      </w:r>
      <w:r w:rsidR="009A4D65" w:rsidRPr="005C1D34">
        <w:rPr>
          <w:rFonts w:ascii="Arial" w:hAnsi="Arial" w:cs="Arial"/>
          <w:color w:val="000000"/>
        </w:rPr>
        <w:t xml:space="preserve"> </w:t>
      </w:r>
    </w:p>
    <w:p w14:paraId="4D61AFFF" w14:textId="77777777" w:rsidR="004A0C48" w:rsidRPr="005C1D3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5C1D34">
        <w:rPr>
          <w:rFonts w:ascii="Arial" w:eastAsia="Calibri" w:hAnsi="Arial" w:cs="Arial"/>
          <w:b/>
        </w:rPr>
        <w:t>Sutartis</w:t>
      </w:r>
      <w:r w:rsidRPr="005C1D34">
        <w:rPr>
          <w:rFonts w:ascii="Arial" w:eastAsia="Calibri" w:hAnsi="Arial" w:cs="Arial"/>
        </w:rPr>
        <w:t xml:space="preserve"> – </w:t>
      </w:r>
      <w:r w:rsidR="009A4D65" w:rsidRPr="005C1D34">
        <w:rPr>
          <w:rFonts w:ascii="Arial" w:eastAsia="Calibri" w:hAnsi="Arial" w:cs="Arial"/>
        </w:rPr>
        <w:t>P</w:t>
      </w:r>
      <w:r w:rsidRPr="005C1D34">
        <w:rPr>
          <w:rFonts w:ascii="Arial" w:eastAsia="Calibri" w:hAnsi="Arial" w:cs="Arial"/>
        </w:rPr>
        <w:t>irkimo sutartis, sudaroma tarp Tiekėjo ir Pirkėjo dėl šio Pirkimo objekto.</w:t>
      </w:r>
    </w:p>
    <w:p w14:paraId="0064A2D8" w14:textId="77777777" w:rsidR="002C4223" w:rsidRPr="005C1D34"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5C1D3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5C1D34">
        <w:rPr>
          <w:rFonts w:ascii="Arial" w:eastAsia="Calibri" w:hAnsi="Arial" w:cs="Arial"/>
          <w:b/>
          <w:shd w:val="clear" w:color="auto" w:fill="D9D9D9" w:themeFill="background1" w:themeFillShade="D9"/>
        </w:rPr>
        <w:t>PIRKIMO OBJEKTAS</w:t>
      </w:r>
    </w:p>
    <w:p w14:paraId="229F8101" w14:textId="2DE9E8BB" w:rsidR="004A0C48" w:rsidRPr="005C1D34"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5C1D34">
        <w:rPr>
          <w:rFonts w:ascii="Arial" w:hAnsi="Arial" w:cs="Arial"/>
        </w:rPr>
        <w:t xml:space="preserve">Pirkimo objektas – </w:t>
      </w:r>
      <w:r w:rsidR="00A4647A" w:rsidRPr="005C1D34">
        <w:rPr>
          <w:rFonts w:ascii="Arial" w:hAnsi="Arial" w:cs="Arial"/>
        </w:rPr>
        <w:t>Projektų valdymo informacinė</w:t>
      </w:r>
      <w:r w:rsidR="00960955" w:rsidRPr="005C1D34">
        <w:rPr>
          <w:rFonts w:ascii="Arial" w:hAnsi="Arial" w:cs="Arial"/>
        </w:rPr>
        <w:t>s</w:t>
      </w:r>
      <w:r w:rsidR="00A4647A" w:rsidRPr="005C1D34">
        <w:rPr>
          <w:rFonts w:ascii="Arial" w:hAnsi="Arial" w:cs="Arial"/>
        </w:rPr>
        <w:t xml:space="preserve"> sistem</w:t>
      </w:r>
      <w:r w:rsidR="00960955" w:rsidRPr="005C1D34">
        <w:rPr>
          <w:rFonts w:ascii="Arial" w:hAnsi="Arial" w:cs="Arial"/>
        </w:rPr>
        <w:t>os</w:t>
      </w:r>
      <w:r w:rsidR="00A4647A" w:rsidRPr="005C1D34" w:rsidDel="00A4647A">
        <w:rPr>
          <w:rFonts w:ascii="Arial" w:hAnsi="Arial" w:cs="Arial"/>
        </w:rPr>
        <w:t xml:space="preserve"> </w:t>
      </w:r>
      <w:r w:rsidR="00756BFE" w:rsidRPr="005C1D34">
        <w:rPr>
          <w:rFonts w:ascii="Arial" w:hAnsi="Arial" w:cs="Arial"/>
        </w:rPr>
        <w:t>(</w:t>
      </w:r>
      <w:r w:rsidR="00A4647A" w:rsidRPr="005C1D34">
        <w:rPr>
          <w:rFonts w:ascii="Arial" w:hAnsi="Arial" w:cs="Arial"/>
        </w:rPr>
        <w:t>PVIS</w:t>
      </w:r>
      <w:r w:rsidR="00756BFE" w:rsidRPr="005C1D34">
        <w:rPr>
          <w:rFonts w:ascii="Arial" w:hAnsi="Arial" w:cs="Arial"/>
        </w:rPr>
        <w:t xml:space="preserve">) </w:t>
      </w:r>
      <w:r w:rsidR="00686F8C" w:rsidRPr="005C1D34">
        <w:rPr>
          <w:rFonts w:ascii="Arial" w:hAnsi="Arial" w:cs="Arial"/>
        </w:rPr>
        <w:t xml:space="preserve">priežiūros ir </w:t>
      </w:r>
      <w:r w:rsidR="00756BFE" w:rsidRPr="005C1D34">
        <w:rPr>
          <w:rFonts w:ascii="Arial" w:hAnsi="Arial" w:cs="Arial"/>
        </w:rPr>
        <w:t xml:space="preserve">vystymo </w:t>
      </w:r>
      <w:r w:rsidR="0096553A" w:rsidRPr="005C1D34">
        <w:rPr>
          <w:rFonts w:ascii="Arial" w:hAnsi="Arial" w:cs="Arial"/>
        </w:rPr>
        <w:t>paslaugos</w:t>
      </w:r>
      <w:r w:rsidRPr="005C1D34">
        <w:rPr>
          <w:rFonts w:ascii="Arial" w:hAnsi="Arial" w:cs="Arial"/>
        </w:rPr>
        <w:t xml:space="preserve"> (toliau –</w:t>
      </w:r>
      <w:r w:rsidR="00103378" w:rsidRPr="005C1D34">
        <w:rPr>
          <w:rFonts w:ascii="Arial" w:hAnsi="Arial" w:cs="Arial"/>
        </w:rPr>
        <w:t xml:space="preserve"> </w:t>
      </w:r>
      <w:r w:rsidRPr="005C1D34">
        <w:rPr>
          <w:rFonts w:ascii="Arial" w:hAnsi="Arial" w:cs="Arial"/>
        </w:rPr>
        <w:t>paslaugos).</w:t>
      </w:r>
      <w:r w:rsidR="00D548DD" w:rsidRPr="005C1D34">
        <w:rPr>
          <w:rFonts w:ascii="Arial" w:hAnsi="Arial" w:cs="Arial"/>
        </w:rPr>
        <w:t xml:space="preserve"> </w:t>
      </w:r>
    </w:p>
    <w:p w14:paraId="4FC0ED49" w14:textId="77777777" w:rsidR="00A97C29" w:rsidRPr="005C1D34" w:rsidRDefault="004A0C48" w:rsidP="00A97C29">
      <w:pPr>
        <w:pStyle w:val="ListParagraph"/>
        <w:numPr>
          <w:ilvl w:val="1"/>
          <w:numId w:val="2"/>
        </w:numPr>
        <w:tabs>
          <w:tab w:val="left" w:pos="567"/>
        </w:tabs>
        <w:spacing w:after="0" w:line="240" w:lineRule="auto"/>
        <w:ind w:left="0" w:firstLine="0"/>
        <w:jc w:val="both"/>
        <w:rPr>
          <w:rFonts w:ascii="Arial" w:hAnsi="Arial" w:cs="Arial"/>
        </w:rPr>
      </w:pPr>
      <w:r w:rsidRPr="005C1D34">
        <w:rPr>
          <w:rFonts w:ascii="Arial" w:hAnsi="Arial" w:cs="Arial"/>
        </w:rPr>
        <w:t>Pirkimo objektas į pirkimo objekto dalis neskaidomas</w:t>
      </w:r>
      <w:r w:rsidR="00212FAB" w:rsidRPr="005C1D34">
        <w:rPr>
          <w:rFonts w:ascii="Arial" w:hAnsi="Arial" w:cs="Arial"/>
        </w:rPr>
        <w:t>, todėl Tiekėjas privalo teikti pasiūlymą visai žemiau nurodytai pirkimo objekto apimčiai.</w:t>
      </w:r>
    </w:p>
    <w:p w14:paraId="3F36F6AD" w14:textId="77777777" w:rsidR="00A97C29" w:rsidRPr="005C1D34" w:rsidRDefault="003D4EE1" w:rsidP="00A97C29">
      <w:pPr>
        <w:pStyle w:val="ListParagraph"/>
        <w:numPr>
          <w:ilvl w:val="1"/>
          <w:numId w:val="2"/>
        </w:numPr>
        <w:tabs>
          <w:tab w:val="left" w:pos="567"/>
        </w:tabs>
        <w:spacing w:after="0" w:line="240" w:lineRule="auto"/>
        <w:ind w:left="0" w:firstLine="0"/>
        <w:jc w:val="both"/>
        <w:rPr>
          <w:rFonts w:ascii="Arial" w:hAnsi="Arial" w:cs="Arial"/>
        </w:rPr>
      </w:pPr>
      <w:r w:rsidRPr="005C1D34">
        <w:rPr>
          <w:rFonts w:ascii="Arial" w:hAnsi="Arial" w:cs="Arial"/>
        </w:rPr>
        <w:t>Paslaugų teikimo vieta</w:t>
      </w:r>
      <w:r w:rsidR="0057449C" w:rsidRPr="005C1D34">
        <w:rPr>
          <w:rFonts w:ascii="Arial" w:hAnsi="Arial" w:cs="Arial"/>
        </w:rPr>
        <w:t>: Vilnius</w:t>
      </w:r>
      <w:r w:rsidR="00E65D29" w:rsidRPr="005C1D34">
        <w:rPr>
          <w:rFonts w:ascii="Arial" w:hAnsi="Arial" w:cs="Arial"/>
        </w:rPr>
        <w:t>, Vilniaus universitetas</w:t>
      </w:r>
      <w:r w:rsidR="00A50604" w:rsidRPr="005C1D34">
        <w:rPr>
          <w:rFonts w:ascii="Arial" w:hAnsi="Arial" w:cs="Arial"/>
        </w:rPr>
        <w:t>.</w:t>
      </w:r>
    </w:p>
    <w:p w14:paraId="69B8FEFB" w14:textId="20498318" w:rsidR="004A0C48" w:rsidRPr="005C1D34" w:rsidRDefault="00103378" w:rsidP="00A97C29">
      <w:pPr>
        <w:pStyle w:val="ListParagraph"/>
        <w:numPr>
          <w:ilvl w:val="1"/>
          <w:numId w:val="2"/>
        </w:numPr>
        <w:tabs>
          <w:tab w:val="left" w:pos="567"/>
        </w:tabs>
        <w:spacing w:after="0" w:line="240" w:lineRule="auto"/>
        <w:ind w:left="0" w:firstLine="0"/>
        <w:jc w:val="both"/>
        <w:rPr>
          <w:rFonts w:ascii="Arial" w:hAnsi="Arial" w:cs="Arial"/>
        </w:rPr>
      </w:pPr>
      <w:r w:rsidRPr="005C1D34">
        <w:rPr>
          <w:rFonts w:ascii="Arial" w:hAnsi="Arial" w:cs="Arial"/>
        </w:rPr>
        <w:t>P</w:t>
      </w:r>
      <w:r w:rsidR="00DC79E6" w:rsidRPr="005C1D34">
        <w:rPr>
          <w:rFonts w:ascii="Arial" w:hAnsi="Arial" w:cs="Arial"/>
        </w:rPr>
        <w:t>aslaugų</w:t>
      </w:r>
      <w:r w:rsidR="00B62F69" w:rsidRPr="005C1D34">
        <w:rPr>
          <w:rFonts w:ascii="Arial" w:hAnsi="Arial" w:cs="Arial"/>
        </w:rPr>
        <w:t xml:space="preserve"> </w:t>
      </w:r>
      <w:r w:rsidR="00DC79E6" w:rsidRPr="005C1D34">
        <w:rPr>
          <w:rFonts w:ascii="Arial" w:hAnsi="Arial" w:cs="Arial"/>
        </w:rPr>
        <w:t>apimtys</w:t>
      </w:r>
      <w:r w:rsidR="00A50604" w:rsidRPr="005C1D34">
        <w:rPr>
          <w:rFonts w:ascii="Arial" w:hAnsi="Arial" w:cs="Arial"/>
        </w:rPr>
        <w:t>:</w:t>
      </w:r>
    </w:p>
    <w:p w14:paraId="1686CAAB" w14:textId="77777777" w:rsidR="00CC3B99" w:rsidRPr="005C1D34" w:rsidRDefault="00CC3B99" w:rsidP="00CC3B99">
      <w:pPr>
        <w:spacing w:after="0" w:line="240" w:lineRule="auto"/>
        <w:jc w:val="right"/>
        <w:rPr>
          <w:rFonts w:ascii="Arial" w:hAnsi="Arial" w:cs="Arial"/>
          <w:b/>
        </w:rPr>
      </w:pPr>
      <w:r w:rsidRPr="005C1D34">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71"/>
        <w:gridCol w:w="2645"/>
        <w:gridCol w:w="1618"/>
        <w:gridCol w:w="1268"/>
        <w:gridCol w:w="1128"/>
        <w:gridCol w:w="1698"/>
      </w:tblGrid>
      <w:tr w:rsidR="004A5BDE" w:rsidRPr="00580A60" w14:paraId="2584D296" w14:textId="77777777" w:rsidTr="00016075">
        <w:trPr>
          <w:trHeight w:val="20"/>
          <w:jc w:val="center"/>
        </w:trPr>
        <w:tc>
          <w:tcPr>
            <w:tcW w:w="1271" w:type="dxa"/>
            <w:vMerge w:val="restart"/>
            <w:vAlign w:val="center"/>
          </w:tcPr>
          <w:p w14:paraId="4C19B4D9" w14:textId="77777777" w:rsidR="004A5BDE" w:rsidRPr="00580A60" w:rsidRDefault="004A5BDE" w:rsidP="003D1E0E">
            <w:pPr>
              <w:jc w:val="center"/>
              <w:rPr>
                <w:rFonts w:ascii="Arial" w:hAnsi="Arial" w:cs="Arial"/>
                <w:b/>
                <w:sz w:val="22"/>
                <w:szCs w:val="22"/>
              </w:rPr>
            </w:pPr>
            <w:r w:rsidRPr="00580A60">
              <w:rPr>
                <w:rFonts w:ascii="Arial" w:hAnsi="Arial" w:cs="Arial"/>
                <w:b/>
                <w:sz w:val="22"/>
                <w:szCs w:val="22"/>
              </w:rPr>
              <w:t>Eil. Nr.</w:t>
            </w:r>
          </w:p>
        </w:tc>
        <w:tc>
          <w:tcPr>
            <w:tcW w:w="2645" w:type="dxa"/>
            <w:vMerge w:val="restart"/>
            <w:vAlign w:val="center"/>
          </w:tcPr>
          <w:p w14:paraId="113BC18D" w14:textId="77777777" w:rsidR="004A5BDE" w:rsidRPr="00580A60" w:rsidRDefault="004A5BDE" w:rsidP="003D1E0E">
            <w:pPr>
              <w:jc w:val="center"/>
              <w:rPr>
                <w:rFonts w:ascii="Arial" w:hAnsi="Arial" w:cs="Arial"/>
                <w:b/>
                <w:sz w:val="22"/>
                <w:szCs w:val="22"/>
              </w:rPr>
            </w:pPr>
            <w:r w:rsidRPr="00580A60">
              <w:rPr>
                <w:rFonts w:ascii="Arial" w:hAnsi="Arial" w:cs="Arial"/>
                <w:b/>
                <w:sz w:val="22"/>
                <w:szCs w:val="22"/>
              </w:rPr>
              <w:t>Paslaugų pavadinimas</w:t>
            </w:r>
          </w:p>
        </w:tc>
        <w:tc>
          <w:tcPr>
            <w:tcW w:w="1618" w:type="dxa"/>
            <w:vMerge w:val="restart"/>
            <w:vAlign w:val="center"/>
          </w:tcPr>
          <w:p w14:paraId="3C7CF419" w14:textId="2F879661" w:rsidR="004A5BDE" w:rsidRPr="00580A60" w:rsidRDefault="004A5BDE" w:rsidP="003D1E0E">
            <w:pPr>
              <w:jc w:val="center"/>
              <w:rPr>
                <w:rFonts w:ascii="Arial" w:hAnsi="Arial" w:cs="Arial"/>
                <w:b/>
                <w:sz w:val="22"/>
                <w:szCs w:val="22"/>
              </w:rPr>
            </w:pPr>
            <w:r w:rsidRPr="00580A60">
              <w:rPr>
                <w:rFonts w:ascii="Arial" w:hAnsi="Arial" w:cs="Arial"/>
                <w:b/>
                <w:sz w:val="22"/>
                <w:szCs w:val="22"/>
              </w:rPr>
              <w:t xml:space="preserve">Paslaugų apimtis </w:t>
            </w:r>
            <w:r w:rsidR="00A74143" w:rsidRPr="00580A60">
              <w:rPr>
                <w:rFonts w:ascii="Arial" w:hAnsi="Arial" w:cs="Arial"/>
                <w:b/>
                <w:sz w:val="22"/>
                <w:szCs w:val="22"/>
              </w:rPr>
              <w:t xml:space="preserve">ir mato vnt. </w:t>
            </w:r>
          </w:p>
        </w:tc>
        <w:tc>
          <w:tcPr>
            <w:tcW w:w="2396" w:type="dxa"/>
            <w:gridSpan w:val="2"/>
            <w:tcBorders>
              <w:bottom w:val="single" w:sz="4" w:space="0" w:color="auto"/>
            </w:tcBorders>
            <w:vAlign w:val="center"/>
          </w:tcPr>
          <w:p w14:paraId="20AD2D90" w14:textId="77777777" w:rsidR="004A5BDE" w:rsidRPr="00580A60" w:rsidRDefault="004A5BDE" w:rsidP="003D1E0E">
            <w:pPr>
              <w:jc w:val="center"/>
              <w:rPr>
                <w:rFonts w:ascii="Arial" w:hAnsi="Arial" w:cs="Arial"/>
                <w:b/>
                <w:sz w:val="22"/>
                <w:szCs w:val="22"/>
              </w:rPr>
            </w:pPr>
            <w:r w:rsidRPr="00580A60">
              <w:rPr>
                <w:rFonts w:ascii="Arial" w:hAnsi="Arial" w:cs="Arial"/>
                <w:b/>
                <w:sz w:val="22"/>
                <w:szCs w:val="22"/>
              </w:rPr>
              <w:t>Užsakymų teikimas</w:t>
            </w:r>
          </w:p>
        </w:tc>
        <w:tc>
          <w:tcPr>
            <w:tcW w:w="1698" w:type="dxa"/>
            <w:vMerge w:val="restart"/>
            <w:vAlign w:val="center"/>
          </w:tcPr>
          <w:p w14:paraId="2EB9B5EB" w14:textId="57057296" w:rsidR="004A5BDE" w:rsidRPr="00580A60" w:rsidRDefault="004A5BDE" w:rsidP="003D1E0E">
            <w:pPr>
              <w:jc w:val="center"/>
              <w:rPr>
                <w:rFonts w:ascii="Arial" w:hAnsi="Arial" w:cs="Arial"/>
                <w:b/>
                <w:sz w:val="22"/>
                <w:szCs w:val="22"/>
              </w:rPr>
            </w:pPr>
            <w:r w:rsidRPr="00580A60">
              <w:rPr>
                <w:rFonts w:ascii="Arial" w:hAnsi="Arial" w:cs="Arial"/>
                <w:b/>
                <w:sz w:val="22"/>
                <w:szCs w:val="22"/>
              </w:rPr>
              <w:t xml:space="preserve">Paslaugų teikimo terminas </w:t>
            </w:r>
            <w:r w:rsidR="009463CD" w:rsidRPr="00580A60">
              <w:rPr>
                <w:rFonts w:ascii="Arial" w:hAnsi="Arial" w:cs="Arial"/>
                <w:b/>
                <w:bCs/>
                <w:sz w:val="22"/>
                <w:szCs w:val="22"/>
              </w:rPr>
              <w:t>nuo Sutarties įsigaliojimo dienos</w:t>
            </w:r>
          </w:p>
        </w:tc>
      </w:tr>
      <w:tr w:rsidR="004A5BDE" w:rsidRPr="00580A60" w14:paraId="3ECD13AF" w14:textId="77777777" w:rsidTr="00016075">
        <w:trPr>
          <w:trHeight w:val="20"/>
          <w:jc w:val="center"/>
        </w:trPr>
        <w:tc>
          <w:tcPr>
            <w:tcW w:w="1271" w:type="dxa"/>
            <w:vMerge/>
            <w:vAlign w:val="center"/>
          </w:tcPr>
          <w:p w14:paraId="738F92A4" w14:textId="77777777" w:rsidR="004A5BDE" w:rsidRPr="00580A60" w:rsidRDefault="004A5BDE" w:rsidP="003D1E0E">
            <w:pPr>
              <w:jc w:val="center"/>
              <w:rPr>
                <w:rFonts w:ascii="Arial" w:hAnsi="Arial" w:cs="Arial"/>
                <w:sz w:val="22"/>
                <w:szCs w:val="22"/>
              </w:rPr>
            </w:pPr>
          </w:p>
        </w:tc>
        <w:tc>
          <w:tcPr>
            <w:tcW w:w="2645" w:type="dxa"/>
            <w:vMerge/>
            <w:vAlign w:val="center"/>
          </w:tcPr>
          <w:p w14:paraId="65F988B9" w14:textId="77777777" w:rsidR="004A5BDE" w:rsidRPr="00580A60" w:rsidRDefault="004A5BDE" w:rsidP="003D1E0E">
            <w:pPr>
              <w:jc w:val="center"/>
              <w:rPr>
                <w:rFonts w:ascii="Arial" w:hAnsi="Arial" w:cs="Arial"/>
                <w:sz w:val="22"/>
                <w:szCs w:val="22"/>
              </w:rPr>
            </w:pPr>
          </w:p>
        </w:tc>
        <w:tc>
          <w:tcPr>
            <w:tcW w:w="1618" w:type="dxa"/>
            <w:vMerge/>
            <w:vAlign w:val="center"/>
          </w:tcPr>
          <w:p w14:paraId="30FF17D2" w14:textId="77777777" w:rsidR="004A5BDE" w:rsidRPr="00580A60" w:rsidRDefault="004A5BDE" w:rsidP="003D1E0E">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45419B5F" w14:textId="77777777" w:rsidR="004A5BDE" w:rsidRPr="00580A60" w:rsidRDefault="004A5BDE" w:rsidP="003D1E0E">
            <w:pPr>
              <w:jc w:val="center"/>
              <w:rPr>
                <w:rFonts w:ascii="Arial" w:hAnsi="Arial" w:cs="Arial"/>
                <w:b/>
                <w:sz w:val="22"/>
                <w:szCs w:val="22"/>
              </w:rPr>
            </w:pPr>
            <w:r w:rsidRPr="00580A60">
              <w:rPr>
                <w:rFonts w:ascii="Arial" w:hAnsi="Arial" w:cs="Arial"/>
                <w:b/>
                <w:sz w:val="22"/>
                <w:szCs w:val="22"/>
              </w:rPr>
              <w:t>Taip</w:t>
            </w:r>
          </w:p>
          <w:p w14:paraId="00F25B51" w14:textId="22F2D98F" w:rsidR="00482CF9" w:rsidRPr="00580A60" w:rsidRDefault="00482CF9" w:rsidP="003D1E0E">
            <w:pPr>
              <w:jc w:val="center"/>
              <w:rPr>
                <w:rFonts w:ascii="Arial" w:hAnsi="Arial" w:cs="Arial"/>
                <w:b/>
                <w:sz w:val="22"/>
                <w:szCs w:val="22"/>
              </w:rPr>
            </w:pPr>
          </w:p>
        </w:tc>
        <w:tc>
          <w:tcPr>
            <w:tcW w:w="1128" w:type="dxa"/>
            <w:tcBorders>
              <w:top w:val="single" w:sz="4" w:space="0" w:color="auto"/>
              <w:left w:val="single" w:sz="4" w:space="0" w:color="auto"/>
            </w:tcBorders>
            <w:vAlign w:val="center"/>
          </w:tcPr>
          <w:p w14:paraId="6CA5D0B2" w14:textId="77777777" w:rsidR="004A5BDE" w:rsidRPr="00580A60" w:rsidRDefault="004A5BDE" w:rsidP="003D1E0E">
            <w:pPr>
              <w:jc w:val="center"/>
              <w:rPr>
                <w:rFonts w:ascii="Arial" w:hAnsi="Arial" w:cs="Arial"/>
                <w:b/>
                <w:sz w:val="22"/>
                <w:szCs w:val="22"/>
              </w:rPr>
            </w:pPr>
            <w:r w:rsidRPr="00580A60">
              <w:rPr>
                <w:rFonts w:ascii="Arial" w:hAnsi="Arial" w:cs="Arial"/>
                <w:b/>
                <w:sz w:val="22"/>
                <w:szCs w:val="22"/>
              </w:rPr>
              <w:t>Ne</w:t>
            </w:r>
          </w:p>
          <w:p w14:paraId="30442531" w14:textId="7CD9DAF4" w:rsidR="00482CF9" w:rsidRPr="00580A60" w:rsidRDefault="00482CF9" w:rsidP="003D1E0E">
            <w:pPr>
              <w:jc w:val="center"/>
              <w:rPr>
                <w:rFonts w:ascii="Arial" w:hAnsi="Arial" w:cs="Arial"/>
                <w:b/>
                <w:sz w:val="22"/>
                <w:szCs w:val="22"/>
              </w:rPr>
            </w:pPr>
          </w:p>
        </w:tc>
        <w:tc>
          <w:tcPr>
            <w:tcW w:w="1698" w:type="dxa"/>
            <w:vMerge/>
            <w:vAlign w:val="center"/>
          </w:tcPr>
          <w:p w14:paraId="415396CD" w14:textId="77777777" w:rsidR="004A5BDE" w:rsidRPr="00580A60" w:rsidRDefault="004A5BDE" w:rsidP="003D1E0E">
            <w:pPr>
              <w:jc w:val="center"/>
              <w:rPr>
                <w:rFonts w:ascii="Arial" w:hAnsi="Arial" w:cs="Arial"/>
                <w:sz w:val="22"/>
                <w:szCs w:val="22"/>
              </w:rPr>
            </w:pPr>
          </w:p>
        </w:tc>
      </w:tr>
      <w:tr w:rsidR="00016075" w:rsidRPr="00580A60" w14:paraId="728C9981" w14:textId="77777777" w:rsidTr="00016075">
        <w:trPr>
          <w:trHeight w:val="20"/>
          <w:jc w:val="center"/>
        </w:trPr>
        <w:tc>
          <w:tcPr>
            <w:tcW w:w="1271" w:type="dxa"/>
          </w:tcPr>
          <w:p w14:paraId="5C78F8EA" w14:textId="77777777" w:rsidR="00016075" w:rsidRPr="00580A60" w:rsidRDefault="00016075" w:rsidP="003D1E0E">
            <w:pPr>
              <w:ind w:firstLine="313"/>
              <w:rPr>
                <w:rFonts w:ascii="Arial" w:hAnsi="Arial" w:cs="Arial"/>
                <w:sz w:val="22"/>
                <w:szCs w:val="22"/>
              </w:rPr>
            </w:pPr>
            <w:r w:rsidRPr="00580A60">
              <w:rPr>
                <w:rFonts w:ascii="Arial" w:hAnsi="Arial" w:cs="Arial"/>
                <w:sz w:val="22"/>
                <w:szCs w:val="22"/>
              </w:rPr>
              <w:t>1.</w:t>
            </w:r>
          </w:p>
        </w:tc>
        <w:tc>
          <w:tcPr>
            <w:tcW w:w="2645" w:type="dxa"/>
            <w:vAlign w:val="center"/>
          </w:tcPr>
          <w:p w14:paraId="27F208C5" w14:textId="0A6CE8C6" w:rsidR="00016075" w:rsidRPr="00580A60" w:rsidRDefault="00A4647A" w:rsidP="00F51711">
            <w:pPr>
              <w:rPr>
                <w:rFonts w:ascii="Arial" w:hAnsi="Arial" w:cs="Arial"/>
                <w:i/>
                <w:iCs/>
                <w:sz w:val="22"/>
                <w:szCs w:val="22"/>
              </w:rPr>
            </w:pPr>
            <w:r w:rsidRPr="00580A60">
              <w:rPr>
                <w:rFonts w:ascii="Arial" w:hAnsi="Arial" w:cs="Arial"/>
                <w:sz w:val="22"/>
                <w:szCs w:val="22"/>
              </w:rPr>
              <w:t xml:space="preserve">Vystymo </w:t>
            </w:r>
            <w:r w:rsidR="00016075" w:rsidRPr="00580A60">
              <w:rPr>
                <w:rFonts w:ascii="Arial" w:hAnsi="Arial" w:cs="Arial"/>
                <w:sz w:val="22"/>
                <w:szCs w:val="22"/>
              </w:rPr>
              <w:t>paslaugos</w:t>
            </w:r>
          </w:p>
        </w:tc>
        <w:tc>
          <w:tcPr>
            <w:tcW w:w="1618" w:type="dxa"/>
            <w:vAlign w:val="center"/>
          </w:tcPr>
          <w:p w14:paraId="0B47264A" w14:textId="30D849F7" w:rsidR="00016075" w:rsidRPr="00580A60" w:rsidRDefault="002C1674" w:rsidP="008660BC">
            <w:pPr>
              <w:jc w:val="center"/>
              <w:rPr>
                <w:rFonts w:ascii="Arial" w:hAnsi="Arial" w:cs="Arial"/>
                <w:i/>
                <w:iCs/>
                <w:sz w:val="22"/>
                <w:szCs w:val="22"/>
              </w:rPr>
            </w:pPr>
            <w:r w:rsidRPr="00580A60">
              <w:rPr>
                <w:rFonts w:ascii="Arial" w:hAnsi="Arial" w:cs="Arial"/>
                <w:sz w:val="22"/>
                <w:szCs w:val="22"/>
              </w:rPr>
              <w:t xml:space="preserve">800 </w:t>
            </w:r>
            <w:r w:rsidR="00016075" w:rsidRPr="00580A60">
              <w:rPr>
                <w:rFonts w:ascii="Arial" w:hAnsi="Arial" w:cs="Arial"/>
                <w:sz w:val="22"/>
                <w:szCs w:val="22"/>
              </w:rPr>
              <w:t>val.</w:t>
            </w:r>
            <w:r w:rsidR="00AD5143" w:rsidRPr="00580A60">
              <w:rPr>
                <w:rFonts w:ascii="Arial" w:hAnsi="Arial" w:cs="Arial"/>
                <w:sz w:val="22"/>
                <w:szCs w:val="22"/>
              </w:rPr>
              <w:t xml:space="preserve"> </w:t>
            </w:r>
            <w:r w:rsidR="00AD5143" w:rsidRPr="00580A60">
              <w:rPr>
                <w:rStyle w:val="normaltextrun"/>
                <w:rFonts w:ascii="Arial" w:hAnsi="Arial" w:cs="Arial"/>
                <w:i/>
                <w:iCs/>
                <w:color w:val="000000"/>
                <w:sz w:val="22"/>
                <w:szCs w:val="22"/>
                <w:shd w:val="clear" w:color="auto" w:fill="FFFFFF"/>
              </w:rPr>
              <w:t>(preliminarus kiekis)</w:t>
            </w:r>
          </w:p>
        </w:tc>
        <w:tc>
          <w:tcPr>
            <w:tcW w:w="1268" w:type="dxa"/>
            <w:tcBorders>
              <w:right w:val="single" w:sz="4" w:space="0" w:color="auto"/>
            </w:tcBorders>
            <w:vAlign w:val="center"/>
          </w:tcPr>
          <w:p w14:paraId="4394AB9D" w14:textId="74DE5D1A" w:rsidR="00016075" w:rsidRPr="00580A60" w:rsidRDefault="00016075" w:rsidP="003D1E0E">
            <w:pPr>
              <w:jc w:val="center"/>
              <w:rPr>
                <w:rFonts w:ascii="Arial" w:hAnsi="Arial" w:cs="Arial"/>
                <w:sz w:val="22"/>
                <w:szCs w:val="22"/>
              </w:rPr>
            </w:pPr>
            <w:r w:rsidRPr="00580A60">
              <w:rPr>
                <w:rFonts w:ascii="Segoe UI Symbol" w:eastAsia="MS Gothic" w:hAnsi="Segoe UI Symbol" w:cs="Segoe UI Symbol"/>
                <w:sz w:val="22"/>
                <w:szCs w:val="22"/>
              </w:rPr>
              <w:t>☒</w:t>
            </w:r>
          </w:p>
        </w:tc>
        <w:tc>
          <w:tcPr>
            <w:tcW w:w="1128" w:type="dxa"/>
            <w:tcBorders>
              <w:left w:val="single" w:sz="4" w:space="0" w:color="auto"/>
            </w:tcBorders>
            <w:vAlign w:val="center"/>
          </w:tcPr>
          <w:p w14:paraId="398891DC" w14:textId="139BDB74" w:rsidR="00016075" w:rsidRPr="00580A60" w:rsidRDefault="00A4647A" w:rsidP="003D1E0E">
            <w:pPr>
              <w:jc w:val="center"/>
              <w:rPr>
                <w:rFonts w:ascii="Arial" w:hAnsi="Arial" w:cs="Arial"/>
                <w:sz w:val="22"/>
                <w:szCs w:val="22"/>
              </w:rPr>
            </w:pPr>
            <w:r w:rsidRPr="00580A60">
              <w:rPr>
                <w:rFonts w:ascii="Segoe UI Symbol" w:eastAsia="MS Gothic" w:hAnsi="Segoe UI Symbol" w:cs="Segoe UI Symbol"/>
                <w:sz w:val="22"/>
                <w:szCs w:val="22"/>
              </w:rPr>
              <w:t>☐</w:t>
            </w:r>
          </w:p>
        </w:tc>
        <w:tc>
          <w:tcPr>
            <w:tcW w:w="1698" w:type="dxa"/>
            <w:vAlign w:val="center"/>
          </w:tcPr>
          <w:p w14:paraId="47506702" w14:textId="5AF6282D" w:rsidR="00016075" w:rsidRPr="00580A60" w:rsidRDefault="008A3FCB" w:rsidP="00DB4C85">
            <w:pPr>
              <w:jc w:val="center"/>
              <w:rPr>
                <w:rFonts w:ascii="Arial" w:hAnsi="Arial" w:cs="Arial"/>
                <w:sz w:val="22"/>
                <w:szCs w:val="22"/>
              </w:rPr>
            </w:pPr>
            <w:r w:rsidRPr="00580A60">
              <w:rPr>
                <w:rFonts w:ascii="Arial" w:hAnsi="Arial" w:cs="Arial"/>
                <w:sz w:val="22"/>
                <w:szCs w:val="22"/>
              </w:rPr>
              <w:t xml:space="preserve">24 </w:t>
            </w:r>
            <w:r w:rsidR="00DB4C85" w:rsidRPr="00580A60">
              <w:rPr>
                <w:rFonts w:ascii="Arial" w:hAnsi="Arial" w:cs="Arial"/>
                <w:sz w:val="22"/>
                <w:szCs w:val="22"/>
              </w:rPr>
              <w:t xml:space="preserve">(dvidešimt </w:t>
            </w:r>
            <w:r w:rsidR="00D07794" w:rsidRPr="00580A60">
              <w:rPr>
                <w:rFonts w:ascii="Arial" w:hAnsi="Arial" w:cs="Arial"/>
                <w:sz w:val="22"/>
                <w:szCs w:val="22"/>
              </w:rPr>
              <w:t xml:space="preserve">keturi) </w:t>
            </w:r>
            <w:r w:rsidR="00016075" w:rsidRPr="00580A60">
              <w:rPr>
                <w:rFonts w:ascii="Arial" w:hAnsi="Arial" w:cs="Arial"/>
                <w:sz w:val="22"/>
                <w:szCs w:val="22"/>
              </w:rPr>
              <w:t>mėn.</w:t>
            </w:r>
          </w:p>
        </w:tc>
      </w:tr>
      <w:tr w:rsidR="008A3FCB" w:rsidRPr="00580A60" w14:paraId="4E3A786F" w14:textId="77777777" w:rsidTr="008514F3">
        <w:trPr>
          <w:trHeight w:val="20"/>
          <w:jc w:val="center"/>
        </w:trPr>
        <w:tc>
          <w:tcPr>
            <w:tcW w:w="1271" w:type="dxa"/>
            <w:shd w:val="clear" w:color="auto" w:fill="FFFFFF" w:themeFill="background1"/>
          </w:tcPr>
          <w:p w14:paraId="5CF9DB02" w14:textId="2C812007" w:rsidR="008A3FCB" w:rsidRPr="00580A60" w:rsidRDefault="008A3FCB" w:rsidP="008A3FCB">
            <w:pPr>
              <w:ind w:firstLine="313"/>
              <w:rPr>
                <w:rFonts w:ascii="Arial" w:hAnsi="Arial" w:cs="Arial"/>
                <w:sz w:val="22"/>
                <w:szCs w:val="22"/>
              </w:rPr>
            </w:pPr>
            <w:r w:rsidRPr="00580A60">
              <w:rPr>
                <w:rFonts w:ascii="Arial" w:hAnsi="Arial" w:cs="Arial"/>
                <w:sz w:val="22"/>
                <w:szCs w:val="22"/>
              </w:rPr>
              <w:t>2.</w:t>
            </w:r>
          </w:p>
        </w:tc>
        <w:tc>
          <w:tcPr>
            <w:tcW w:w="2645" w:type="dxa"/>
            <w:shd w:val="clear" w:color="auto" w:fill="FFFFFF" w:themeFill="background1"/>
            <w:vAlign w:val="center"/>
          </w:tcPr>
          <w:p w14:paraId="7853B809" w14:textId="01922B4C" w:rsidR="008A3FCB" w:rsidRPr="00580A60" w:rsidRDefault="00686F8C" w:rsidP="008A3FCB">
            <w:pPr>
              <w:rPr>
                <w:rFonts w:ascii="Arial" w:hAnsi="Arial" w:cs="Arial"/>
                <w:sz w:val="22"/>
                <w:szCs w:val="22"/>
              </w:rPr>
            </w:pPr>
            <w:r w:rsidRPr="00580A60">
              <w:rPr>
                <w:rFonts w:ascii="Arial" w:hAnsi="Arial" w:cs="Arial"/>
                <w:sz w:val="22"/>
                <w:szCs w:val="22"/>
              </w:rPr>
              <w:t xml:space="preserve">Priežiūros </w:t>
            </w:r>
            <w:r w:rsidR="008A3FCB" w:rsidRPr="00580A60">
              <w:rPr>
                <w:rFonts w:ascii="Arial" w:hAnsi="Arial" w:cs="Arial"/>
                <w:sz w:val="22"/>
                <w:szCs w:val="22"/>
              </w:rPr>
              <w:t>paslaugos</w:t>
            </w:r>
          </w:p>
        </w:tc>
        <w:tc>
          <w:tcPr>
            <w:tcW w:w="1618" w:type="dxa"/>
            <w:shd w:val="clear" w:color="auto" w:fill="FFFFFF" w:themeFill="background1"/>
            <w:vAlign w:val="center"/>
          </w:tcPr>
          <w:p w14:paraId="6BCF60E4" w14:textId="77777777" w:rsidR="008A3FCB" w:rsidRPr="00580A60" w:rsidRDefault="008A3FCB" w:rsidP="008A3FCB">
            <w:pPr>
              <w:jc w:val="center"/>
              <w:rPr>
                <w:rFonts w:ascii="Arial" w:hAnsi="Arial" w:cs="Arial"/>
                <w:sz w:val="22"/>
                <w:szCs w:val="22"/>
              </w:rPr>
            </w:pPr>
            <w:r w:rsidRPr="00580A60">
              <w:rPr>
                <w:rFonts w:ascii="Arial" w:hAnsi="Arial" w:cs="Arial"/>
                <w:sz w:val="22"/>
                <w:szCs w:val="22"/>
              </w:rPr>
              <w:t>24 mėn</w:t>
            </w:r>
            <w:r w:rsidR="00161502" w:rsidRPr="00580A60">
              <w:rPr>
                <w:rFonts w:ascii="Arial" w:hAnsi="Arial" w:cs="Arial"/>
                <w:sz w:val="22"/>
                <w:szCs w:val="22"/>
              </w:rPr>
              <w:t>.</w:t>
            </w:r>
          </w:p>
          <w:p w14:paraId="3EC82915" w14:textId="20840447" w:rsidR="008E2E04" w:rsidRPr="00580A60" w:rsidDel="00980EDB" w:rsidRDefault="008E2E04" w:rsidP="008A3FCB">
            <w:pPr>
              <w:jc w:val="center"/>
              <w:rPr>
                <w:rFonts w:ascii="Arial" w:hAnsi="Arial" w:cs="Arial"/>
                <w:i/>
                <w:iCs/>
                <w:sz w:val="22"/>
                <w:szCs w:val="22"/>
              </w:rPr>
            </w:pPr>
            <w:r w:rsidRPr="00580A60">
              <w:rPr>
                <w:rFonts w:ascii="Arial" w:hAnsi="Arial" w:cs="Arial"/>
                <w:i/>
                <w:iCs/>
                <w:sz w:val="22"/>
                <w:szCs w:val="22"/>
              </w:rPr>
              <w:t>(</w:t>
            </w:r>
            <w:r w:rsidR="00F1060D" w:rsidRPr="00580A60">
              <w:rPr>
                <w:rFonts w:ascii="Arial" w:hAnsi="Arial" w:cs="Arial"/>
                <w:i/>
                <w:iCs/>
                <w:sz w:val="22"/>
                <w:szCs w:val="22"/>
              </w:rPr>
              <w:t>tikslus</w:t>
            </w:r>
            <w:r w:rsidRPr="00580A60">
              <w:rPr>
                <w:rFonts w:ascii="Arial" w:hAnsi="Arial" w:cs="Arial"/>
                <w:i/>
                <w:iCs/>
                <w:sz w:val="22"/>
                <w:szCs w:val="22"/>
              </w:rPr>
              <w:t xml:space="preserve"> kiekis)</w:t>
            </w:r>
          </w:p>
        </w:tc>
        <w:tc>
          <w:tcPr>
            <w:tcW w:w="1268" w:type="dxa"/>
            <w:tcBorders>
              <w:right w:val="single" w:sz="4" w:space="0" w:color="auto"/>
            </w:tcBorders>
            <w:shd w:val="clear" w:color="auto" w:fill="FFFFFF" w:themeFill="background1"/>
            <w:vAlign w:val="center"/>
          </w:tcPr>
          <w:p w14:paraId="1FDCCF31" w14:textId="7034AF7B" w:rsidR="008A3FCB" w:rsidRPr="00580A60" w:rsidRDefault="008A3FCB" w:rsidP="008A3FCB">
            <w:pPr>
              <w:jc w:val="center"/>
              <w:rPr>
                <w:rFonts w:ascii="Segoe UI Symbol" w:eastAsia="MS Gothic" w:hAnsi="Segoe UI Symbol" w:cs="Segoe UI Symbol"/>
                <w:sz w:val="22"/>
                <w:szCs w:val="22"/>
              </w:rPr>
            </w:pPr>
            <w:r w:rsidRPr="00580A60">
              <w:rPr>
                <w:rFonts w:ascii="Segoe UI Symbol" w:eastAsia="MS Gothic" w:hAnsi="Segoe UI Symbol" w:cs="Segoe UI Symbol"/>
                <w:sz w:val="22"/>
                <w:szCs w:val="22"/>
              </w:rPr>
              <w:t>☐</w:t>
            </w:r>
          </w:p>
        </w:tc>
        <w:tc>
          <w:tcPr>
            <w:tcW w:w="1128" w:type="dxa"/>
            <w:tcBorders>
              <w:left w:val="single" w:sz="4" w:space="0" w:color="auto"/>
            </w:tcBorders>
            <w:shd w:val="clear" w:color="auto" w:fill="FFFFFF" w:themeFill="background1"/>
            <w:vAlign w:val="center"/>
          </w:tcPr>
          <w:p w14:paraId="750545FE" w14:textId="469C102B" w:rsidR="008A3FCB" w:rsidRPr="00580A60" w:rsidRDefault="008A3FCB" w:rsidP="008A3FCB">
            <w:pPr>
              <w:jc w:val="center"/>
              <w:rPr>
                <w:rFonts w:ascii="Segoe UI Symbol" w:eastAsia="MS Gothic" w:hAnsi="Segoe UI Symbol" w:cs="Segoe UI Symbol"/>
                <w:sz w:val="22"/>
                <w:szCs w:val="22"/>
              </w:rPr>
            </w:pPr>
            <w:r w:rsidRPr="00580A60">
              <w:rPr>
                <w:rFonts w:ascii="Segoe UI Symbol" w:eastAsia="MS Gothic" w:hAnsi="Segoe UI Symbol" w:cs="Segoe UI Symbol"/>
                <w:sz w:val="22"/>
                <w:szCs w:val="22"/>
              </w:rPr>
              <w:t>☒</w:t>
            </w:r>
          </w:p>
        </w:tc>
        <w:tc>
          <w:tcPr>
            <w:tcW w:w="1698" w:type="dxa"/>
            <w:shd w:val="clear" w:color="auto" w:fill="FFFFFF" w:themeFill="background1"/>
            <w:vAlign w:val="center"/>
          </w:tcPr>
          <w:p w14:paraId="665B0E24" w14:textId="5A9ACB92" w:rsidR="008A3FCB" w:rsidRPr="00580A60" w:rsidRDefault="008A3FCB" w:rsidP="00DB4C85">
            <w:pPr>
              <w:jc w:val="center"/>
              <w:rPr>
                <w:rFonts w:ascii="Arial" w:hAnsi="Arial" w:cs="Arial"/>
                <w:sz w:val="22"/>
                <w:szCs w:val="22"/>
              </w:rPr>
            </w:pPr>
            <w:r w:rsidRPr="00580A60">
              <w:rPr>
                <w:rFonts w:ascii="Arial" w:hAnsi="Arial" w:cs="Arial"/>
                <w:sz w:val="22"/>
                <w:szCs w:val="22"/>
              </w:rPr>
              <w:t xml:space="preserve">24 </w:t>
            </w:r>
            <w:r w:rsidR="00D07794" w:rsidRPr="00580A60">
              <w:rPr>
                <w:rFonts w:ascii="Arial" w:hAnsi="Arial" w:cs="Arial"/>
                <w:sz w:val="22"/>
                <w:szCs w:val="22"/>
              </w:rPr>
              <w:t xml:space="preserve">(dvidešimt keturi) </w:t>
            </w:r>
            <w:r w:rsidRPr="00580A60">
              <w:rPr>
                <w:rFonts w:ascii="Arial" w:hAnsi="Arial" w:cs="Arial"/>
                <w:sz w:val="22"/>
                <w:szCs w:val="22"/>
              </w:rPr>
              <w:t>mėn</w:t>
            </w:r>
            <w:r w:rsidR="00161502" w:rsidRPr="00580A60">
              <w:rPr>
                <w:rFonts w:ascii="Arial" w:hAnsi="Arial" w:cs="Arial"/>
                <w:sz w:val="22"/>
                <w:szCs w:val="22"/>
              </w:rPr>
              <w:t>.</w:t>
            </w:r>
          </w:p>
        </w:tc>
      </w:tr>
      <w:tr w:rsidR="0047122D" w:rsidRPr="00580A60" w14:paraId="57E9E379" w14:textId="77777777" w:rsidTr="0047122D">
        <w:tblPrEx>
          <w:jc w:val="left"/>
        </w:tblPrEx>
        <w:trPr>
          <w:trHeight w:val="20"/>
        </w:trPr>
        <w:tc>
          <w:tcPr>
            <w:tcW w:w="1271" w:type="dxa"/>
            <w:shd w:val="clear" w:color="auto" w:fill="auto"/>
          </w:tcPr>
          <w:p w14:paraId="0477F191" w14:textId="1FDA42EC" w:rsidR="00DB4C85" w:rsidRPr="00580A60" w:rsidRDefault="00DB4C85" w:rsidP="00DE3CD4">
            <w:pPr>
              <w:ind w:firstLine="313"/>
              <w:rPr>
                <w:rFonts w:ascii="Arial" w:hAnsi="Arial" w:cs="Arial"/>
                <w:sz w:val="22"/>
                <w:szCs w:val="22"/>
              </w:rPr>
            </w:pPr>
            <w:r w:rsidRPr="00580A60">
              <w:rPr>
                <w:rFonts w:ascii="Arial" w:hAnsi="Arial" w:cs="Arial"/>
                <w:sz w:val="22"/>
                <w:szCs w:val="22"/>
              </w:rPr>
              <w:t>3.</w:t>
            </w:r>
          </w:p>
        </w:tc>
        <w:tc>
          <w:tcPr>
            <w:tcW w:w="2645" w:type="dxa"/>
            <w:shd w:val="clear" w:color="auto" w:fill="auto"/>
          </w:tcPr>
          <w:p w14:paraId="087AF05E" w14:textId="7687FD39" w:rsidR="00DB4C85" w:rsidRPr="00580A60" w:rsidRDefault="00DB4C85" w:rsidP="00DE3CD4">
            <w:pPr>
              <w:rPr>
                <w:rFonts w:ascii="Arial" w:hAnsi="Arial" w:cs="Arial"/>
                <w:sz w:val="22"/>
                <w:szCs w:val="22"/>
              </w:rPr>
            </w:pPr>
            <w:r w:rsidRPr="00580A60">
              <w:rPr>
                <w:rFonts w:ascii="Arial" w:hAnsi="Arial" w:cs="Arial"/>
                <w:sz w:val="22"/>
                <w:szCs w:val="22"/>
              </w:rPr>
              <w:t xml:space="preserve">Techninės specifikacijos 1 priedo </w:t>
            </w:r>
            <w:r w:rsidR="000356CF" w:rsidRPr="00580A60">
              <w:rPr>
                <w:rFonts w:ascii="Arial" w:hAnsi="Arial" w:cs="Arial"/>
                <w:sz w:val="22"/>
                <w:szCs w:val="22"/>
              </w:rPr>
              <w:t>3.1.5 punkte</w:t>
            </w:r>
            <w:r w:rsidR="00395313" w:rsidRPr="00580A60">
              <w:rPr>
                <w:rFonts w:ascii="Arial" w:hAnsi="Arial" w:cs="Arial"/>
                <w:sz w:val="22"/>
                <w:szCs w:val="22"/>
              </w:rPr>
              <w:t xml:space="preserve"> nurodytos</w:t>
            </w:r>
            <w:r w:rsidR="000356CF" w:rsidRPr="00580A60">
              <w:rPr>
                <w:rFonts w:ascii="Arial" w:hAnsi="Arial" w:cs="Arial"/>
                <w:sz w:val="22"/>
                <w:szCs w:val="22"/>
              </w:rPr>
              <w:t xml:space="preserve"> </w:t>
            </w:r>
            <w:r w:rsidR="00233F4C" w:rsidRPr="00580A60">
              <w:rPr>
                <w:rFonts w:ascii="Arial" w:hAnsi="Arial" w:cs="Arial"/>
                <w:sz w:val="22"/>
                <w:szCs w:val="22"/>
              </w:rPr>
              <w:t>fiksuotos vystymo paslaugos</w:t>
            </w:r>
          </w:p>
        </w:tc>
        <w:tc>
          <w:tcPr>
            <w:tcW w:w="1618" w:type="dxa"/>
            <w:shd w:val="clear" w:color="auto" w:fill="auto"/>
          </w:tcPr>
          <w:p w14:paraId="015337C4" w14:textId="77777777" w:rsidR="00DB4C85" w:rsidRPr="00580A60" w:rsidRDefault="00DB4C85" w:rsidP="00DE3CD4">
            <w:pPr>
              <w:jc w:val="center"/>
              <w:rPr>
                <w:rFonts w:ascii="Arial" w:hAnsi="Arial" w:cs="Arial"/>
                <w:sz w:val="22"/>
                <w:szCs w:val="22"/>
              </w:rPr>
            </w:pPr>
            <w:r w:rsidRPr="00580A60">
              <w:rPr>
                <w:rFonts w:ascii="Arial" w:hAnsi="Arial" w:cs="Arial"/>
                <w:sz w:val="22"/>
                <w:szCs w:val="22"/>
              </w:rPr>
              <w:t xml:space="preserve">1 </w:t>
            </w:r>
            <w:proofErr w:type="spellStart"/>
            <w:r w:rsidRPr="00580A60">
              <w:rPr>
                <w:rFonts w:ascii="Arial" w:hAnsi="Arial" w:cs="Arial"/>
                <w:sz w:val="22"/>
                <w:szCs w:val="22"/>
              </w:rPr>
              <w:t>kompl</w:t>
            </w:r>
            <w:proofErr w:type="spellEnd"/>
            <w:r w:rsidRPr="00580A60">
              <w:rPr>
                <w:rFonts w:ascii="Arial" w:hAnsi="Arial" w:cs="Arial"/>
                <w:sz w:val="22"/>
                <w:szCs w:val="22"/>
              </w:rPr>
              <w:t>.</w:t>
            </w:r>
          </w:p>
          <w:p w14:paraId="6F63EB76" w14:textId="3E1CDF87" w:rsidR="008E2E04" w:rsidRPr="00580A60" w:rsidDel="00980EDB" w:rsidRDefault="008E2E04" w:rsidP="00DE3CD4">
            <w:pPr>
              <w:jc w:val="center"/>
              <w:rPr>
                <w:rFonts w:ascii="Arial" w:hAnsi="Arial" w:cs="Arial"/>
                <w:i/>
                <w:iCs/>
                <w:sz w:val="22"/>
                <w:szCs w:val="22"/>
              </w:rPr>
            </w:pPr>
            <w:r w:rsidRPr="00580A60">
              <w:rPr>
                <w:rFonts w:ascii="Arial" w:hAnsi="Arial" w:cs="Arial"/>
                <w:i/>
                <w:iCs/>
                <w:sz w:val="22"/>
                <w:szCs w:val="22"/>
              </w:rPr>
              <w:t>(</w:t>
            </w:r>
            <w:r w:rsidR="00F1060D" w:rsidRPr="00580A60">
              <w:rPr>
                <w:rFonts w:ascii="Arial" w:hAnsi="Arial" w:cs="Arial"/>
                <w:i/>
                <w:iCs/>
                <w:sz w:val="22"/>
                <w:szCs w:val="22"/>
              </w:rPr>
              <w:t>tikslus</w:t>
            </w:r>
            <w:r w:rsidRPr="00580A60">
              <w:rPr>
                <w:rFonts w:ascii="Arial" w:hAnsi="Arial" w:cs="Arial"/>
                <w:i/>
                <w:iCs/>
                <w:sz w:val="22"/>
                <w:szCs w:val="22"/>
              </w:rPr>
              <w:t xml:space="preserve"> kiekis)</w:t>
            </w:r>
          </w:p>
        </w:tc>
        <w:tc>
          <w:tcPr>
            <w:tcW w:w="1268" w:type="dxa"/>
            <w:shd w:val="clear" w:color="auto" w:fill="auto"/>
          </w:tcPr>
          <w:p w14:paraId="674CF93D" w14:textId="77777777" w:rsidR="00DB4C85" w:rsidRPr="00580A60" w:rsidRDefault="00DB4C85" w:rsidP="00DE3CD4">
            <w:pPr>
              <w:jc w:val="center"/>
              <w:rPr>
                <w:rFonts w:ascii="Segoe UI Symbol" w:eastAsia="MS Gothic" w:hAnsi="Segoe UI Symbol" w:cs="Segoe UI Symbol"/>
                <w:sz w:val="22"/>
                <w:szCs w:val="22"/>
              </w:rPr>
            </w:pPr>
            <w:r w:rsidRPr="00580A60">
              <w:rPr>
                <w:rFonts w:ascii="Segoe UI Symbol" w:eastAsia="MS Gothic" w:hAnsi="Segoe UI Symbol" w:cs="Segoe UI Symbol"/>
                <w:sz w:val="22"/>
                <w:szCs w:val="22"/>
              </w:rPr>
              <w:t>☐</w:t>
            </w:r>
          </w:p>
        </w:tc>
        <w:tc>
          <w:tcPr>
            <w:tcW w:w="1128" w:type="dxa"/>
            <w:shd w:val="clear" w:color="auto" w:fill="auto"/>
          </w:tcPr>
          <w:p w14:paraId="0F027E3E" w14:textId="77777777" w:rsidR="00DB4C85" w:rsidRPr="00580A60" w:rsidRDefault="00DB4C85" w:rsidP="00DE3CD4">
            <w:pPr>
              <w:jc w:val="center"/>
              <w:rPr>
                <w:rFonts w:ascii="Segoe UI Symbol" w:eastAsia="MS Gothic" w:hAnsi="Segoe UI Symbol" w:cs="Segoe UI Symbol"/>
                <w:sz w:val="22"/>
                <w:szCs w:val="22"/>
              </w:rPr>
            </w:pPr>
            <w:r w:rsidRPr="00580A60">
              <w:rPr>
                <w:rFonts w:ascii="Segoe UI Symbol" w:eastAsia="MS Gothic" w:hAnsi="Segoe UI Symbol" w:cs="Segoe UI Symbol"/>
                <w:sz w:val="22"/>
                <w:szCs w:val="22"/>
              </w:rPr>
              <w:t>☒</w:t>
            </w:r>
          </w:p>
        </w:tc>
        <w:tc>
          <w:tcPr>
            <w:tcW w:w="1698" w:type="dxa"/>
            <w:shd w:val="clear" w:color="auto" w:fill="auto"/>
          </w:tcPr>
          <w:p w14:paraId="6DB1C545" w14:textId="324EE29B" w:rsidR="00DB4C85" w:rsidRPr="00580A60" w:rsidRDefault="002C1674" w:rsidP="00DE3CD4">
            <w:pPr>
              <w:jc w:val="center"/>
              <w:rPr>
                <w:rFonts w:ascii="Arial" w:hAnsi="Arial" w:cs="Arial"/>
                <w:sz w:val="22"/>
                <w:szCs w:val="22"/>
              </w:rPr>
            </w:pPr>
            <w:r w:rsidRPr="00580A60">
              <w:rPr>
                <w:rFonts w:ascii="Arial" w:hAnsi="Arial" w:cs="Arial"/>
                <w:sz w:val="22"/>
                <w:szCs w:val="22"/>
              </w:rPr>
              <w:t>3</w:t>
            </w:r>
            <w:r w:rsidR="00DB4C85" w:rsidRPr="00580A60">
              <w:rPr>
                <w:rFonts w:ascii="Arial" w:hAnsi="Arial" w:cs="Arial"/>
                <w:sz w:val="22"/>
                <w:szCs w:val="22"/>
              </w:rPr>
              <w:t xml:space="preserve"> (</w:t>
            </w:r>
            <w:r w:rsidRPr="00580A60">
              <w:rPr>
                <w:rFonts w:ascii="Arial" w:hAnsi="Arial" w:cs="Arial"/>
                <w:sz w:val="22"/>
                <w:szCs w:val="22"/>
              </w:rPr>
              <w:t>trys</w:t>
            </w:r>
            <w:r w:rsidR="00DB4C85" w:rsidRPr="00580A60">
              <w:rPr>
                <w:rFonts w:ascii="Arial" w:hAnsi="Arial" w:cs="Arial"/>
                <w:sz w:val="22"/>
                <w:szCs w:val="22"/>
              </w:rPr>
              <w:t xml:space="preserve">) mėn. </w:t>
            </w:r>
          </w:p>
        </w:tc>
      </w:tr>
    </w:tbl>
    <w:p w14:paraId="5424CF2F" w14:textId="77777777" w:rsidR="00A0347D" w:rsidRPr="009664DF" w:rsidRDefault="00A0347D" w:rsidP="00A0347D">
      <w:pPr>
        <w:spacing w:after="0" w:line="240" w:lineRule="auto"/>
        <w:jc w:val="center"/>
        <w:rPr>
          <w:rFonts w:ascii="Arial" w:hAnsi="Arial" w:cs="Arial"/>
          <w:b/>
          <w:i/>
          <w:color w:val="00B0F0"/>
        </w:rPr>
      </w:pPr>
    </w:p>
    <w:p w14:paraId="43C70FF8" w14:textId="24154630" w:rsidR="004A0C48" w:rsidRPr="005C1D34" w:rsidRDefault="00594F54" w:rsidP="00594F54">
      <w:pPr>
        <w:pStyle w:val="ListParagraph"/>
        <w:tabs>
          <w:tab w:val="left" w:pos="426"/>
        </w:tabs>
        <w:spacing w:after="0" w:line="240" w:lineRule="auto"/>
        <w:ind w:left="0"/>
        <w:jc w:val="both"/>
        <w:rPr>
          <w:rFonts w:ascii="Arial" w:hAnsi="Arial" w:cs="Arial"/>
          <w:color w:val="00B0F0"/>
        </w:rPr>
      </w:pPr>
      <w:r w:rsidRPr="009664DF">
        <w:rPr>
          <w:rFonts w:ascii="Arial" w:hAnsi="Arial" w:cs="Arial"/>
        </w:rPr>
        <w:t>2.</w:t>
      </w:r>
      <w:r w:rsidR="00720F69" w:rsidRPr="009664DF">
        <w:rPr>
          <w:rFonts w:ascii="Arial" w:hAnsi="Arial" w:cs="Arial"/>
        </w:rPr>
        <w:t>5</w:t>
      </w:r>
      <w:r w:rsidRPr="009664DF">
        <w:rPr>
          <w:rFonts w:ascii="Arial" w:hAnsi="Arial" w:cs="Arial"/>
        </w:rPr>
        <w:t xml:space="preserve">. </w:t>
      </w:r>
      <w:r w:rsidR="004A0C48" w:rsidRPr="009664DF">
        <w:rPr>
          <w:rFonts w:ascii="Arial" w:hAnsi="Arial" w:cs="Arial"/>
        </w:rPr>
        <w:t xml:space="preserve">Aukščiau </w:t>
      </w:r>
      <w:r w:rsidR="00A23AAE" w:rsidRPr="009664DF">
        <w:rPr>
          <w:rFonts w:ascii="Arial" w:hAnsi="Arial" w:cs="Arial"/>
        </w:rPr>
        <w:t>esančio</w:t>
      </w:r>
      <w:r w:rsidR="00A23AAE">
        <w:rPr>
          <w:rFonts w:ascii="Arial" w:hAnsi="Arial" w:cs="Arial"/>
        </w:rPr>
        <w:t>s</w:t>
      </w:r>
      <w:r w:rsidR="00A23AAE" w:rsidRPr="00177919">
        <w:rPr>
          <w:rFonts w:ascii="Arial" w:hAnsi="Arial" w:cs="Arial"/>
        </w:rPr>
        <w:t xml:space="preserve"> </w:t>
      </w:r>
      <w:r w:rsidR="00FF33B8">
        <w:rPr>
          <w:rFonts w:ascii="Arial" w:hAnsi="Arial" w:cs="Arial"/>
        </w:rPr>
        <w:t xml:space="preserve">1 </w:t>
      </w:r>
      <w:r w:rsidR="00FF33B8" w:rsidRPr="009664DF">
        <w:rPr>
          <w:rFonts w:ascii="Arial" w:hAnsi="Arial" w:cs="Arial"/>
        </w:rPr>
        <w:t>lentelė</w:t>
      </w:r>
      <w:r w:rsidR="00FF33B8">
        <w:rPr>
          <w:rFonts w:ascii="Arial" w:hAnsi="Arial" w:cs="Arial"/>
        </w:rPr>
        <w:t>s 1 punkte</w:t>
      </w:r>
      <w:r w:rsidR="00FF33B8" w:rsidRPr="00177919">
        <w:rPr>
          <w:rFonts w:ascii="Arial" w:hAnsi="Arial" w:cs="Arial"/>
        </w:rPr>
        <w:t xml:space="preserve"> </w:t>
      </w:r>
      <w:r w:rsidR="00205386" w:rsidRPr="00C5693A">
        <w:rPr>
          <w:rFonts w:ascii="Arial" w:hAnsi="Arial" w:cs="Arial"/>
        </w:rPr>
        <w:t xml:space="preserve">nurodyta </w:t>
      </w:r>
      <w:r w:rsidR="004A0C48" w:rsidRPr="00C5693A">
        <w:rPr>
          <w:rFonts w:ascii="Arial" w:hAnsi="Arial" w:cs="Arial"/>
        </w:rPr>
        <w:t>paslaugų apimtis</w:t>
      </w:r>
      <w:r w:rsidR="00DC776F">
        <w:rPr>
          <w:rFonts w:ascii="Arial" w:hAnsi="Arial" w:cs="Arial"/>
        </w:rPr>
        <w:t xml:space="preserve"> ir (ar) kiekis</w:t>
      </w:r>
      <w:r w:rsidR="00BC7080" w:rsidRPr="009664DF">
        <w:rPr>
          <w:rFonts w:ascii="Arial" w:hAnsi="Arial" w:cs="Arial"/>
        </w:rPr>
        <w:t xml:space="preserve"> </w:t>
      </w:r>
      <w:r w:rsidR="004A0C48" w:rsidRPr="009664DF">
        <w:rPr>
          <w:rFonts w:ascii="Arial" w:hAnsi="Arial" w:cs="Arial"/>
        </w:rPr>
        <w:t xml:space="preserve"> yra preliminar</w:t>
      </w:r>
      <w:r w:rsidR="00B9569E">
        <w:rPr>
          <w:rFonts w:ascii="Arial" w:hAnsi="Arial" w:cs="Arial"/>
        </w:rPr>
        <w:t>i (-</w:t>
      </w:r>
      <w:proofErr w:type="spellStart"/>
      <w:r w:rsidR="00B9569E">
        <w:rPr>
          <w:rFonts w:ascii="Arial" w:hAnsi="Arial" w:cs="Arial"/>
        </w:rPr>
        <w:t>us</w:t>
      </w:r>
      <w:proofErr w:type="spellEnd"/>
      <w:r w:rsidR="00B9569E">
        <w:rPr>
          <w:rFonts w:ascii="Arial" w:hAnsi="Arial" w:cs="Arial"/>
        </w:rPr>
        <w:t>)</w:t>
      </w:r>
      <w:r w:rsidR="00840801">
        <w:rPr>
          <w:rFonts w:ascii="Arial" w:hAnsi="Arial" w:cs="Arial"/>
        </w:rPr>
        <w:t xml:space="preserve"> ir P</w:t>
      </w:r>
      <w:r w:rsidR="004A0C48" w:rsidRPr="005C1D34">
        <w:rPr>
          <w:rFonts w:ascii="Arial" w:hAnsi="Arial" w:cs="Arial"/>
        </w:rPr>
        <w:t>irkėjas neįsipareigoja pirkti būtent tokios paslaugų</w:t>
      </w:r>
      <w:r w:rsidR="00A23AAE" w:rsidRPr="00A23AAE">
        <w:rPr>
          <w:rFonts w:ascii="Arial" w:hAnsi="Arial" w:cs="Arial"/>
        </w:rPr>
        <w:t xml:space="preserve"> </w:t>
      </w:r>
      <w:r w:rsidR="00A23AAE" w:rsidRPr="005C1D34">
        <w:rPr>
          <w:rFonts w:ascii="Arial" w:hAnsi="Arial" w:cs="Arial"/>
        </w:rPr>
        <w:t>apimties</w:t>
      </w:r>
      <w:r w:rsidR="00A23AAE">
        <w:rPr>
          <w:rFonts w:ascii="Arial" w:hAnsi="Arial" w:cs="Arial"/>
        </w:rPr>
        <w:t xml:space="preserve"> ir (ar) kiekio</w:t>
      </w:r>
      <w:r w:rsidR="004A0C48" w:rsidRPr="005C1D34">
        <w:rPr>
          <w:rFonts w:ascii="Arial" w:hAnsi="Arial" w:cs="Arial"/>
        </w:rPr>
        <w:t>.</w:t>
      </w:r>
      <w:r w:rsidR="008B16E9" w:rsidRPr="005C1D34">
        <w:rPr>
          <w:rFonts w:ascii="Arial" w:hAnsi="Arial" w:cs="Arial"/>
        </w:rPr>
        <w:t xml:space="preserve"> 1 lentelės </w:t>
      </w:r>
      <w:r w:rsidR="0034120C" w:rsidRPr="005C1D34">
        <w:rPr>
          <w:rFonts w:ascii="Arial" w:hAnsi="Arial" w:cs="Arial"/>
        </w:rPr>
        <w:t xml:space="preserve">2 ir </w:t>
      </w:r>
      <w:r w:rsidR="008B16E9" w:rsidRPr="005C1D34">
        <w:rPr>
          <w:rFonts w:ascii="Arial" w:hAnsi="Arial" w:cs="Arial"/>
        </w:rPr>
        <w:t>3 punkt</w:t>
      </w:r>
      <w:r w:rsidR="0034120C" w:rsidRPr="005C1D34">
        <w:rPr>
          <w:rFonts w:ascii="Arial" w:hAnsi="Arial" w:cs="Arial"/>
        </w:rPr>
        <w:t>uose</w:t>
      </w:r>
      <w:r w:rsidR="008B16E9" w:rsidRPr="005C1D34">
        <w:rPr>
          <w:rFonts w:ascii="Arial" w:hAnsi="Arial" w:cs="Arial"/>
        </w:rPr>
        <w:t xml:space="preserve"> nurodyta paslaugų apimtis yra tiksli ir vykdant </w:t>
      </w:r>
      <w:r w:rsidR="00840801">
        <w:rPr>
          <w:rFonts w:ascii="Arial" w:hAnsi="Arial" w:cs="Arial"/>
        </w:rPr>
        <w:t>S</w:t>
      </w:r>
      <w:r w:rsidR="008B16E9" w:rsidRPr="005C1D34">
        <w:rPr>
          <w:rFonts w:ascii="Arial" w:hAnsi="Arial" w:cs="Arial"/>
        </w:rPr>
        <w:t xml:space="preserve">utartį </w:t>
      </w:r>
      <w:r w:rsidR="008B16E9" w:rsidRPr="005C1D34">
        <w:rPr>
          <w:rFonts w:ascii="Arial" w:hAnsi="Arial" w:cs="Arial"/>
        </w:rPr>
        <w:t>nesikeis.</w:t>
      </w:r>
      <w:r w:rsidR="004A0C48" w:rsidRPr="005C1D34">
        <w:rPr>
          <w:rFonts w:ascii="Arial" w:hAnsi="Arial" w:cs="Arial"/>
        </w:rPr>
        <w:t xml:space="preserve"> </w:t>
      </w:r>
    </w:p>
    <w:p w14:paraId="44851F04" w14:textId="6952BDB9" w:rsidR="007B5B1C" w:rsidRPr="005C1D34" w:rsidRDefault="00594F54" w:rsidP="002407BB">
      <w:pPr>
        <w:tabs>
          <w:tab w:val="left" w:pos="567"/>
        </w:tabs>
        <w:spacing w:after="0" w:line="240" w:lineRule="auto"/>
        <w:jc w:val="both"/>
        <w:rPr>
          <w:rFonts w:ascii="Arial" w:hAnsi="Arial" w:cs="Arial"/>
        </w:rPr>
      </w:pPr>
      <w:r w:rsidRPr="005C1D34">
        <w:rPr>
          <w:rFonts w:ascii="Arial" w:hAnsi="Arial" w:cs="Arial"/>
        </w:rPr>
        <w:t>2.</w:t>
      </w:r>
      <w:r w:rsidR="00720F69" w:rsidRPr="005C1D34">
        <w:rPr>
          <w:rFonts w:ascii="Arial" w:hAnsi="Arial" w:cs="Arial"/>
        </w:rPr>
        <w:t>5</w:t>
      </w:r>
      <w:r w:rsidRPr="005C1D34">
        <w:rPr>
          <w:rFonts w:ascii="Arial" w:hAnsi="Arial" w:cs="Arial"/>
        </w:rPr>
        <w:t xml:space="preserve">.1. </w:t>
      </w:r>
      <w:r w:rsidR="009071A6">
        <w:rPr>
          <w:rFonts w:ascii="Arial" w:hAnsi="Arial" w:cs="Arial"/>
        </w:rPr>
        <w:t>Pradinės Sutarties</w:t>
      </w:r>
      <w:r w:rsidR="004A0C48" w:rsidRPr="005C1D34">
        <w:rPr>
          <w:rFonts w:ascii="Arial" w:hAnsi="Arial" w:cs="Arial"/>
        </w:rPr>
        <w:t xml:space="preserve"> vertė (suma, kuriai sudaroma </w:t>
      </w:r>
      <w:r w:rsidR="00592771">
        <w:rPr>
          <w:rFonts w:ascii="Arial" w:hAnsi="Arial" w:cs="Arial"/>
        </w:rPr>
        <w:t>S</w:t>
      </w:r>
      <w:r w:rsidR="00592771" w:rsidRPr="005C1D34">
        <w:rPr>
          <w:rFonts w:ascii="Arial" w:hAnsi="Arial" w:cs="Arial"/>
        </w:rPr>
        <w:t>utartis</w:t>
      </w:r>
      <w:r w:rsidR="004A0C48" w:rsidRPr="005C1D34">
        <w:rPr>
          <w:rFonts w:ascii="Arial" w:hAnsi="Arial" w:cs="Arial"/>
        </w:rPr>
        <w:t xml:space="preserve">) </w:t>
      </w:r>
      <w:r w:rsidR="00A4647A" w:rsidRPr="005C1D34">
        <w:rPr>
          <w:rFonts w:ascii="Arial" w:hAnsi="Arial" w:cs="Arial"/>
        </w:rPr>
        <w:t>–</w:t>
      </w:r>
      <w:r w:rsidR="004A0C48" w:rsidRPr="005C1D34">
        <w:rPr>
          <w:rFonts w:ascii="Arial" w:hAnsi="Arial" w:cs="Arial"/>
        </w:rPr>
        <w:t xml:space="preserve"> </w:t>
      </w:r>
      <w:r w:rsidR="008A3FCB" w:rsidRPr="005C1D34">
        <w:rPr>
          <w:rFonts w:ascii="Arial" w:hAnsi="Arial" w:cs="Arial"/>
        </w:rPr>
        <w:t>110</w:t>
      </w:r>
      <w:r w:rsidR="00D0073E" w:rsidRPr="005C1D34">
        <w:rPr>
          <w:rFonts w:ascii="Arial" w:hAnsi="Arial" w:cs="Arial"/>
        </w:rPr>
        <w:t> </w:t>
      </w:r>
      <w:r w:rsidR="008A3FCB" w:rsidRPr="005C1D34">
        <w:rPr>
          <w:rFonts w:ascii="Arial" w:hAnsi="Arial" w:cs="Arial"/>
        </w:rPr>
        <w:t>000</w:t>
      </w:r>
      <w:r w:rsidR="00D0073E" w:rsidRPr="005C1D34">
        <w:rPr>
          <w:rFonts w:ascii="Arial" w:hAnsi="Arial" w:cs="Arial"/>
        </w:rPr>
        <w:t xml:space="preserve">,00 (vienas šimtas dešimt tūkstančių </w:t>
      </w:r>
      <w:r w:rsidR="004A0C48" w:rsidRPr="005C1D34">
        <w:rPr>
          <w:rFonts w:ascii="Arial" w:hAnsi="Arial" w:cs="Arial"/>
        </w:rPr>
        <w:t xml:space="preserve">eurų </w:t>
      </w:r>
      <w:r w:rsidR="00592771">
        <w:rPr>
          <w:rFonts w:ascii="Arial" w:hAnsi="Arial" w:cs="Arial"/>
        </w:rPr>
        <w:t xml:space="preserve">ir </w:t>
      </w:r>
      <w:r w:rsidR="004A0C48" w:rsidRPr="005C1D34">
        <w:rPr>
          <w:rFonts w:ascii="Arial" w:hAnsi="Arial" w:cs="Arial"/>
        </w:rPr>
        <w:t>00 ct</w:t>
      </w:r>
      <w:r w:rsidR="00D0073E" w:rsidRPr="005C1D34">
        <w:rPr>
          <w:rFonts w:ascii="Arial" w:hAnsi="Arial" w:cs="Arial"/>
        </w:rPr>
        <w:t>)</w:t>
      </w:r>
      <w:r w:rsidR="005D7860" w:rsidRPr="005C1D34">
        <w:rPr>
          <w:rFonts w:ascii="Arial" w:hAnsi="Arial" w:cs="Arial"/>
        </w:rPr>
        <w:t xml:space="preserve"> </w:t>
      </w:r>
      <w:r w:rsidR="00D0073E" w:rsidRPr="005C1D34">
        <w:rPr>
          <w:rFonts w:ascii="Arial" w:hAnsi="Arial" w:cs="Arial"/>
        </w:rPr>
        <w:t xml:space="preserve">EUR </w:t>
      </w:r>
      <w:r w:rsidR="004A0C48" w:rsidRPr="005C1D34">
        <w:rPr>
          <w:rFonts w:ascii="Arial" w:hAnsi="Arial" w:cs="Arial"/>
        </w:rPr>
        <w:t>be PVM Sutarties galiojimo terminui</w:t>
      </w:r>
      <w:r w:rsidR="0043073D" w:rsidRPr="005C1D34">
        <w:rPr>
          <w:rFonts w:ascii="Arial" w:hAnsi="Arial" w:cs="Arial"/>
        </w:rPr>
        <w:t>.</w:t>
      </w:r>
    </w:p>
    <w:p w14:paraId="2C6A8AEB" w14:textId="0ABB458F" w:rsidR="00A4647A" w:rsidRPr="005C1D34" w:rsidRDefault="00A01C6F" w:rsidP="008660BC">
      <w:pPr>
        <w:spacing w:after="0" w:line="240" w:lineRule="auto"/>
        <w:jc w:val="both"/>
        <w:rPr>
          <w:rFonts w:ascii="Arial" w:hAnsi="Arial" w:cs="Arial"/>
        </w:rPr>
      </w:pPr>
      <w:r w:rsidRPr="005C1D34">
        <w:rPr>
          <w:rFonts w:ascii="Arial" w:hAnsi="Arial" w:cs="Arial"/>
        </w:rPr>
        <w:t>2.</w:t>
      </w:r>
      <w:r w:rsidR="00720F69" w:rsidRPr="005C1D34">
        <w:rPr>
          <w:rFonts w:ascii="Arial" w:hAnsi="Arial" w:cs="Arial"/>
        </w:rPr>
        <w:t>6</w:t>
      </w:r>
      <w:r w:rsidRPr="005C1D34">
        <w:rPr>
          <w:rFonts w:ascii="Arial" w:hAnsi="Arial" w:cs="Arial"/>
        </w:rPr>
        <w:t xml:space="preserve">. </w:t>
      </w:r>
      <w:r w:rsidR="004A0C48" w:rsidRPr="005C1D34">
        <w:rPr>
          <w:rFonts w:ascii="Arial" w:hAnsi="Arial" w:cs="Arial"/>
        </w:rPr>
        <w:t>Užsakymų teikimo tvarka</w:t>
      </w:r>
      <w:r w:rsidR="00285F0C" w:rsidRPr="005C1D34">
        <w:rPr>
          <w:rFonts w:ascii="Arial" w:hAnsi="Arial" w:cs="Arial"/>
        </w:rPr>
        <w:t>:</w:t>
      </w:r>
    </w:p>
    <w:p w14:paraId="75D2F2BF" w14:textId="40FCB76D" w:rsidR="002F3398" w:rsidRPr="005C1D34" w:rsidRDefault="00A01C6F" w:rsidP="002F3398">
      <w:pPr>
        <w:spacing w:after="0" w:line="240" w:lineRule="auto"/>
        <w:jc w:val="both"/>
        <w:rPr>
          <w:rFonts w:ascii="Arial" w:hAnsi="Arial" w:cs="Arial"/>
        </w:rPr>
      </w:pPr>
      <w:r w:rsidRPr="005C1D34">
        <w:rPr>
          <w:rFonts w:ascii="Arial" w:hAnsi="Arial" w:cs="Arial"/>
        </w:rPr>
        <w:t>2.</w:t>
      </w:r>
      <w:r w:rsidR="00720F69" w:rsidRPr="005C1D34">
        <w:rPr>
          <w:rFonts w:ascii="Arial" w:hAnsi="Arial" w:cs="Arial"/>
        </w:rPr>
        <w:t>6</w:t>
      </w:r>
      <w:r w:rsidRPr="005C1D34">
        <w:rPr>
          <w:rFonts w:ascii="Arial" w:hAnsi="Arial" w:cs="Arial"/>
        </w:rPr>
        <w:t xml:space="preserve">.1. </w:t>
      </w:r>
      <w:r w:rsidR="00E30CF3" w:rsidRPr="005C1D34">
        <w:rPr>
          <w:rFonts w:ascii="Arial" w:hAnsi="Arial" w:cs="Arial"/>
        </w:rPr>
        <w:t xml:space="preserve">Sutarties galiojimo laikotarpiu </w:t>
      </w:r>
      <w:r w:rsidR="00777992" w:rsidRPr="005C1D34">
        <w:rPr>
          <w:rFonts w:ascii="Arial" w:hAnsi="Arial" w:cs="Arial"/>
        </w:rPr>
        <w:t xml:space="preserve">1 lentelės 1 punkte nurodytų </w:t>
      </w:r>
      <w:r w:rsidR="00E30CF3" w:rsidRPr="005C1D34">
        <w:rPr>
          <w:rFonts w:ascii="Arial" w:hAnsi="Arial" w:cs="Arial"/>
        </w:rPr>
        <w:t>paslaugų suteikimui teikiami užsakymai pagal Pirkėjo poreikį.</w:t>
      </w:r>
      <w:r w:rsidR="002F3398" w:rsidRPr="005C1D34">
        <w:rPr>
          <w:rFonts w:ascii="Arial" w:hAnsi="Arial" w:cs="Arial"/>
        </w:rPr>
        <w:t xml:space="preserve"> </w:t>
      </w:r>
    </w:p>
    <w:p w14:paraId="6A9DFA4A" w14:textId="77777777" w:rsidR="004A0C48" w:rsidRPr="005C1D34" w:rsidRDefault="004A0C48" w:rsidP="004A0C48">
      <w:pPr>
        <w:tabs>
          <w:tab w:val="left" w:pos="709"/>
        </w:tabs>
        <w:spacing w:after="0" w:line="240" w:lineRule="auto"/>
        <w:ind w:firstLine="851"/>
        <w:contextualSpacing/>
        <w:rPr>
          <w:rFonts w:ascii="Arial" w:eastAsia="Calibri" w:hAnsi="Arial" w:cs="Arial"/>
          <w:b/>
        </w:rPr>
      </w:pPr>
    </w:p>
    <w:p w14:paraId="63C1A391" w14:textId="44C80A33" w:rsidR="004A0C48" w:rsidRPr="005C1D34"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5C1D34">
        <w:rPr>
          <w:rFonts w:ascii="Arial" w:eastAsia="Calibri" w:hAnsi="Arial" w:cs="Arial"/>
          <w:b/>
        </w:rPr>
        <w:t>REIKALAVIMAI PASLAUGOMS</w:t>
      </w:r>
      <w:r w:rsidR="00482CF9" w:rsidRPr="005C1D34">
        <w:rPr>
          <w:rFonts w:ascii="Arial" w:eastAsia="Calibri" w:hAnsi="Arial" w:cs="Arial"/>
          <w:b/>
        </w:rPr>
        <w:t xml:space="preserve"> </w:t>
      </w:r>
    </w:p>
    <w:p w14:paraId="27F86062" w14:textId="434C69E5" w:rsidR="008660BC" w:rsidRDefault="002D5BBD" w:rsidP="002D5BBD">
      <w:pPr>
        <w:spacing w:after="0" w:line="240" w:lineRule="auto"/>
        <w:jc w:val="both"/>
        <w:rPr>
          <w:rFonts w:ascii="Arial" w:eastAsia="Calibri" w:hAnsi="Arial" w:cs="Arial"/>
        </w:rPr>
      </w:pPr>
      <w:r w:rsidRPr="005C1D34">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5C1D34">
        <w:rPr>
          <w:rStyle w:val="FootnoteReference"/>
          <w:rFonts w:ascii="Arial" w:eastAsia="Calibri" w:hAnsi="Arial" w:cs="Arial"/>
        </w:rPr>
        <w:footnoteReference w:id="1"/>
      </w:r>
    </w:p>
    <w:p w14:paraId="66520B5C" w14:textId="0BAC31BC" w:rsidR="000E4430" w:rsidRDefault="000E4430" w:rsidP="002D5BBD">
      <w:pPr>
        <w:spacing w:after="0" w:line="240" w:lineRule="auto"/>
        <w:jc w:val="both"/>
        <w:rPr>
          <w:rStyle w:val="eop"/>
          <w:rFonts w:ascii="Arial" w:hAnsi="Arial" w:cs="Arial"/>
          <w:color w:val="000000"/>
          <w:shd w:val="clear" w:color="auto" w:fill="FFFFFF"/>
        </w:rPr>
      </w:pPr>
      <w:r>
        <w:rPr>
          <w:rStyle w:val="normaltextrun"/>
          <w:rFonts w:ascii="Arial" w:hAnsi="Arial" w:cs="Arial"/>
          <w:color w:val="000000"/>
          <w:shd w:val="clear" w:color="auto" w:fill="FFFFFF"/>
        </w:rPr>
        <w:lastRenderedPageBreak/>
        <w:t>Lygiavertiškumo įrodymas yra Tiekėjo pareiga, o lygiavertiškumo dokumentai privalo būti pateikti kartu su pateikiamu pasiūlymu.</w:t>
      </w:r>
      <w:r>
        <w:rPr>
          <w:rStyle w:val="eop"/>
          <w:rFonts w:ascii="Arial" w:hAnsi="Arial" w:cs="Arial"/>
          <w:color w:val="000000"/>
          <w:shd w:val="clear" w:color="auto" w:fill="FFFFFF"/>
        </w:rPr>
        <w:t> </w:t>
      </w:r>
    </w:p>
    <w:p w14:paraId="4E49060F" w14:textId="5628D282" w:rsidR="00CE426C" w:rsidRPr="005C1D34" w:rsidRDefault="00CE426C" w:rsidP="002D5BBD">
      <w:pPr>
        <w:spacing w:after="0" w:line="240" w:lineRule="auto"/>
        <w:jc w:val="both"/>
        <w:rPr>
          <w:rFonts w:ascii="Arial" w:eastAsia="Calibri" w:hAnsi="Arial" w:cs="Arial"/>
        </w:rPr>
      </w:pPr>
      <w:r>
        <w:rPr>
          <w:rStyle w:val="normaltextrun"/>
          <w:rFonts w:ascii="Arial" w:hAnsi="Arial" w:cs="Arial"/>
          <w:color w:val="000000"/>
          <w:shd w:val="clear" w:color="auto" w:fill="FFFFFF"/>
        </w:rPr>
        <w:t>3.2. Visos paslaugos teikiamos ir rengiami tiekėjo dokumentai turi būti lietuvių kalba (ne žemesniu kaip B1 lygiu pagal </w:t>
      </w:r>
      <w:proofErr w:type="spellStart"/>
      <w:r>
        <w:rPr>
          <w:rStyle w:val="normaltextrun"/>
          <w:rFonts w:ascii="Arial" w:hAnsi="Arial" w:cs="Arial"/>
          <w:color w:val="000000"/>
          <w:shd w:val="clear" w:color="auto" w:fill="FFFFFF"/>
        </w:rPr>
        <w:t>Europass</w:t>
      </w:r>
      <w:proofErr w:type="spellEnd"/>
      <w:r>
        <w:rPr>
          <w:rStyle w:val="normaltextrun"/>
          <w:rFonts w:ascii="Arial" w:hAnsi="Arial" w:cs="Arial"/>
          <w:color w:val="000000"/>
          <w:shd w:val="clear" w:color="auto" w:fill="FFFFFF"/>
        </w:rPr>
        <w:t> kalbų pasą).</w:t>
      </w:r>
      <w:r>
        <w:rPr>
          <w:rStyle w:val="normaltextrun"/>
          <w:rFonts w:ascii="Calibri" w:hAnsi="Calibri" w:cs="Calibri"/>
          <w:color w:val="000000"/>
          <w:shd w:val="clear" w:color="auto" w:fill="FFFFFF"/>
        </w:rPr>
        <w:t> </w:t>
      </w:r>
      <w:r>
        <w:rPr>
          <w:rStyle w:val="normaltextrun"/>
          <w:rFonts w:ascii="Arial" w:hAnsi="Arial" w:cs="Arial"/>
          <w:color w:val="000000"/>
          <w:shd w:val="clear" w:color="auto" w:fill="FFFFFF"/>
        </w:rPr>
        <w:t>Reikalavimas gali būti tenkinamas numatant vertimo žodžiu ir raštu paslaugas. Vertimo paslaugų išlaidos turi būti įskaičiuotos į bendrą pasiūlymo kainą.   </w:t>
      </w:r>
    </w:p>
    <w:p w14:paraId="349B4617" w14:textId="77777777" w:rsidR="008660BC" w:rsidRPr="005C1D34" w:rsidRDefault="008660BC" w:rsidP="002D5BBD">
      <w:pPr>
        <w:spacing w:after="0" w:line="240" w:lineRule="auto"/>
        <w:jc w:val="both"/>
        <w:rPr>
          <w:rFonts w:ascii="Arial" w:eastAsia="Calibri" w:hAnsi="Arial" w:cs="Arial"/>
        </w:rPr>
      </w:pPr>
    </w:p>
    <w:p w14:paraId="18405614" w14:textId="3637F445" w:rsidR="00F63A4D" w:rsidRPr="005C1D34" w:rsidRDefault="00565825" w:rsidP="008660BC">
      <w:pPr>
        <w:spacing w:after="0"/>
        <w:jc w:val="right"/>
        <w:rPr>
          <w:rFonts w:ascii="Arial" w:hAnsi="Arial" w:cs="Arial"/>
          <w:b/>
          <w:snapToGrid w:val="0"/>
        </w:rPr>
      </w:pPr>
      <w:r w:rsidRPr="005C1D34">
        <w:rPr>
          <w:rFonts w:ascii="Arial" w:hAnsi="Arial" w:cs="Arial"/>
          <w:b/>
        </w:rPr>
        <w:t>2 lentelė</w:t>
      </w:r>
      <w:r w:rsidRPr="005C1D34">
        <w:rPr>
          <w:rFonts w:ascii="Arial" w:hAnsi="Arial" w:cs="Arial"/>
          <w:b/>
          <w:snapToGrid w:val="0"/>
        </w:rPr>
        <w:t>.</w:t>
      </w:r>
    </w:p>
    <w:tbl>
      <w:tblPr>
        <w:tblW w:w="0" w:type="auto"/>
        <w:tblCellMar>
          <w:top w:w="15" w:type="dxa"/>
          <w:left w:w="15" w:type="dxa"/>
          <w:bottom w:w="15" w:type="dxa"/>
          <w:right w:w="15" w:type="dxa"/>
        </w:tblCellMar>
        <w:tblLook w:val="04A0" w:firstRow="1" w:lastRow="0" w:firstColumn="1" w:lastColumn="0" w:noHBand="0" w:noVBand="1"/>
      </w:tblPr>
      <w:tblGrid>
        <w:gridCol w:w="561"/>
        <w:gridCol w:w="9067"/>
      </w:tblGrid>
      <w:tr w:rsidR="00EE29B1" w:rsidRPr="005C1D34" w14:paraId="444BC8B9" w14:textId="77777777" w:rsidTr="008660BC">
        <w:trPr>
          <w:trHeight w:val="52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5C1D34" w:rsidRDefault="006B726E" w:rsidP="008660BC">
            <w:pPr>
              <w:spacing w:after="0"/>
              <w:jc w:val="center"/>
              <w:rPr>
                <w:rFonts w:ascii="Arial" w:hAnsi="Arial" w:cs="Arial"/>
                <w:b/>
                <w:color w:val="000000"/>
              </w:rPr>
            </w:pPr>
            <w:r w:rsidRPr="005C1D34">
              <w:rPr>
                <w:rFonts w:ascii="Arial" w:hAnsi="Arial" w:cs="Arial"/>
                <w:b/>
                <w:color w:val="000000"/>
              </w:rPr>
              <w:t>Eil.</w:t>
            </w:r>
          </w:p>
          <w:p w14:paraId="226149CF" w14:textId="77777777" w:rsidR="006B726E" w:rsidRPr="005C1D34" w:rsidRDefault="006B726E" w:rsidP="008660BC">
            <w:pPr>
              <w:spacing w:after="0"/>
              <w:jc w:val="center"/>
              <w:rPr>
                <w:rFonts w:ascii="Arial" w:hAnsi="Arial" w:cs="Arial"/>
                <w:b/>
                <w:color w:val="000000"/>
              </w:rPr>
            </w:pPr>
            <w:r w:rsidRPr="005C1D34">
              <w:rPr>
                <w:rFonts w:ascii="Arial" w:hAnsi="Arial" w:cs="Arial"/>
                <w:b/>
                <w:color w:val="000000"/>
              </w:rPr>
              <w:t>Nr.</w:t>
            </w:r>
          </w:p>
        </w:tc>
        <w:tc>
          <w:tcPr>
            <w:tcW w:w="9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5C1D34" w:rsidRDefault="006B726E" w:rsidP="008660BC">
            <w:pPr>
              <w:spacing w:after="0"/>
              <w:jc w:val="center"/>
              <w:rPr>
                <w:rFonts w:ascii="Arial" w:hAnsi="Arial" w:cs="Arial"/>
                <w:b/>
                <w:color w:val="000000"/>
              </w:rPr>
            </w:pPr>
            <w:r w:rsidRPr="005C1D34">
              <w:rPr>
                <w:rFonts w:ascii="Arial" w:hAnsi="Arial" w:cs="Arial"/>
                <w:b/>
                <w:color w:val="000000"/>
              </w:rPr>
              <w:t>Aprašymas ir reikalavimai</w:t>
            </w:r>
          </w:p>
        </w:tc>
      </w:tr>
      <w:tr w:rsidR="00A077F3" w:rsidRPr="005C1D34" w14:paraId="6BFBFFD0" w14:textId="77777777" w:rsidTr="008660BC">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7A7D0A5" w14:textId="2A2B0884" w:rsidR="00A077F3" w:rsidRPr="005C1D34" w:rsidRDefault="002332B4" w:rsidP="00A904B7">
            <w:pPr>
              <w:spacing w:after="0" w:line="240" w:lineRule="auto"/>
              <w:rPr>
                <w:rFonts w:ascii="Arial" w:eastAsia="Times New Roman" w:hAnsi="Arial" w:cs="Arial"/>
                <w:color w:val="FF0000"/>
                <w:lang w:eastAsia="lt-LT"/>
              </w:rPr>
            </w:pPr>
            <w:r w:rsidRPr="005C1D34">
              <w:rPr>
                <w:rFonts w:ascii="Arial" w:eastAsia="Times New Roman" w:hAnsi="Arial" w:cs="Arial"/>
                <w:i/>
                <w:iCs/>
                <w:lang w:eastAsia="lt-LT"/>
              </w:rPr>
              <w:t>Reikalavimai paslaugoms pateikiami pridedam</w:t>
            </w:r>
            <w:r w:rsidR="002407BB" w:rsidRPr="005C1D34">
              <w:rPr>
                <w:rFonts w:ascii="Arial" w:eastAsia="Times New Roman" w:hAnsi="Arial" w:cs="Arial"/>
                <w:i/>
                <w:iCs/>
                <w:lang w:eastAsia="lt-LT"/>
              </w:rPr>
              <w:t>ame</w:t>
            </w:r>
            <w:r w:rsidRPr="005C1D34">
              <w:rPr>
                <w:rFonts w:ascii="Arial" w:eastAsia="Times New Roman" w:hAnsi="Arial" w:cs="Arial"/>
                <w:i/>
                <w:iCs/>
                <w:lang w:eastAsia="lt-LT"/>
              </w:rPr>
              <w:t xml:space="preserve"> techninės specifikacijos priede Nr. 1.</w:t>
            </w:r>
          </w:p>
        </w:tc>
      </w:tr>
    </w:tbl>
    <w:p w14:paraId="559407CB" w14:textId="77777777" w:rsidR="00F63A4D" w:rsidRPr="005C1D34" w:rsidRDefault="00F63A4D" w:rsidP="008660BC">
      <w:pPr>
        <w:jc w:val="center"/>
        <w:rPr>
          <w:rFonts w:ascii="Arial" w:hAnsi="Arial" w:cs="Arial"/>
          <w:b/>
          <w:snapToGrid w:val="0"/>
        </w:rPr>
      </w:pPr>
    </w:p>
    <w:p w14:paraId="5037E2C6" w14:textId="77777777" w:rsidR="00134EB3" w:rsidRPr="005C1D34"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5C1D34">
        <w:rPr>
          <w:rFonts w:ascii="Arial" w:eastAsia="Calibri" w:hAnsi="Arial" w:cs="Arial"/>
          <w:b/>
        </w:rPr>
        <w:t>APLINKOSAUGINIAI</w:t>
      </w:r>
      <w:r w:rsidR="00134EB3" w:rsidRPr="005C1D34">
        <w:rPr>
          <w:rFonts w:ascii="Arial" w:eastAsia="Calibri" w:hAnsi="Arial" w:cs="Arial"/>
          <w:b/>
        </w:rPr>
        <w:t xml:space="preserve"> REIKALAVIMAI</w:t>
      </w:r>
    </w:p>
    <w:p w14:paraId="56C7E688" w14:textId="77777777" w:rsidR="000A5B66" w:rsidRPr="005C1D34" w:rsidRDefault="000A5B66" w:rsidP="000A5B66">
      <w:pPr>
        <w:jc w:val="both"/>
        <w:rPr>
          <w:rFonts w:ascii="Arial" w:hAnsi="Arial" w:cs="Arial"/>
        </w:rPr>
      </w:pPr>
      <w:r w:rsidRPr="005C1D34">
        <w:rPr>
          <w:rFonts w:ascii="Arial" w:hAnsi="Arial" w:cs="Arial"/>
        </w:rPr>
        <w:t xml:space="preserve">4.1. Pirkimui yra taikomi Aplinkos apsaugos kriterijai, vadovaujantis </w:t>
      </w:r>
      <w:hyperlink r:id="rId12" w:tgtFrame="_blank" w:history="1">
        <w:r w:rsidRPr="005C1D34">
          <w:rPr>
            <w:rStyle w:val="Hyperlink"/>
            <w:rFonts w:ascii="Arial" w:hAnsi="Arial" w:cs="Arial"/>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1D34">
        <w:rPr>
          <w:rFonts w:ascii="Arial" w:hAnsi="Arial" w:cs="Arial"/>
        </w:rPr>
        <w:t xml:space="preserve">“ patvirtinto </w:t>
      </w:r>
      <w:hyperlink r:id="rId13" w:tgtFrame="_blank" w:history="1">
        <w:r w:rsidRPr="005C1D34">
          <w:rPr>
            <w:rStyle w:val="Hyperlink"/>
            <w:rFonts w:ascii="Arial" w:hAnsi="Arial" w:cs="Arial"/>
          </w:rPr>
          <w:t>Aplinkos apsaugos kriterijų taikymo, vykdant žaliuosius pirkimus, tvarkos aprašo</w:t>
        </w:r>
      </w:hyperlink>
      <w:r w:rsidRPr="005C1D34">
        <w:rPr>
          <w:rFonts w:ascii="Arial" w:hAnsi="Arial" w:cs="Arial"/>
        </w:rPr>
        <w:t xml:space="preserve"> (toliau – Aprašas) II skyriaus 4.4.3 papunkčiu.</w:t>
      </w:r>
    </w:p>
    <w:p w14:paraId="4DE3CFFD" w14:textId="77777777" w:rsidR="000A5B66" w:rsidRPr="005C1D34" w:rsidRDefault="000A5B66" w:rsidP="000A5B66">
      <w:pPr>
        <w:jc w:val="right"/>
        <w:rPr>
          <w:rFonts w:ascii="Arial" w:hAnsi="Arial" w:cs="Arial"/>
          <w:b/>
        </w:rPr>
      </w:pPr>
      <w:r w:rsidRPr="005C1D34">
        <w:rPr>
          <w:rFonts w:ascii="Arial" w:hAnsi="Arial" w:cs="Arial"/>
          <w:b/>
        </w:rPr>
        <w:t>3 lentelė.</w:t>
      </w:r>
    </w:p>
    <w:tbl>
      <w:tblPr>
        <w:tblStyle w:val="TableGrid"/>
        <w:tblW w:w="5000" w:type="pct"/>
        <w:tblLook w:val="04A0" w:firstRow="1" w:lastRow="0" w:firstColumn="1" w:lastColumn="0" w:noHBand="0" w:noVBand="1"/>
      </w:tblPr>
      <w:tblGrid>
        <w:gridCol w:w="562"/>
        <w:gridCol w:w="5856"/>
        <w:gridCol w:w="3210"/>
      </w:tblGrid>
      <w:tr w:rsidR="000A5B66" w:rsidRPr="005C1D34" w14:paraId="612FAB57" w14:textId="77777777" w:rsidTr="00194B94">
        <w:tc>
          <w:tcPr>
            <w:tcW w:w="292" w:type="pct"/>
          </w:tcPr>
          <w:p w14:paraId="37AEFBEC" w14:textId="77777777" w:rsidR="000A5B66" w:rsidRPr="005C1D34" w:rsidRDefault="000A5B66" w:rsidP="00194B94">
            <w:pPr>
              <w:spacing w:after="160" w:line="259" w:lineRule="auto"/>
              <w:jc w:val="both"/>
              <w:rPr>
                <w:rFonts w:ascii="Arial" w:eastAsiaTheme="minorHAnsi" w:hAnsi="Arial" w:cs="Arial"/>
                <w:b/>
                <w:bCs/>
                <w:iCs/>
                <w:sz w:val="22"/>
                <w:szCs w:val="22"/>
              </w:rPr>
            </w:pPr>
            <w:r w:rsidRPr="005C1D34">
              <w:rPr>
                <w:rFonts w:ascii="Arial" w:eastAsiaTheme="minorHAnsi" w:hAnsi="Arial" w:cs="Arial"/>
                <w:b/>
                <w:bCs/>
                <w:iCs/>
                <w:sz w:val="22"/>
                <w:szCs w:val="22"/>
              </w:rPr>
              <w:t>Eil. Nr.</w:t>
            </w:r>
          </w:p>
        </w:tc>
        <w:tc>
          <w:tcPr>
            <w:tcW w:w="3041" w:type="pct"/>
          </w:tcPr>
          <w:p w14:paraId="4F034C7F" w14:textId="77777777" w:rsidR="000A5B66" w:rsidRPr="005C1D34" w:rsidRDefault="000A5B66" w:rsidP="00194B94">
            <w:pPr>
              <w:spacing w:after="160" w:line="259" w:lineRule="auto"/>
              <w:jc w:val="both"/>
              <w:rPr>
                <w:rFonts w:ascii="Arial" w:eastAsiaTheme="minorHAnsi" w:hAnsi="Arial" w:cs="Arial"/>
                <w:b/>
                <w:bCs/>
                <w:iCs/>
                <w:sz w:val="22"/>
                <w:szCs w:val="22"/>
              </w:rPr>
            </w:pPr>
            <w:r w:rsidRPr="005C1D34">
              <w:rPr>
                <w:rFonts w:ascii="Arial" w:eastAsiaTheme="minorHAnsi" w:hAnsi="Arial" w:cs="Arial"/>
                <w:b/>
                <w:bCs/>
                <w:iCs/>
                <w:sz w:val="22"/>
                <w:szCs w:val="22"/>
              </w:rPr>
              <w:t>Reikalavimas</w:t>
            </w:r>
          </w:p>
        </w:tc>
        <w:tc>
          <w:tcPr>
            <w:tcW w:w="1667" w:type="pct"/>
          </w:tcPr>
          <w:p w14:paraId="4C9A9414" w14:textId="77777777" w:rsidR="000A5B66" w:rsidRPr="005C1D34" w:rsidRDefault="000A5B66" w:rsidP="00194B94">
            <w:pPr>
              <w:spacing w:after="160" w:line="259" w:lineRule="auto"/>
              <w:jc w:val="both"/>
              <w:rPr>
                <w:rFonts w:ascii="Arial" w:eastAsiaTheme="minorHAnsi" w:hAnsi="Arial" w:cs="Arial"/>
                <w:b/>
                <w:bCs/>
                <w:iCs/>
                <w:sz w:val="22"/>
                <w:szCs w:val="22"/>
              </w:rPr>
            </w:pPr>
            <w:r w:rsidRPr="005C1D34">
              <w:rPr>
                <w:rFonts w:ascii="Arial" w:eastAsiaTheme="minorHAnsi" w:hAnsi="Arial" w:cs="Arial"/>
                <w:b/>
                <w:bCs/>
                <w:iCs/>
                <w:sz w:val="22"/>
                <w:szCs w:val="22"/>
              </w:rPr>
              <w:t>Atitiktį įrodantys dokumentai</w:t>
            </w:r>
          </w:p>
        </w:tc>
      </w:tr>
      <w:tr w:rsidR="000A5B66" w:rsidRPr="005C1D34" w14:paraId="1B564D1E" w14:textId="77777777" w:rsidTr="00194B94">
        <w:tc>
          <w:tcPr>
            <w:tcW w:w="292" w:type="pct"/>
          </w:tcPr>
          <w:p w14:paraId="7CCD0DE8" w14:textId="77777777" w:rsidR="000A5B66" w:rsidRPr="005C1D34" w:rsidRDefault="000A5B66" w:rsidP="00194B94">
            <w:pPr>
              <w:spacing w:after="160" w:line="259" w:lineRule="auto"/>
              <w:jc w:val="both"/>
              <w:rPr>
                <w:rFonts w:ascii="Arial" w:eastAsiaTheme="minorHAnsi" w:hAnsi="Arial" w:cs="Arial"/>
                <w:iCs/>
                <w:sz w:val="22"/>
                <w:szCs w:val="22"/>
              </w:rPr>
            </w:pPr>
            <w:r w:rsidRPr="005C1D34">
              <w:rPr>
                <w:rFonts w:ascii="Arial" w:eastAsiaTheme="minorHAnsi" w:hAnsi="Arial" w:cs="Arial"/>
                <w:iCs/>
                <w:sz w:val="22"/>
                <w:szCs w:val="22"/>
              </w:rPr>
              <w:t>1.</w:t>
            </w:r>
          </w:p>
        </w:tc>
        <w:tc>
          <w:tcPr>
            <w:tcW w:w="3041" w:type="pct"/>
          </w:tcPr>
          <w:p w14:paraId="619B6D4C" w14:textId="77777777" w:rsidR="000A5B66" w:rsidRPr="005C1D34" w:rsidRDefault="000A5B66" w:rsidP="00194B94">
            <w:pPr>
              <w:spacing w:after="160" w:line="259" w:lineRule="auto"/>
              <w:jc w:val="both"/>
              <w:rPr>
                <w:rFonts w:ascii="Arial" w:eastAsiaTheme="minorHAnsi" w:hAnsi="Arial" w:cs="Arial"/>
                <w:sz w:val="22"/>
                <w:szCs w:val="22"/>
              </w:rPr>
            </w:pPr>
            <w:r w:rsidRPr="005C1D34">
              <w:rPr>
                <w:rFonts w:ascii="Arial" w:eastAsiaTheme="minorHAnsi" w:hAnsi="Arial" w:cs="Arial"/>
                <w:sz w:val="22"/>
                <w:szCs w:val="22"/>
              </w:rPr>
              <w:t>Vadovaujantis Aprašo II skyriaus 4.4.3 papunkčiu pirkimas laikomas žaliuoju, kadangi:</w:t>
            </w:r>
          </w:p>
          <w:p w14:paraId="22BCEBBB" w14:textId="77777777" w:rsidR="000A5B66" w:rsidRPr="005C1D34" w:rsidRDefault="000A5B66" w:rsidP="00194B94">
            <w:pPr>
              <w:spacing w:after="160" w:line="259" w:lineRule="auto"/>
              <w:jc w:val="both"/>
              <w:rPr>
                <w:rFonts w:ascii="Arial" w:eastAsiaTheme="minorHAnsi" w:hAnsi="Arial" w:cs="Arial"/>
                <w:sz w:val="22"/>
                <w:szCs w:val="22"/>
              </w:rPr>
            </w:pPr>
            <w:r w:rsidRPr="005C1D34">
              <w:rPr>
                <w:rFonts w:ascii="Arial" w:eastAsiaTheme="minorHAnsi" w:hAnsi="Arial" w:cs="Arial"/>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p>
        </w:tc>
        <w:tc>
          <w:tcPr>
            <w:tcW w:w="1667" w:type="pct"/>
          </w:tcPr>
          <w:p w14:paraId="44AC26B8" w14:textId="77777777" w:rsidR="000A5B66" w:rsidRPr="005C1D34" w:rsidRDefault="000A5B66" w:rsidP="00194B94">
            <w:pPr>
              <w:spacing w:after="160" w:line="259" w:lineRule="auto"/>
              <w:jc w:val="both"/>
              <w:rPr>
                <w:rFonts w:ascii="Arial" w:eastAsiaTheme="minorHAnsi" w:hAnsi="Arial" w:cs="Arial"/>
                <w:i/>
                <w:iCs/>
                <w:sz w:val="22"/>
                <w:szCs w:val="22"/>
              </w:rPr>
            </w:pPr>
            <w:r w:rsidRPr="005C1D34">
              <w:rPr>
                <w:rFonts w:ascii="Arial" w:eastAsiaTheme="minorHAnsi" w:hAnsi="Arial" w:cs="Arial"/>
                <w:sz w:val="22"/>
                <w:szCs w:val="22"/>
              </w:rPr>
              <w:t>Pirkimas laikomas žaliu dėl Pirkimo objekto pobūdžio, papildomų dokumentų nereikalaujama.</w:t>
            </w:r>
          </w:p>
        </w:tc>
      </w:tr>
    </w:tbl>
    <w:p w14:paraId="1035599C" w14:textId="0B00C965" w:rsidR="00134EB3" w:rsidRPr="005C1D34" w:rsidRDefault="00134EB3" w:rsidP="001164D5">
      <w:pPr>
        <w:jc w:val="both"/>
        <w:rPr>
          <w:rFonts w:ascii="Arial" w:hAnsi="Arial" w:cs="Arial"/>
          <w:b/>
          <w:snapToGrid w:val="0"/>
        </w:rPr>
      </w:pPr>
    </w:p>
    <w:p w14:paraId="0DB95673" w14:textId="45BA4980" w:rsidR="00F56D90" w:rsidRPr="005C1D34" w:rsidRDefault="00387BEF" w:rsidP="008660BC">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5C1D34">
        <w:rPr>
          <w:rFonts w:ascii="Arial" w:eastAsia="Calibri" w:hAnsi="Arial" w:cs="Arial"/>
          <w:b/>
        </w:rPr>
        <w:t xml:space="preserve">REIKALAVIMAI DĖL ATITIKTIES BENDRAJAM DUOMENŲ APSAUGOS REGLAMENTUI (BDAR)  </w:t>
      </w:r>
    </w:p>
    <w:p w14:paraId="2AB0F8C4" w14:textId="77777777" w:rsidR="001E76DF" w:rsidRPr="005C1D34" w:rsidRDefault="001E76DF" w:rsidP="001E76DF">
      <w:pPr>
        <w:pStyle w:val="ListParagraph"/>
        <w:tabs>
          <w:tab w:val="left" w:pos="284"/>
        </w:tabs>
        <w:spacing w:after="0"/>
        <w:ind w:left="0"/>
        <w:jc w:val="right"/>
        <w:rPr>
          <w:rFonts w:ascii="Arial" w:hAnsi="Arial" w:cs="Arial"/>
          <w:b/>
          <w:bCs/>
          <w:snapToGrid w:val="0"/>
        </w:rPr>
      </w:pPr>
    </w:p>
    <w:p w14:paraId="349D772F" w14:textId="05DBD22C" w:rsidR="001E76DF" w:rsidRPr="005C1D34" w:rsidRDefault="006B2630" w:rsidP="001E76DF">
      <w:pPr>
        <w:pStyle w:val="ListParagraph"/>
        <w:tabs>
          <w:tab w:val="left" w:pos="284"/>
        </w:tabs>
        <w:spacing w:after="0"/>
        <w:ind w:left="0"/>
        <w:jc w:val="right"/>
        <w:rPr>
          <w:rFonts w:ascii="Arial" w:hAnsi="Arial" w:cs="Arial"/>
          <w:b/>
          <w:bCs/>
          <w:snapToGrid w:val="0"/>
        </w:rPr>
      </w:pPr>
      <w:r w:rsidRPr="005C1D34">
        <w:rPr>
          <w:rFonts w:ascii="Arial" w:hAnsi="Arial" w:cs="Arial"/>
          <w:b/>
          <w:bCs/>
          <w:snapToGrid w:val="0"/>
        </w:rPr>
        <w:t>4 lentelė.</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3198"/>
        <w:gridCol w:w="5665"/>
      </w:tblGrid>
      <w:tr w:rsidR="001E76DF" w:rsidRPr="005C1D34" w14:paraId="4EAD77B0" w14:textId="77777777" w:rsidTr="00126E9F">
        <w:trPr>
          <w:trHeight w:val="615"/>
        </w:trPr>
        <w:tc>
          <w:tcPr>
            <w:tcW w:w="766" w:type="dxa"/>
            <w:tcMar>
              <w:top w:w="0" w:type="dxa"/>
              <w:left w:w="108" w:type="dxa"/>
              <w:bottom w:w="0" w:type="dxa"/>
              <w:right w:w="108" w:type="dxa"/>
            </w:tcMar>
            <w:hideMark/>
          </w:tcPr>
          <w:p w14:paraId="6F64C835" w14:textId="6CFF8235" w:rsidR="001E76DF" w:rsidRPr="005C1D34" w:rsidRDefault="001E76DF" w:rsidP="00126E9F">
            <w:pPr>
              <w:spacing w:before="360" w:after="120" w:line="257" w:lineRule="atLeast"/>
              <w:jc w:val="center"/>
              <w:outlineLvl w:val="1"/>
              <w:rPr>
                <w:rFonts w:ascii="Arial" w:eastAsia="Times New Roman" w:hAnsi="Arial" w:cs="Arial"/>
                <w:b/>
                <w:bCs/>
                <w:color w:val="2F5496"/>
                <w:lang w:eastAsia="lt-LT"/>
              </w:rPr>
            </w:pPr>
            <w:r w:rsidRPr="005C1D34">
              <w:rPr>
                <w:rFonts w:ascii="Arial" w:eastAsia="Times New Roman" w:hAnsi="Arial" w:cs="Arial"/>
                <w:lang w:eastAsia="lt-LT"/>
              </w:rPr>
              <w:t>5.1.</w:t>
            </w:r>
          </w:p>
          <w:p w14:paraId="086191AB" w14:textId="77777777" w:rsidR="001E76DF" w:rsidRPr="005C1D34" w:rsidRDefault="001E76DF" w:rsidP="00126E9F">
            <w:pPr>
              <w:spacing w:after="0" w:line="240" w:lineRule="auto"/>
              <w:rPr>
                <w:rFonts w:ascii="Arial" w:eastAsia="Times New Roman" w:hAnsi="Arial" w:cs="Arial"/>
                <w:color w:val="000000"/>
                <w:lang w:eastAsia="lt-LT"/>
              </w:rPr>
            </w:pPr>
            <w:r w:rsidRPr="005C1D34">
              <w:rPr>
                <w:rFonts w:ascii="Arial" w:eastAsia="Times New Roman" w:hAnsi="Arial" w:cs="Arial"/>
                <w:color w:val="000000"/>
                <w:lang w:eastAsia="lt-LT"/>
              </w:rPr>
              <w:t> </w:t>
            </w:r>
          </w:p>
        </w:tc>
        <w:tc>
          <w:tcPr>
            <w:tcW w:w="3198" w:type="dxa"/>
            <w:tcMar>
              <w:top w:w="0" w:type="dxa"/>
              <w:left w:w="108" w:type="dxa"/>
              <w:bottom w:w="0" w:type="dxa"/>
              <w:right w:w="108" w:type="dxa"/>
            </w:tcMar>
            <w:hideMark/>
          </w:tcPr>
          <w:p w14:paraId="221DFCB4" w14:textId="77777777" w:rsidR="001E76DF" w:rsidRPr="005C1D34" w:rsidRDefault="001E76DF" w:rsidP="00126E9F">
            <w:pPr>
              <w:spacing w:after="0" w:line="235" w:lineRule="atLeast"/>
              <w:jc w:val="both"/>
              <w:rPr>
                <w:rFonts w:ascii="Arial" w:eastAsia="Times New Roman" w:hAnsi="Arial" w:cs="Arial"/>
                <w:color w:val="000000"/>
                <w:lang w:eastAsia="lt-LT"/>
              </w:rPr>
            </w:pPr>
            <w:r w:rsidRPr="005C1D34">
              <w:rPr>
                <w:rFonts w:ascii="Arial" w:eastAsia="Times New Roman" w:hAnsi="Arial" w:cs="Arial"/>
                <w:color w:val="000000"/>
                <w:lang w:eastAsia="lt-LT"/>
              </w:rPr>
              <w:t>Duomenų tvarkymo susitarimas (BDAR 28 str.)</w:t>
            </w:r>
          </w:p>
        </w:tc>
        <w:tc>
          <w:tcPr>
            <w:tcW w:w="5665" w:type="dxa"/>
            <w:tcMar>
              <w:top w:w="0" w:type="dxa"/>
              <w:left w:w="108" w:type="dxa"/>
              <w:bottom w:w="0" w:type="dxa"/>
              <w:right w:w="108" w:type="dxa"/>
            </w:tcMar>
            <w:hideMark/>
          </w:tcPr>
          <w:p w14:paraId="737445FA" w14:textId="77777777" w:rsidR="001E76DF" w:rsidRPr="005C1D34" w:rsidRDefault="001E76DF" w:rsidP="00126E9F">
            <w:pPr>
              <w:spacing w:after="0" w:line="240" w:lineRule="auto"/>
              <w:jc w:val="both"/>
              <w:rPr>
                <w:rFonts w:ascii="Arial" w:eastAsia="Times New Roman" w:hAnsi="Arial" w:cs="Arial"/>
                <w:color w:val="000000"/>
                <w:lang w:eastAsia="lt-LT"/>
              </w:rPr>
            </w:pPr>
            <w:r w:rsidRPr="005C1D34">
              <w:rPr>
                <w:rFonts w:ascii="Arial" w:eastAsia="Times New Roman" w:hAnsi="Arial" w:cs="Arial"/>
                <w:color w:val="000000"/>
                <w:lang w:eastAsia="lt-LT"/>
              </w:rPr>
              <w:t xml:space="preserve">Tiekėjas po Sutarties pasirašymo nedelsiant turi su Pirkėju sudaryti duomenų tvarkymo susitarimą (DTS), pagal pateiktą DTS formą. Tais atvejais, kai Pirkėjo asmens duomenis tvarkys kita Šalis, Tiekėjas turi užtikrinti, kad kita Šalis su Pirkėju sudarys DTS pagal Pirkėjo pateiktą DTS formą. Pagrįstais atvejais, kai nėra galimybės sudaryti DTS pagal Pirkėjo pateiktą formą, Tiekėjas turi užtikrinti, kad duomenų tvarkytojo paslaugų </w:t>
            </w:r>
            <w:r w:rsidRPr="005C1D34">
              <w:rPr>
                <w:rFonts w:ascii="Arial" w:eastAsia="Times New Roman" w:hAnsi="Arial" w:cs="Arial"/>
                <w:color w:val="000000"/>
                <w:lang w:eastAsia="lt-LT"/>
              </w:rPr>
              <w:lastRenderedPageBreak/>
              <w:t>teikimo sąlygose, be kita ko, būtų įtrauktos pagal BDAR 28 straipsnio 3 dalį privalomos nuostatos.</w:t>
            </w:r>
          </w:p>
        </w:tc>
      </w:tr>
      <w:tr w:rsidR="001E76DF" w:rsidRPr="005C1D34" w14:paraId="1FCFAF6F" w14:textId="77777777" w:rsidTr="00126E9F">
        <w:trPr>
          <w:trHeight w:val="615"/>
        </w:trPr>
        <w:tc>
          <w:tcPr>
            <w:tcW w:w="766" w:type="dxa"/>
            <w:tcMar>
              <w:top w:w="0" w:type="dxa"/>
              <w:left w:w="108" w:type="dxa"/>
              <w:bottom w:w="0" w:type="dxa"/>
              <w:right w:w="108" w:type="dxa"/>
            </w:tcMar>
            <w:hideMark/>
          </w:tcPr>
          <w:p w14:paraId="6FD57C1E" w14:textId="3F2326C6" w:rsidR="001E76DF" w:rsidRPr="005C1D34" w:rsidRDefault="001E76DF" w:rsidP="00126E9F">
            <w:pPr>
              <w:spacing w:before="360" w:after="120" w:line="257" w:lineRule="atLeast"/>
              <w:jc w:val="center"/>
              <w:outlineLvl w:val="1"/>
              <w:rPr>
                <w:rFonts w:ascii="Arial" w:eastAsia="Times New Roman" w:hAnsi="Arial" w:cs="Arial"/>
                <w:b/>
                <w:bCs/>
                <w:color w:val="2F5496"/>
                <w:lang w:eastAsia="lt-LT"/>
              </w:rPr>
            </w:pPr>
            <w:r w:rsidRPr="005C1D34">
              <w:rPr>
                <w:rFonts w:ascii="Arial" w:eastAsia="Times New Roman" w:hAnsi="Arial" w:cs="Arial"/>
                <w:lang w:eastAsia="lt-LT"/>
              </w:rPr>
              <w:lastRenderedPageBreak/>
              <w:t>5.2.</w:t>
            </w:r>
          </w:p>
        </w:tc>
        <w:tc>
          <w:tcPr>
            <w:tcW w:w="3198" w:type="dxa"/>
            <w:tcMar>
              <w:top w:w="0" w:type="dxa"/>
              <w:left w:w="108" w:type="dxa"/>
              <w:bottom w:w="0" w:type="dxa"/>
              <w:right w:w="108" w:type="dxa"/>
            </w:tcMar>
            <w:hideMark/>
          </w:tcPr>
          <w:p w14:paraId="6C077B4A" w14:textId="77777777" w:rsidR="001E76DF" w:rsidRPr="005C1D34" w:rsidRDefault="001E76DF" w:rsidP="00126E9F">
            <w:pPr>
              <w:spacing w:after="0" w:line="235" w:lineRule="atLeast"/>
              <w:jc w:val="both"/>
              <w:rPr>
                <w:rFonts w:ascii="Arial" w:eastAsia="Times New Roman" w:hAnsi="Arial" w:cs="Arial"/>
                <w:color w:val="000000"/>
                <w:lang w:eastAsia="lt-LT"/>
              </w:rPr>
            </w:pPr>
            <w:r w:rsidRPr="005C1D34">
              <w:rPr>
                <w:rFonts w:ascii="Arial" w:eastAsia="Times New Roman" w:hAnsi="Arial" w:cs="Arial"/>
                <w:color w:val="000000"/>
                <w:lang w:eastAsia="lt-LT"/>
              </w:rPr>
              <w:t>Incidentai / saugumo pažeidimai (BDAR 28 str. 3 d. f p., BDAR 33 str. 2 d.)</w:t>
            </w:r>
          </w:p>
        </w:tc>
        <w:tc>
          <w:tcPr>
            <w:tcW w:w="5665" w:type="dxa"/>
            <w:tcMar>
              <w:top w:w="0" w:type="dxa"/>
              <w:left w:w="108" w:type="dxa"/>
              <w:bottom w:w="0" w:type="dxa"/>
              <w:right w:w="108" w:type="dxa"/>
            </w:tcMar>
            <w:hideMark/>
          </w:tcPr>
          <w:p w14:paraId="7611B167" w14:textId="77777777" w:rsidR="001E76DF" w:rsidRPr="005C1D34" w:rsidRDefault="001E76DF" w:rsidP="00126E9F">
            <w:pPr>
              <w:spacing w:after="0" w:line="240" w:lineRule="auto"/>
              <w:jc w:val="both"/>
              <w:rPr>
                <w:rFonts w:ascii="Arial" w:eastAsia="Times New Roman" w:hAnsi="Arial" w:cs="Arial"/>
                <w:color w:val="000000"/>
                <w:lang w:eastAsia="lt-LT"/>
              </w:rPr>
            </w:pPr>
            <w:r w:rsidRPr="005C1D34">
              <w:rPr>
                <w:rFonts w:ascii="Arial" w:eastAsia="Times New Roman" w:hAnsi="Arial" w:cs="Arial"/>
                <w:color w:val="000000"/>
                <w:lang w:eastAsia="lt-LT"/>
              </w:rPr>
              <w:t>Pirkėjas turi būti nedelsiant informuojamas apie Sistemos informacijos ir kibernetinės saugos įvykius ir incidentus ar asmens duomenų saugumo pažeidimus, jų įtaką Pirkėjo informacijos ir duomenų saugumui bei jų valdymo būklę. Pirkėjas turi turėti galimybę susisiekti su saugos įvykius ir incidentus valdančiais asmenimis, kad įsitikinti valdymo proceso efektyvumu.</w:t>
            </w:r>
          </w:p>
        </w:tc>
      </w:tr>
      <w:tr w:rsidR="001E76DF" w:rsidRPr="005C1D34" w14:paraId="6DEF4481" w14:textId="77777777" w:rsidTr="00126E9F">
        <w:trPr>
          <w:trHeight w:val="615"/>
        </w:trPr>
        <w:tc>
          <w:tcPr>
            <w:tcW w:w="766" w:type="dxa"/>
            <w:tcMar>
              <w:top w:w="0" w:type="dxa"/>
              <w:left w:w="108" w:type="dxa"/>
              <w:bottom w:w="0" w:type="dxa"/>
              <w:right w:w="108" w:type="dxa"/>
            </w:tcMar>
            <w:hideMark/>
          </w:tcPr>
          <w:p w14:paraId="7D8A0844" w14:textId="28E79F67" w:rsidR="001E76DF" w:rsidRPr="005C1D34" w:rsidRDefault="001E76DF" w:rsidP="00126E9F">
            <w:pPr>
              <w:spacing w:before="360" w:after="120" w:line="257" w:lineRule="atLeast"/>
              <w:jc w:val="center"/>
              <w:outlineLvl w:val="1"/>
              <w:rPr>
                <w:rFonts w:ascii="Arial" w:eastAsia="Times New Roman" w:hAnsi="Arial" w:cs="Arial"/>
                <w:b/>
                <w:bCs/>
                <w:color w:val="2F5496"/>
                <w:lang w:eastAsia="lt-LT"/>
              </w:rPr>
            </w:pPr>
            <w:r w:rsidRPr="005C1D34">
              <w:rPr>
                <w:rFonts w:ascii="Arial" w:eastAsia="Times New Roman" w:hAnsi="Arial" w:cs="Arial"/>
                <w:lang w:eastAsia="lt-LT"/>
              </w:rPr>
              <w:t>5.3.</w:t>
            </w:r>
          </w:p>
        </w:tc>
        <w:tc>
          <w:tcPr>
            <w:tcW w:w="3198" w:type="dxa"/>
            <w:tcMar>
              <w:top w:w="0" w:type="dxa"/>
              <w:left w:w="108" w:type="dxa"/>
              <w:bottom w:w="0" w:type="dxa"/>
              <w:right w:w="108" w:type="dxa"/>
            </w:tcMar>
            <w:hideMark/>
          </w:tcPr>
          <w:p w14:paraId="336C1BD4" w14:textId="77777777" w:rsidR="001E76DF" w:rsidRPr="005C1D34" w:rsidRDefault="001E76DF" w:rsidP="00126E9F">
            <w:pPr>
              <w:spacing w:after="0" w:line="235" w:lineRule="atLeast"/>
              <w:jc w:val="both"/>
              <w:rPr>
                <w:rFonts w:ascii="Arial" w:eastAsia="Times New Roman" w:hAnsi="Arial" w:cs="Arial"/>
                <w:color w:val="000000"/>
                <w:lang w:eastAsia="lt-LT"/>
              </w:rPr>
            </w:pPr>
            <w:r w:rsidRPr="005C1D34">
              <w:rPr>
                <w:rFonts w:ascii="Arial" w:eastAsia="Times New Roman" w:hAnsi="Arial" w:cs="Arial"/>
                <w:color w:val="000000"/>
                <w:lang w:eastAsia="lt-LT"/>
              </w:rPr>
              <w:t>Duomenų subjektų teisių įgyvendinimas (BDAR III skyrius, BDAR 28 str. 3 d. e p.)</w:t>
            </w:r>
          </w:p>
        </w:tc>
        <w:tc>
          <w:tcPr>
            <w:tcW w:w="5665" w:type="dxa"/>
            <w:tcMar>
              <w:top w:w="0" w:type="dxa"/>
              <w:left w:w="108" w:type="dxa"/>
              <w:bottom w:w="0" w:type="dxa"/>
              <w:right w:w="108" w:type="dxa"/>
            </w:tcMar>
            <w:hideMark/>
          </w:tcPr>
          <w:p w14:paraId="5574690F" w14:textId="77777777" w:rsidR="001E76DF" w:rsidRPr="005C1D34" w:rsidRDefault="001E76DF" w:rsidP="00126E9F">
            <w:pPr>
              <w:spacing w:after="0" w:line="240" w:lineRule="auto"/>
              <w:jc w:val="both"/>
              <w:rPr>
                <w:rFonts w:ascii="Arial" w:eastAsia="Times New Roman" w:hAnsi="Arial" w:cs="Arial"/>
                <w:color w:val="000000"/>
                <w:lang w:eastAsia="lt-LT"/>
              </w:rPr>
            </w:pPr>
            <w:r w:rsidRPr="005C1D34">
              <w:rPr>
                <w:rFonts w:ascii="Arial" w:eastAsia="Times New Roman" w:hAnsi="Arial" w:cs="Arial"/>
                <w:color w:val="000000"/>
                <w:lang w:eastAsia="lt-LT"/>
              </w:rPr>
              <w:t xml:space="preserve">Produktai (sistemos) ir (arba) paslaugos turi būti sukonfigūruotos taip, kad leistų Pirkėjui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w:t>
            </w:r>
            <w:proofErr w:type="spellStart"/>
            <w:r w:rsidRPr="005C1D34">
              <w:rPr>
                <w:rFonts w:ascii="Arial" w:eastAsia="Times New Roman" w:hAnsi="Arial" w:cs="Arial"/>
                <w:color w:val="000000"/>
                <w:lang w:eastAsia="lt-LT"/>
              </w:rPr>
              <w:t>perkeliamumą</w:t>
            </w:r>
            <w:proofErr w:type="spellEnd"/>
            <w:r w:rsidRPr="005C1D34">
              <w:rPr>
                <w:rFonts w:ascii="Arial" w:eastAsia="Times New Roman" w:hAnsi="Arial" w:cs="Arial"/>
                <w:color w:val="000000"/>
                <w:lang w:eastAsia="lt-LT"/>
              </w:rPr>
              <w:t xml:space="preserve"> (BDAR III skyrius). Visi Pirkėjo Tiekėjui perduoti duomenų subjektų prašymai neturi būti papildomai apmokestinami.</w:t>
            </w:r>
          </w:p>
        </w:tc>
      </w:tr>
      <w:tr w:rsidR="001E76DF" w:rsidRPr="005C1D34" w14:paraId="15622CA2" w14:textId="77777777" w:rsidTr="00126E9F">
        <w:trPr>
          <w:trHeight w:val="615"/>
        </w:trPr>
        <w:tc>
          <w:tcPr>
            <w:tcW w:w="766" w:type="dxa"/>
            <w:tcMar>
              <w:top w:w="0" w:type="dxa"/>
              <w:left w:w="108" w:type="dxa"/>
              <w:bottom w:w="0" w:type="dxa"/>
              <w:right w:w="108" w:type="dxa"/>
            </w:tcMar>
            <w:hideMark/>
          </w:tcPr>
          <w:p w14:paraId="0F2403D3" w14:textId="662FF49F" w:rsidR="001E76DF" w:rsidRPr="005C1D34" w:rsidRDefault="001E76DF" w:rsidP="00126E9F">
            <w:pPr>
              <w:spacing w:before="360" w:after="120" w:line="257" w:lineRule="atLeast"/>
              <w:jc w:val="center"/>
              <w:outlineLvl w:val="1"/>
              <w:rPr>
                <w:rFonts w:ascii="Arial" w:eastAsia="Times New Roman" w:hAnsi="Arial" w:cs="Arial"/>
                <w:b/>
                <w:bCs/>
                <w:color w:val="2F5496"/>
                <w:lang w:eastAsia="lt-LT"/>
              </w:rPr>
            </w:pPr>
            <w:r w:rsidRPr="005C1D34">
              <w:rPr>
                <w:rFonts w:ascii="Arial" w:eastAsia="Times New Roman" w:hAnsi="Arial" w:cs="Arial"/>
                <w:lang w:eastAsia="lt-LT"/>
              </w:rPr>
              <w:t>5.4.</w:t>
            </w:r>
          </w:p>
        </w:tc>
        <w:tc>
          <w:tcPr>
            <w:tcW w:w="3198" w:type="dxa"/>
            <w:tcMar>
              <w:top w:w="0" w:type="dxa"/>
              <w:left w:w="108" w:type="dxa"/>
              <w:bottom w:w="0" w:type="dxa"/>
              <w:right w:w="108" w:type="dxa"/>
            </w:tcMar>
            <w:hideMark/>
          </w:tcPr>
          <w:p w14:paraId="73B36BF9" w14:textId="77777777" w:rsidR="001E76DF" w:rsidRPr="005C1D34" w:rsidRDefault="001E76DF" w:rsidP="00126E9F">
            <w:pPr>
              <w:spacing w:after="0" w:line="235" w:lineRule="atLeast"/>
              <w:jc w:val="both"/>
              <w:rPr>
                <w:rFonts w:ascii="Arial" w:eastAsia="Times New Roman" w:hAnsi="Arial" w:cs="Arial"/>
                <w:color w:val="000000"/>
                <w:lang w:eastAsia="lt-LT"/>
              </w:rPr>
            </w:pPr>
            <w:r w:rsidRPr="005C1D34">
              <w:rPr>
                <w:rFonts w:ascii="Arial" w:eastAsia="Times New Roman" w:hAnsi="Arial" w:cs="Arial"/>
                <w:color w:val="000000"/>
                <w:lang w:eastAsia="lt-LT"/>
              </w:rPr>
              <w:t>Duomenų perdavimas į trečiąsias šalis (BDAR V skyrius)</w:t>
            </w:r>
          </w:p>
        </w:tc>
        <w:tc>
          <w:tcPr>
            <w:tcW w:w="5665" w:type="dxa"/>
            <w:tcMar>
              <w:top w:w="0" w:type="dxa"/>
              <w:left w:w="108" w:type="dxa"/>
              <w:bottom w:w="0" w:type="dxa"/>
              <w:right w:w="108" w:type="dxa"/>
            </w:tcMar>
            <w:hideMark/>
          </w:tcPr>
          <w:p w14:paraId="454223BF" w14:textId="77777777" w:rsidR="001E76DF" w:rsidRPr="005C1D34" w:rsidRDefault="001E76DF" w:rsidP="00126E9F">
            <w:pPr>
              <w:spacing w:after="0" w:line="240" w:lineRule="auto"/>
              <w:jc w:val="both"/>
              <w:rPr>
                <w:rFonts w:ascii="Arial" w:eastAsia="Times New Roman" w:hAnsi="Arial" w:cs="Arial"/>
                <w:color w:val="000000"/>
                <w:lang w:eastAsia="lt-LT"/>
              </w:rPr>
            </w:pPr>
            <w:r w:rsidRPr="005C1D34">
              <w:rPr>
                <w:rFonts w:ascii="Arial" w:eastAsia="Times New Roman" w:hAnsi="Arial" w:cs="Arial"/>
                <w:color w:val="000000"/>
                <w:lang w:eastAsia="lt-LT"/>
              </w:rPr>
              <w:t>Tiekėjas turi užtikrinti, kad Pirkėjo duomenys nebus perduodami už Europos ekonominės erdvės ribų, nebent egzistuotų bent viena iš BDAR V skyriuje numatytų perdavimo už Europos ekonominės erdvės ribojimo išimčių.</w:t>
            </w:r>
          </w:p>
        </w:tc>
      </w:tr>
    </w:tbl>
    <w:p w14:paraId="68267041" w14:textId="28B8ED4C" w:rsidR="00AF6B48" w:rsidRPr="005C1D34" w:rsidRDefault="00AF6B48" w:rsidP="00482CF9">
      <w:pPr>
        <w:spacing w:before="60" w:after="60" w:line="240" w:lineRule="auto"/>
        <w:jc w:val="both"/>
        <w:rPr>
          <w:rFonts w:ascii="Arial" w:eastAsia="Calibri" w:hAnsi="Arial" w:cs="Arial"/>
          <w:i/>
          <w:color w:val="FF0000"/>
        </w:rPr>
      </w:pPr>
    </w:p>
    <w:p w14:paraId="57C52058" w14:textId="5C5C6B85" w:rsidR="00482CF9" w:rsidRPr="005C1D34" w:rsidRDefault="00AF6B48" w:rsidP="008660BC">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5C1D34">
        <w:rPr>
          <w:rFonts w:ascii="Arial" w:eastAsia="Calibri" w:hAnsi="Arial" w:cs="Arial"/>
          <w:b/>
        </w:rPr>
        <w:t>PRIEDAI</w:t>
      </w:r>
    </w:p>
    <w:p w14:paraId="35623EFD" w14:textId="57AFCF36" w:rsidR="00B97A1D" w:rsidRPr="005C1D34" w:rsidRDefault="00B97A1D" w:rsidP="00FF5418">
      <w:pPr>
        <w:jc w:val="both"/>
        <w:rPr>
          <w:rFonts w:ascii="Arial" w:hAnsi="Arial" w:cs="Arial"/>
          <w:b/>
        </w:rPr>
      </w:pPr>
      <w:r w:rsidRPr="005C1D34">
        <w:rPr>
          <w:rFonts w:ascii="Arial" w:hAnsi="Arial" w:cs="Arial"/>
        </w:rPr>
        <w:t xml:space="preserve">1 priedas. </w:t>
      </w:r>
      <w:r w:rsidR="00FF5418" w:rsidRPr="005C1D34">
        <w:rPr>
          <w:rFonts w:ascii="Arial" w:hAnsi="Arial" w:cs="Arial"/>
          <w:bCs/>
        </w:rPr>
        <w:t xml:space="preserve">Projektų valdymo informacinės sistemos vystymo paslaugų techninė specifikacija. </w:t>
      </w:r>
    </w:p>
    <w:p w14:paraId="381B50CB" w14:textId="143F645A" w:rsidR="006A442A" w:rsidRPr="005C1D34" w:rsidRDefault="006A442A" w:rsidP="00B97A1D">
      <w:pPr>
        <w:rPr>
          <w:rFonts w:ascii="Arial" w:hAnsi="Arial" w:cs="Arial"/>
        </w:rPr>
      </w:pPr>
    </w:p>
    <w:sectPr w:rsidR="006A442A" w:rsidRPr="005C1D34" w:rsidSect="008660BC">
      <w:footerReference w:type="default" r:id="rId14"/>
      <w:headerReference w:type="first" r:id="rId15"/>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8E3EE" w14:textId="77777777" w:rsidR="00917492" w:rsidRDefault="00917492" w:rsidP="00682323">
      <w:pPr>
        <w:spacing w:after="0" w:line="240" w:lineRule="auto"/>
      </w:pPr>
      <w:r>
        <w:separator/>
      </w:r>
    </w:p>
  </w:endnote>
  <w:endnote w:type="continuationSeparator" w:id="0">
    <w:p w14:paraId="007AC5D9" w14:textId="77777777" w:rsidR="00917492" w:rsidRDefault="00917492"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607E" w14:textId="77777777" w:rsidR="00917492" w:rsidRDefault="00917492" w:rsidP="00682323">
      <w:pPr>
        <w:spacing w:after="0" w:line="240" w:lineRule="auto"/>
      </w:pPr>
      <w:r>
        <w:separator/>
      </w:r>
    </w:p>
  </w:footnote>
  <w:footnote w:type="continuationSeparator" w:id="0">
    <w:p w14:paraId="4532ADEA" w14:textId="77777777" w:rsidR="00917492" w:rsidRDefault="00917492" w:rsidP="00682323">
      <w:pPr>
        <w:spacing w:after="0" w:line="240" w:lineRule="auto"/>
      </w:pPr>
      <w:r>
        <w:continuationSeparator/>
      </w:r>
    </w:p>
  </w:footnote>
  <w:footnote w:id="1">
    <w:p w14:paraId="0E122AA1" w14:textId="10FC0EFA" w:rsidR="00455D3D" w:rsidRPr="004B6AF4" w:rsidRDefault="00455D3D" w:rsidP="008660BC">
      <w:pPr>
        <w:pStyle w:val="FootnoteText"/>
        <w:jc w:val="both"/>
        <w:rPr>
          <w:rFonts w:ascii="Arial" w:hAnsi="Arial" w:cs="Arial"/>
          <w:sz w:val="16"/>
          <w:szCs w:val="16"/>
        </w:rPr>
      </w:pPr>
      <w:r w:rsidRPr="004B6AF4">
        <w:rPr>
          <w:rStyle w:val="FootnoteReference"/>
          <w:rFonts w:ascii="Arial" w:hAnsi="Arial" w:cs="Arial"/>
          <w:sz w:val="16"/>
          <w:szCs w:val="16"/>
        </w:rPr>
        <w:footnoteRef/>
      </w:r>
      <w:r w:rsidRPr="004B6AF4">
        <w:rPr>
          <w:rFonts w:ascii="Arial" w:hAnsi="Arial" w:cs="Arial"/>
          <w:sz w:val="16"/>
          <w:szCs w:val="16"/>
        </w:rPr>
        <w:t>Lygiaverčiu laikomas pirkimo objektas, kurio savybės nėra prastesnės (t.</w:t>
      </w:r>
      <w:r w:rsidR="009664DF">
        <w:rPr>
          <w:rFonts w:ascii="Arial" w:hAnsi="Arial" w:cs="Arial"/>
          <w:sz w:val="16"/>
          <w:szCs w:val="16"/>
        </w:rPr>
        <w:t xml:space="preserve"> </w:t>
      </w:r>
      <w:r w:rsidRPr="004B6AF4">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4B6AF4" w:rsidRDefault="00455D3D" w:rsidP="008660BC">
      <w:pPr>
        <w:pStyle w:val="FootnoteText"/>
        <w:jc w:val="both"/>
        <w:rPr>
          <w:rFonts w:ascii="Arial" w:hAnsi="Arial" w:cs="Arial"/>
          <w:sz w:val="16"/>
          <w:szCs w:val="16"/>
        </w:rPr>
      </w:pPr>
      <w:r w:rsidRPr="004B6AF4">
        <w:rPr>
          <w:rFonts w:ascii="Arial" w:hAnsi="Arial" w:cs="Arial"/>
          <w:sz w:val="16"/>
          <w:szCs w:val="16"/>
        </w:rPr>
        <w:t>•     neatliekant papildomų sąveikaujančių elementų pakeitimų;</w:t>
      </w:r>
    </w:p>
    <w:p w14:paraId="3CD5A5FE" w14:textId="77777777" w:rsidR="00455D3D" w:rsidRPr="004B6AF4" w:rsidRDefault="00455D3D" w:rsidP="008660BC">
      <w:pPr>
        <w:pStyle w:val="FootnoteText"/>
        <w:jc w:val="both"/>
        <w:rPr>
          <w:rFonts w:ascii="Arial" w:hAnsi="Arial" w:cs="Arial"/>
          <w:sz w:val="16"/>
          <w:szCs w:val="16"/>
        </w:rPr>
      </w:pPr>
      <w:r w:rsidRPr="004B6AF4">
        <w:rPr>
          <w:rFonts w:ascii="Arial" w:hAnsi="Arial" w:cs="Arial"/>
          <w:sz w:val="16"/>
          <w:szCs w:val="16"/>
        </w:rPr>
        <w:t>•    panaudojimas neturės įtakos sąveikaujančių elementų greitesniam susidėvėjimui, gedimams ir (ar) garantijos praradimui;</w:t>
      </w:r>
    </w:p>
    <w:p w14:paraId="6B4DC801" w14:textId="77777777" w:rsidR="00455D3D" w:rsidRPr="004B6AF4" w:rsidRDefault="00455D3D" w:rsidP="008660BC">
      <w:pPr>
        <w:pStyle w:val="FootnoteText"/>
        <w:jc w:val="both"/>
        <w:rPr>
          <w:rFonts w:ascii="Arial" w:hAnsi="Arial" w:cs="Arial"/>
          <w:sz w:val="16"/>
          <w:szCs w:val="16"/>
        </w:rPr>
      </w:pPr>
      <w:r w:rsidRPr="004B6AF4">
        <w:rPr>
          <w:rFonts w:ascii="Arial" w:hAnsi="Arial" w:cs="Arial"/>
          <w:sz w:val="16"/>
          <w:szCs w:val="16"/>
        </w:rPr>
        <w:t>•     numatytas tarnavimo laikotarpis nėra  trumpesnis;</w:t>
      </w:r>
    </w:p>
    <w:p w14:paraId="21FEBA30" w14:textId="77777777" w:rsidR="00455D3D" w:rsidRPr="004B6AF4" w:rsidRDefault="00455D3D" w:rsidP="008660BC">
      <w:pPr>
        <w:pStyle w:val="FootnoteText"/>
        <w:jc w:val="both"/>
        <w:rPr>
          <w:rFonts w:ascii="Arial" w:hAnsi="Arial" w:cs="Arial"/>
          <w:sz w:val="16"/>
          <w:szCs w:val="16"/>
        </w:rPr>
      </w:pPr>
      <w:r w:rsidRPr="004B6AF4">
        <w:rPr>
          <w:rFonts w:ascii="Arial" w:hAnsi="Arial" w:cs="Arial"/>
          <w:sz w:val="16"/>
          <w:szCs w:val="16"/>
        </w:rPr>
        <w:t>•     nėra prastesnio techninio pažangumo lygio.</w:t>
      </w:r>
    </w:p>
    <w:p w14:paraId="0621DDB7" w14:textId="44398599" w:rsidR="00455D3D" w:rsidRDefault="00455D3D" w:rsidP="008660BC">
      <w:pPr>
        <w:pStyle w:val="FootnoteText"/>
        <w:jc w:val="both"/>
      </w:pPr>
      <w:r w:rsidRPr="004B6AF4">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4B6AF4">
        <w:rPr>
          <w:rFonts w:ascii="Arial" w:hAnsi="Arial" w:cs="Arial"/>
          <w:sz w:val="16"/>
          <w:szCs w:val="16"/>
        </w:rPr>
        <w:t>savideklaracija</w:t>
      </w:r>
      <w:proofErr w:type="spellEnd"/>
      <w:r w:rsidRPr="004B6AF4">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4820" w:hanging="360"/>
      </w:pPr>
      <w:rPr>
        <w:rFonts w:hint="default"/>
        <w:color w:val="auto"/>
      </w:rPr>
    </w:lvl>
    <w:lvl w:ilvl="1">
      <w:start w:val="5"/>
      <w:numFmt w:val="decimal"/>
      <w:lvlText w:val="%1.%2."/>
      <w:lvlJc w:val="left"/>
      <w:pPr>
        <w:ind w:left="4820" w:hanging="360"/>
      </w:pPr>
      <w:rPr>
        <w:rFonts w:hint="default"/>
        <w:color w:val="auto"/>
      </w:rPr>
    </w:lvl>
    <w:lvl w:ilvl="2">
      <w:start w:val="1"/>
      <w:numFmt w:val="decimal"/>
      <w:lvlText w:val="%1.%2.%3."/>
      <w:lvlJc w:val="left"/>
      <w:pPr>
        <w:ind w:left="5180" w:hanging="720"/>
      </w:pPr>
      <w:rPr>
        <w:rFonts w:hint="default"/>
        <w:color w:val="auto"/>
      </w:rPr>
    </w:lvl>
    <w:lvl w:ilvl="3">
      <w:start w:val="1"/>
      <w:numFmt w:val="decimal"/>
      <w:lvlText w:val="%1.%2.%3.%4."/>
      <w:lvlJc w:val="left"/>
      <w:pPr>
        <w:ind w:left="5180" w:hanging="720"/>
      </w:pPr>
      <w:rPr>
        <w:rFonts w:hint="default"/>
        <w:color w:val="auto"/>
      </w:rPr>
    </w:lvl>
    <w:lvl w:ilvl="4">
      <w:start w:val="1"/>
      <w:numFmt w:val="decimal"/>
      <w:lvlText w:val="%1.%2.%3.%4.%5."/>
      <w:lvlJc w:val="left"/>
      <w:pPr>
        <w:ind w:left="5540" w:hanging="1080"/>
      </w:pPr>
      <w:rPr>
        <w:rFonts w:hint="default"/>
        <w:color w:val="auto"/>
      </w:rPr>
    </w:lvl>
    <w:lvl w:ilvl="5">
      <w:start w:val="1"/>
      <w:numFmt w:val="decimal"/>
      <w:lvlText w:val="%1.%2.%3.%4.%5.%6."/>
      <w:lvlJc w:val="left"/>
      <w:pPr>
        <w:ind w:left="5540" w:hanging="1080"/>
      </w:pPr>
      <w:rPr>
        <w:rFonts w:hint="default"/>
        <w:color w:val="auto"/>
      </w:rPr>
    </w:lvl>
    <w:lvl w:ilvl="6">
      <w:start w:val="1"/>
      <w:numFmt w:val="decimal"/>
      <w:lvlText w:val="%1.%2.%3.%4.%5.%6.%7."/>
      <w:lvlJc w:val="left"/>
      <w:pPr>
        <w:ind w:left="5900" w:hanging="1440"/>
      </w:pPr>
      <w:rPr>
        <w:rFonts w:hint="default"/>
        <w:color w:val="auto"/>
      </w:rPr>
    </w:lvl>
    <w:lvl w:ilvl="7">
      <w:start w:val="1"/>
      <w:numFmt w:val="decimal"/>
      <w:lvlText w:val="%1.%2.%3.%4.%5.%6.%7.%8."/>
      <w:lvlJc w:val="left"/>
      <w:pPr>
        <w:ind w:left="5900" w:hanging="1440"/>
      </w:pPr>
      <w:rPr>
        <w:rFonts w:hint="default"/>
        <w:color w:val="auto"/>
      </w:rPr>
    </w:lvl>
    <w:lvl w:ilvl="8">
      <w:start w:val="1"/>
      <w:numFmt w:val="decimal"/>
      <w:lvlText w:val="%1.%2.%3.%4.%5.%6.%7.%8.%9."/>
      <w:lvlJc w:val="left"/>
      <w:pPr>
        <w:ind w:left="626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7BE2F0E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3D7F93"/>
    <w:multiLevelType w:val="hybridMultilevel"/>
    <w:tmpl w:val="8F06837A"/>
    <w:lvl w:ilvl="0" w:tplc="B4FE1A6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8"/>
  </w:num>
  <w:num w:numId="2">
    <w:abstractNumId w:val="12"/>
  </w:num>
  <w:num w:numId="3">
    <w:abstractNumId w:val="3"/>
  </w:num>
  <w:num w:numId="4">
    <w:abstractNumId w:val="16"/>
  </w:num>
  <w:num w:numId="5">
    <w:abstractNumId w:val="2"/>
  </w:num>
  <w:num w:numId="6">
    <w:abstractNumId w:val="7"/>
  </w:num>
  <w:num w:numId="7">
    <w:abstractNumId w:val="10"/>
  </w:num>
  <w:num w:numId="8">
    <w:abstractNumId w:val="0"/>
  </w:num>
  <w:num w:numId="9">
    <w:abstractNumId w:val="19"/>
  </w:num>
  <w:num w:numId="10">
    <w:abstractNumId w:val="6"/>
  </w:num>
  <w:num w:numId="11">
    <w:abstractNumId w:val="21"/>
  </w:num>
  <w:num w:numId="12">
    <w:abstractNumId w:val="9"/>
  </w:num>
  <w:num w:numId="13">
    <w:abstractNumId w:val="1"/>
  </w:num>
  <w:num w:numId="14">
    <w:abstractNumId w:val="5"/>
  </w:num>
  <w:num w:numId="15">
    <w:abstractNumId w:val="11"/>
  </w:num>
  <w:num w:numId="16">
    <w:abstractNumId w:val="20"/>
  </w:num>
  <w:num w:numId="17">
    <w:abstractNumId w:val="14"/>
  </w:num>
  <w:num w:numId="18">
    <w:abstractNumId w:val="17"/>
  </w:num>
  <w:num w:numId="19">
    <w:abstractNumId w:val="4"/>
  </w:num>
  <w:num w:numId="20">
    <w:abstractNumId w:val="15"/>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6075"/>
    <w:rsid w:val="0003019F"/>
    <w:rsid w:val="0003408D"/>
    <w:rsid w:val="000356CF"/>
    <w:rsid w:val="0004663F"/>
    <w:rsid w:val="00046A16"/>
    <w:rsid w:val="00070A2D"/>
    <w:rsid w:val="00071D9F"/>
    <w:rsid w:val="000749F2"/>
    <w:rsid w:val="00085351"/>
    <w:rsid w:val="00094A35"/>
    <w:rsid w:val="000A21A7"/>
    <w:rsid w:val="000A41ED"/>
    <w:rsid w:val="000A5B66"/>
    <w:rsid w:val="000B2DF2"/>
    <w:rsid w:val="000C5FEE"/>
    <w:rsid w:val="000C6221"/>
    <w:rsid w:val="000E4430"/>
    <w:rsid w:val="000F405C"/>
    <w:rsid w:val="00103378"/>
    <w:rsid w:val="00104578"/>
    <w:rsid w:val="001164D5"/>
    <w:rsid w:val="00121DF9"/>
    <w:rsid w:val="00130DCD"/>
    <w:rsid w:val="00131691"/>
    <w:rsid w:val="00134EB3"/>
    <w:rsid w:val="001379F2"/>
    <w:rsid w:val="00161502"/>
    <w:rsid w:val="001675FE"/>
    <w:rsid w:val="00177919"/>
    <w:rsid w:val="00183393"/>
    <w:rsid w:val="001A7591"/>
    <w:rsid w:val="001C5C79"/>
    <w:rsid w:val="001D0AAF"/>
    <w:rsid w:val="001E02EF"/>
    <w:rsid w:val="001E76DF"/>
    <w:rsid w:val="001F3DD7"/>
    <w:rsid w:val="00205386"/>
    <w:rsid w:val="00206CF9"/>
    <w:rsid w:val="00212FAB"/>
    <w:rsid w:val="00225AA6"/>
    <w:rsid w:val="00231356"/>
    <w:rsid w:val="002332B4"/>
    <w:rsid w:val="00233F4C"/>
    <w:rsid w:val="002407BB"/>
    <w:rsid w:val="00245CBF"/>
    <w:rsid w:val="00274F91"/>
    <w:rsid w:val="00277AAE"/>
    <w:rsid w:val="00285F0C"/>
    <w:rsid w:val="00291187"/>
    <w:rsid w:val="002933C3"/>
    <w:rsid w:val="002A12D7"/>
    <w:rsid w:val="002C1674"/>
    <w:rsid w:val="002C4223"/>
    <w:rsid w:val="002D4370"/>
    <w:rsid w:val="002D47ED"/>
    <w:rsid w:val="002D5BBD"/>
    <w:rsid w:val="002E09D6"/>
    <w:rsid w:val="002F3398"/>
    <w:rsid w:val="00306503"/>
    <w:rsid w:val="00314040"/>
    <w:rsid w:val="00325C64"/>
    <w:rsid w:val="00326EF4"/>
    <w:rsid w:val="0034120C"/>
    <w:rsid w:val="00375B70"/>
    <w:rsid w:val="00376A33"/>
    <w:rsid w:val="0038363F"/>
    <w:rsid w:val="00387BEF"/>
    <w:rsid w:val="00395313"/>
    <w:rsid w:val="003A02E5"/>
    <w:rsid w:val="003A139E"/>
    <w:rsid w:val="003B14A7"/>
    <w:rsid w:val="003B4ED6"/>
    <w:rsid w:val="003D4EE1"/>
    <w:rsid w:val="003F07AA"/>
    <w:rsid w:val="00411F54"/>
    <w:rsid w:val="00412E2D"/>
    <w:rsid w:val="0043073D"/>
    <w:rsid w:val="004473D5"/>
    <w:rsid w:val="00455715"/>
    <w:rsid w:val="00455D3D"/>
    <w:rsid w:val="0047122D"/>
    <w:rsid w:val="00482CF9"/>
    <w:rsid w:val="00487A0D"/>
    <w:rsid w:val="0049019A"/>
    <w:rsid w:val="004A0C48"/>
    <w:rsid w:val="004A5BDE"/>
    <w:rsid w:val="004B55FF"/>
    <w:rsid w:val="004B6AF4"/>
    <w:rsid w:val="004C0120"/>
    <w:rsid w:val="004C22B2"/>
    <w:rsid w:val="004D322C"/>
    <w:rsid w:val="004D6148"/>
    <w:rsid w:val="004D7ECA"/>
    <w:rsid w:val="004F23CD"/>
    <w:rsid w:val="00523454"/>
    <w:rsid w:val="00545308"/>
    <w:rsid w:val="00547581"/>
    <w:rsid w:val="00554709"/>
    <w:rsid w:val="00565825"/>
    <w:rsid w:val="0057449C"/>
    <w:rsid w:val="00580A60"/>
    <w:rsid w:val="005900D8"/>
    <w:rsid w:val="00592771"/>
    <w:rsid w:val="00593AAB"/>
    <w:rsid w:val="0059440E"/>
    <w:rsid w:val="00594F54"/>
    <w:rsid w:val="005A0A62"/>
    <w:rsid w:val="005B21AE"/>
    <w:rsid w:val="005B68E9"/>
    <w:rsid w:val="005B6AA5"/>
    <w:rsid w:val="005C1D34"/>
    <w:rsid w:val="005C460D"/>
    <w:rsid w:val="005C476A"/>
    <w:rsid w:val="005D7860"/>
    <w:rsid w:val="005E5636"/>
    <w:rsid w:val="005F4D06"/>
    <w:rsid w:val="00615413"/>
    <w:rsid w:val="00617B9D"/>
    <w:rsid w:val="00621ECD"/>
    <w:rsid w:val="00632D21"/>
    <w:rsid w:val="00682323"/>
    <w:rsid w:val="00686F8C"/>
    <w:rsid w:val="006A3474"/>
    <w:rsid w:val="006A442A"/>
    <w:rsid w:val="006B2630"/>
    <w:rsid w:val="006B33F2"/>
    <w:rsid w:val="006B726E"/>
    <w:rsid w:val="006B796A"/>
    <w:rsid w:val="006C00A1"/>
    <w:rsid w:val="006C7A0E"/>
    <w:rsid w:val="006D056E"/>
    <w:rsid w:val="006E1D1A"/>
    <w:rsid w:val="006E302E"/>
    <w:rsid w:val="006E5A26"/>
    <w:rsid w:val="006F032D"/>
    <w:rsid w:val="006F7F3C"/>
    <w:rsid w:val="007008CC"/>
    <w:rsid w:val="00720F69"/>
    <w:rsid w:val="007249E8"/>
    <w:rsid w:val="00753C27"/>
    <w:rsid w:val="00756BFE"/>
    <w:rsid w:val="00765E7F"/>
    <w:rsid w:val="007675EC"/>
    <w:rsid w:val="00776382"/>
    <w:rsid w:val="00777992"/>
    <w:rsid w:val="00780C47"/>
    <w:rsid w:val="007828EC"/>
    <w:rsid w:val="007B5B1C"/>
    <w:rsid w:val="007C0D15"/>
    <w:rsid w:val="007C19E2"/>
    <w:rsid w:val="007C6A52"/>
    <w:rsid w:val="007C756E"/>
    <w:rsid w:val="007D0340"/>
    <w:rsid w:val="007F38C4"/>
    <w:rsid w:val="00817878"/>
    <w:rsid w:val="00824BB5"/>
    <w:rsid w:val="00833A6A"/>
    <w:rsid w:val="00840801"/>
    <w:rsid w:val="008514F3"/>
    <w:rsid w:val="00863FEA"/>
    <w:rsid w:val="008660BC"/>
    <w:rsid w:val="00876737"/>
    <w:rsid w:val="00890D83"/>
    <w:rsid w:val="008A3FCB"/>
    <w:rsid w:val="008A704B"/>
    <w:rsid w:val="008A745E"/>
    <w:rsid w:val="008B16E9"/>
    <w:rsid w:val="008B56E2"/>
    <w:rsid w:val="008D4B6B"/>
    <w:rsid w:val="008E2E04"/>
    <w:rsid w:val="009071A6"/>
    <w:rsid w:val="00917492"/>
    <w:rsid w:val="009206AE"/>
    <w:rsid w:val="00944DAD"/>
    <w:rsid w:val="009463CD"/>
    <w:rsid w:val="009513B9"/>
    <w:rsid w:val="0095218E"/>
    <w:rsid w:val="00952AB3"/>
    <w:rsid w:val="00960955"/>
    <w:rsid w:val="0096553A"/>
    <w:rsid w:val="009664DF"/>
    <w:rsid w:val="00980EDB"/>
    <w:rsid w:val="0098149B"/>
    <w:rsid w:val="00984F2A"/>
    <w:rsid w:val="00984FFB"/>
    <w:rsid w:val="009A4D65"/>
    <w:rsid w:val="009B4C42"/>
    <w:rsid w:val="009C687D"/>
    <w:rsid w:val="00A00C87"/>
    <w:rsid w:val="00A01C6F"/>
    <w:rsid w:val="00A0347D"/>
    <w:rsid w:val="00A03AB8"/>
    <w:rsid w:val="00A077F3"/>
    <w:rsid w:val="00A23AAE"/>
    <w:rsid w:val="00A34921"/>
    <w:rsid w:val="00A4647A"/>
    <w:rsid w:val="00A50604"/>
    <w:rsid w:val="00A53524"/>
    <w:rsid w:val="00A65DBC"/>
    <w:rsid w:val="00A729FB"/>
    <w:rsid w:val="00A73928"/>
    <w:rsid w:val="00A74143"/>
    <w:rsid w:val="00A7651F"/>
    <w:rsid w:val="00A904B7"/>
    <w:rsid w:val="00A9624F"/>
    <w:rsid w:val="00A9754C"/>
    <w:rsid w:val="00A97C29"/>
    <w:rsid w:val="00AD5143"/>
    <w:rsid w:val="00AF477D"/>
    <w:rsid w:val="00AF6B48"/>
    <w:rsid w:val="00B00883"/>
    <w:rsid w:val="00B06A26"/>
    <w:rsid w:val="00B12E41"/>
    <w:rsid w:val="00B1437B"/>
    <w:rsid w:val="00B50AE0"/>
    <w:rsid w:val="00B50F11"/>
    <w:rsid w:val="00B51C2C"/>
    <w:rsid w:val="00B56BC8"/>
    <w:rsid w:val="00B56BD0"/>
    <w:rsid w:val="00B62F69"/>
    <w:rsid w:val="00B66FF7"/>
    <w:rsid w:val="00B74907"/>
    <w:rsid w:val="00B7701F"/>
    <w:rsid w:val="00B776C0"/>
    <w:rsid w:val="00B83C74"/>
    <w:rsid w:val="00B9569E"/>
    <w:rsid w:val="00B961AA"/>
    <w:rsid w:val="00B97A1D"/>
    <w:rsid w:val="00BA49F7"/>
    <w:rsid w:val="00BC7080"/>
    <w:rsid w:val="00BF270C"/>
    <w:rsid w:val="00C04C19"/>
    <w:rsid w:val="00C15FD0"/>
    <w:rsid w:val="00C27F72"/>
    <w:rsid w:val="00C31511"/>
    <w:rsid w:val="00C344D3"/>
    <w:rsid w:val="00C438AC"/>
    <w:rsid w:val="00C46BD7"/>
    <w:rsid w:val="00C53C66"/>
    <w:rsid w:val="00C55B15"/>
    <w:rsid w:val="00C5693A"/>
    <w:rsid w:val="00C71538"/>
    <w:rsid w:val="00C73886"/>
    <w:rsid w:val="00C81096"/>
    <w:rsid w:val="00CC3B99"/>
    <w:rsid w:val="00CE426C"/>
    <w:rsid w:val="00D0073E"/>
    <w:rsid w:val="00D050D6"/>
    <w:rsid w:val="00D07794"/>
    <w:rsid w:val="00D3025D"/>
    <w:rsid w:val="00D37D75"/>
    <w:rsid w:val="00D548DD"/>
    <w:rsid w:val="00D60E78"/>
    <w:rsid w:val="00D652C3"/>
    <w:rsid w:val="00D70E64"/>
    <w:rsid w:val="00D71838"/>
    <w:rsid w:val="00D7410F"/>
    <w:rsid w:val="00D942D2"/>
    <w:rsid w:val="00DB0D52"/>
    <w:rsid w:val="00DB4C85"/>
    <w:rsid w:val="00DC333F"/>
    <w:rsid w:val="00DC776F"/>
    <w:rsid w:val="00DC79E6"/>
    <w:rsid w:val="00DE0C61"/>
    <w:rsid w:val="00DF4815"/>
    <w:rsid w:val="00E17DA2"/>
    <w:rsid w:val="00E223CB"/>
    <w:rsid w:val="00E231AF"/>
    <w:rsid w:val="00E30CF3"/>
    <w:rsid w:val="00E35870"/>
    <w:rsid w:val="00E416AB"/>
    <w:rsid w:val="00E43611"/>
    <w:rsid w:val="00E51A27"/>
    <w:rsid w:val="00E53871"/>
    <w:rsid w:val="00E65D29"/>
    <w:rsid w:val="00E71818"/>
    <w:rsid w:val="00E76182"/>
    <w:rsid w:val="00E80B1A"/>
    <w:rsid w:val="00E8735F"/>
    <w:rsid w:val="00EA2ACD"/>
    <w:rsid w:val="00EA7CED"/>
    <w:rsid w:val="00EB2007"/>
    <w:rsid w:val="00ED1359"/>
    <w:rsid w:val="00ED1C61"/>
    <w:rsid w:val="00EE29B1"/>
    <w:rsid w:val="00EF7DF5"/>
    <w:rsid w:val="00F03619"/>
    <w:rsid w:val="00F1060D"/>
    <w:rsid w:val="00F10687"/>
    <w:rsid w:val="00F176A9"/>
    <w:rsid w:val="00F46C07"/>
    <w:rsid w:val="00F47659"/>
    <w:rsid w:val="00F51711"/>
    <w:rsid w:val="00F558F0"/>
    <w:rsid w:val="00F56D90"/>
    <w:rsid w:val="00F63246"/>
    <w:rsid w:val="00F63A4D"/>
    <w:rsid w:val="00F66B01"/>
    <w:rsid w:val="00F674FF"/>
    <w:rsid w:val="00F83FAA"/>
    <w:rsid w:val="00FB221D"/>
    <w:rsid w:val="00FD52ED"/>
    <w:rsid w:val="00FE5E6D"/>
    <w:rsid w:val="00FF33B8"/>
    <w:rsid w:val="00FF54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A4647A"/>
    <w:pPr>
      <w:spacing w:after="0" w:line="240" w:lineRule="auto"/>
    </w:pPr>
  </w:style>
  <w:style w:type="character" w:styleId="Hyperlink">
    <w:name w:val="Hyperlink"/>
    <w:basedOn w:val="DefaultParagraphFont"/>
    <w:uiPriority w:val="99"/>
    <w:unhideWhenUsed/>
    <w:rsid w:val="000A5B66"/>
    <w:rPr>
      <w:color w:val="0563C1" w:themeColor="hyperlink"/>
      <w:u w:val="single"/>
    </w:rPr>
  </w:style>
  <w:style w:type="character" w:customStyle="1" w:styleId="normaltextrun">
    <w:name w:val="normaltextrun"/>
    <w:basedOn w:val="DefaultParagraphFont"/>
    <w:rsid w:val="00AD5143"/>
  </w:style>
  <w:style w:type="character" w:customStyle="1" w:styleId="eop">
    <w:name w:val="eop"/>
    <w:basedOn w:val="DefaultParagraphFont"/>
    <w:rsid w:val="000E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4518A35B-0CA3-4E77-81A7-5ED1A8D8F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BE775-C546-4E17-9911-00FA5D227D46}">
  <ds:schemaRefs>
    <ds:schemaRef ds:uri="http://schemas.openxmlformats.org/officeDocument/2006/bibliography"/>
  </ds:schemaRefs>
</ds:datastoreItem>
</file>

<file path=customXml/itemProps3.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4.xml><?xml version="1.0" encoding="utf-8"?>
<ds:datastoreItem xmlns:ds="http://schemas.openxmlformats.org/officeDocument/2006/customXml" ds:itemID="{043DEBB1-BB22-4528-ABF5-F2744208F306}">
  <ds:schemaRefs>
    <ds:schemaRef ds:uri="http://www.w3.org/XML/1998/namespace"/>
    <ds:schemaRef ds:uri="http://purl.org/dc/dcmitype/"/>
    <ds:schemaRef ds:uri="http://schemas.openxmlformats.org/package/2006/metadata/core-properties"/>
    <ds:schemaRef ds:uri="http://schemas.microsoft.com/office/2006/documentManagement/types"/>
    <ds:schemaRef ds:uri="10d82443-09d3-40b0-8c83-26301ffc3ad6"/>
    <ds:schemaRef ds:uri="http://purl.org/dc/terms/"/>
    <ds:schemaRef ds:uri="http://purl.org/dc/elements/1.1/"/>
    <ds:schemaRef ds:uri="http://schemas.microsoft.com/office/infopath/2007/PartnerControls"/>
    <ds:schemaRef ds:uri="ee1859fd-5c03-4aad-a8ae-84688b43cbd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800</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69</cp:revision>
  <dcterms:created xsi:type="dcterms:W3CDTF">2025-08-19T10:06:00Z</dcterms:created>
  <dcterms:modified xsi:type="dcterms:W3CDTF">2025-12-22T09:56:00Z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779c4777-4124-410d-a1b8-6cc87ebf8fc8</vt:lpwstr>
  </property>
  <property fmtid="{D5CDD505-2E9C-101B-9397-08002B2CF9AE}" pid="4" name="MediaServiceImageTags">
    <vt:lpwstr/>
  </property>
</Properties>
</file>