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0ACFAA78" w:rsidR="00DA481E" w:rsidRPr="00884C6E" w:rsidRDefault="001D6E90" w:rsidP="001D6E90">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Pr>
          <w:rFonts w:ascii="Times New Roman" w:hAnsi="Times New Roman" w:cs="Times New Roman"/>
          <w:i/>
          <w:sz w:val="24"/>
          <w:szCs w:val="24"/>
          <w:lang w:val="lt-LT"/>
        </w:rPr>
        <w:t>Projektas</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6DD417E3"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pavadinimas: </w:t>
      </w:r>
      <w:r w:rsidRPr="00884C6E">
        <w:rPr>
          <w:rFonts w:ascii="Times New Roman" w:hAnsi="Times New Roman" w:cs="Times New Roman"/>
          <w:color w:val="FF0000"/>
          <w:sz w:val="24"/>
          <w:szCs w:val="24"/>
          <w:lang w:val="lt-LT"/>
        </w:rPr>
        <w:t>įrašyti</w:t>
      </w:r>
    </w:p>
    <w:p w14:paraId="7CA558EC"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125DA58A"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Atsiskaitomosios sąskaitos numeris </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B6027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A6641"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19438"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420028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B0EF61A"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09D4132C" w:rsidR="00DA481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7F02A5F" w14:textId="43963882"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5029D54" w14:textId="005A920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A01F2F" w14:textId="2D8F6DC5"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272F867" w14:textId="3FB07F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1165EAD" w14:textId="023B156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FAFC789" w14:textId="0586AD7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AB863ED" w14:textId="2EDE44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FF4E950" w14:textId="11A76D5E"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F1B77AD" w14:textId="3BCB2175"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ACF57C6" w14:textId="77777777"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DD4D37A" w14:textId="38C1AEA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9556958" w14:textId="77777777" w:rsidR="00ED7BAA" w:rsidRPr="00884C6E"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75264F0"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215B1" w:rsidRPr="00884C6E">
        <w:rPr>
          <w:rFonts w:ascii="Times New Roman" w:hAnsi="Times New Roman" w:cs="Times New Roman"/>
          <w:b/>
          <w:sz w:val="24"/>
          <w:szCs w:val="24"/>
          <w:lang w:val="lt-LT"/>
        </w:rPr>
        <w:t xml:space="preserve"> </w:t>
      </w:r>
      <w:r w:rsidR="005E408D" w:rsidRPr="002E33E1">
        <w:rPr>
          <w:rFonts w:ascii="Times New Roman" w:hAnsi="Times New Roman"/>
          <w:bCs/>
          <w:sz w:val="24"/>
          <w:szCs w:val="24"/>
          <w:lang w:val="lt-LT"/>
        </w:rPr>
        <w:t>Sutvirtinto grunto įrengimas ir augmenijos valymas projekte „Pakrantės prieinamumo ir infrastruktūros gerinimas Lūšių ežere“</w:t>
      </w:r>
      <w:r w:rsidR="002E33E1">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C408BD7"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E154C">
        <w:rPr>
          <w:rFonts w:ascii="Times New Roman" w:hAnsi="Times New Roman" w:cs="Times New Roman"/>
          <w:b/>
          <w:bCs/>
          <w:color w:val="000000" w:themeColor="text1"/>
          <w:sz w:val="24"/>
          <w:szCs w:val="24"/>
          <w:lang w:val="lt-LT"/>
        </w:rPr>
        <w:t xml:space="preserve"> </w:t>
      </w:r>
      <w:r w:rsidR="008E154C" w:rsidRPr="008E154C">
        <w:rPr>
          <w:rFonts w:ascii="Times New Roman" w:hAnsi="Times New Roman" w:cs="Times New Roman"/>
          <w:color w:val="000000" w:themeColor="text1"/>
          <w:sz w:val="24"/>
          <w:szCs w:val="24"/>
          <w:lang w:val="lt-LT"/>
        </w:rPr>
        <w:t>Lūšių ež., Palūšės k., Ignalinos r.</w:t>
      </w:r>
    </w:p>
    <w:p w14:paraId="647C7BAD" w14:textId="591B5282"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ne ilgiau kaip per </w:t>
      </w:r>
      <w:r w:rsidR="00D761CE">
        <w:rPr>
          <w:rFonts w:ascii="Times New Roman" w:hAnsi="Times New Roman" w:cs="Times New Roman"/>
          <w:sz w:val="24"/>
          <w:szCs w:val="24"/>
          <w:lang w:val="lt-LT"/>
        </w:rPr>
        <w:t>180</w:t>
      </w:r>
      <w:r w:rsidRPr="00884C6E">
        <w:rPr>
          <w:rFonts w:ascii="Times New Roman" w:hAnsi="Times New Roman" w:cs="Times New Roman"/>
          <w:sz w:val="24"/>
          <w:szCs w:val="24"/>
          <w:lang w:val="lt-LT"/>
        </w:rPr>
        <w:t xml:space="preserve"> (</w:t>
      </w:r>
      <w:r w:rsidR="00D761CE">
        <w:rPr>
          <w:rFonts w:ascii="Times New Roman" w:hAnsi="Times New Roman" w:cs="Times New Roman"/>
          <w:sz w:val="24"/>
          <w:szCs w:val="24"/>
          <w:lang w:val="lt-LT"/>
        </w:rPr>
        <w:t>šimtas aštuoniasdešimt</w:t>
      </w:r>
      <w:r w:rsidRPr="00884C6E">
        <w:rPr>
          <w:rFonts w:ascii="Times New Roman" w:hAnsi="Times New Roman" w:cs="Times New Roman"/>
          <w:sz w:val="24"/>
          <w:szCs w:val="24"/>
          <w:lang w:val="lt-LT"/>
        </w:rPr>
        <w:t>) kalendorinių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24492545" w:rsidR="00DA481E" w:rsidRPr="00884C6E" w:rsidRDefault="002D2027"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0999F76" w:rsidR="00DA481E" w:rsidRPr="00431C1A"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475171">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w:t>
      </w:r>
      <w:r w:rsidRPr="00884C6E">
        <w:rPr>
          <w:rFonts w:ascii="Times New Roman" w:hAnsi="Times New Roman" w:cs="Times New Roman"/>
          <w:sz w:val="24"/>
          <w:szCs w:val="24"/>
          <w:lang w:val="lt-LT"/>
        </w:rPr>
        <w:lastRenderedPageBreak/>
        <w:t xml:space="preserve">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CF3677"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3AB976F1" w:rsidR="00CF3677" w:rsidRPr="00AD7B58" w:rsidRDefault="00CB6EF8" w:rsidP="00CF3677">
            <w:pPr>
              <w:widowControl w:val="0"/>
              <w:rPr>
                <w:color w:val="FF0000"/>
                <w:lang w:val="lt-LT"/>
              </w:rPr>
            </w:pPr>
            <w:r w:rsidRPr="002E33E1">
              <w:rPr>
                <w:bCs/>
                <w:szCs w:val="24"/>
                <w:lang w:val="lt-LT"/>
              </w:rPr>
              <w:t xml:space="preserve">Sutvirtinto grunto </w:t>
            </w:r>
            <w:r w:rsidR="001E240B">
              <w:rPr>
                <w:bCs/>
                <w:szCs w:val="24"/>
                <w:lang w:val="lt-LT"/>
              </w:rPr>
              <w:t>dangos</w:t>
            </w:r>
            <w:r w:rsidR="00564CBC">
              <w:rPr>
                <w:bCs/>
                <w:szCs w:val="24"/>
                <w:lang w:val="lt-LT"/>
              </w:rPr>
              <w:t xml:space="preserve"> takų</w:t>
            </w:r>
            <w:r w:rsidR="001E240B">
              <w:rPr>
                <w:bCs/>
                <w:szCs w:val="24"/>
                <w:lang w:val="lt-LT"/>
              </w:rPr>
              <w:t>, aikštelės</w:t>
            </w:r>
            <w:r w:rsidR="00F74729">
              <w:rPr>
                <w:bCs/>
                <w:szCs w:val="24"/>
                <w:lang w:val="lt-LT"/>
              </w:rPr>
              <w:t xml:space="preserve"> </w:t>
            </w:r>
            <w:r w:rsidRPr="002E33E1">
              <w:rPr>
                <w:bCs/>
                <w:szCs w:val="24"/>
                <w:lang w:val="lt-LT"/>
              </w:rPr>
              <w:t>įrengimas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CF3677" w:rsidRPr="00884C6E" w:rsidRDefault="00CF3677" w:rsidP="00CF3677">
            <w:pPr>
              <w:widowControl w:val="0"/>
              <w:rPr>
                <w:color w:val="FF0000"/>
                <w:lang w:val="lt-LT"/>
              </w:rPr>
            </w:pPr>
            <w:r w:rsidRPr="00884C6E">
              <w:rPr>
                <w:color w:val="FF0000"/>
                <w:lang w:val="lt-LT"/>
              </w:rPr>
              <w:t>įrašyti</w:t>
            </w:r>
          </w:p>
        </w:tc>
      </w:tr>
      <w:tr w:rsidR="00F74729" w:rsidRPr="00884C6E" w14:paraId="7E344A00"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0AD6BF4E" w14:textId="3838D7F8" w:rsidR="00F74729" w:rsidRPr="00884C6E" w:rsidRDefault="003948F1"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6B75D353" w14:textId="28F755F6" w:rsidR="00F74729" w:rsidRPr="002E33E1" w:rsidRDefault="00290EC3" w:rsidP="00CF3677">
            <w:pPr>
              <w:widowControl w:val="0"/>
              <w:rPr>
                <w:bCs/>
                <w:szCs w:val="24"/>
                <w:lang w:val="lt-LT"/>
              </w:rPr>
            </w:pPr>
            <w:r>
              <w:rPr>
                <w:bCs/>
                <w:szCs w:val="24"/>
                <w:lang w:val="lt-LT"/>
              </w:rPr>
              <w:t>Vandens a</w:t>
            </w:r>
            <w:r w:rsidR="00F74729" w:rsidRPr="002E33E1">
              <w:rPr>
                <w:bCs/>
                <w:szCs w:val="24"/>
                <w:lang w:val="lt-LT"/>
              </w:rPr>
              <w:t>ugmenijos valymas</w:t>
            </w:r>
          </w:p>
        </w:tc>
        <w:tc>
          <w:tcPr>
            <w:tcW w:w="1911" w:type="dxa"/>
            <w:tcBorders>
              <w:top w:val="single" w:sz="4" w:space="0" w:color="auto"/>
              <w:left w:val="single" w:sz="4" w:space="0" w:color="auto"/>
              <w:bottom w:val="single" w:sz="4" w:space="0" w:color="auto"/>
              <w:right w:val="single" w:sz="4" w:space="0" w:color="auto"/>
            </w:tcBorders>
          </w:tcPr>
          <w:p w14:paraId="2238F5A4" w14:textId="153AB441" w:rsidR="00F74729" w:rsidRPr="00884C6E" w:rsidRDefault="00290EC3" w:rsidP="00CF3677">
            <w:pPr>
              <w:widowControl w:val="0"/>
              <w:rPr>
                <w:color w:val="FF0000"/>
                <w:lang w:val="lt-LT"/>
              </w:rPr>
            </w:pPr>
            <w:r w:rsidRPr="00884C6E">
              <w:rPr>
                <w:color w:val="FF0000"/>
                <w:lang w:val="lt-LT"/>
              </w:rPr>
              <w:t>įrašyti</w:t>
            </w:r>
          </w:p>
        </w:tc>
      </w:tr>
      <w:tr w:rsidR="00CF3677"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6ADC4301" w:rsidR="00CF3677" w:rsidRPr="00884C6E" w:rsidRDefault="003948F1"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3</w:t>
            </w:r>
            <w:r w:rsidR="00CF3677" w:rsidRPr="00884C6E">
              <w:rPr>
                <w:rFonts w:ascii="Times New Roman" w:hAnsi="Times New Roman" w:cs="Times New Roman"/>
                <w:sz w:val="24"/>
                <w:szCs w:val="24"/>
                <w:lang w:val="lt-LT"/>
              </w:rPr>
              <w:t>.</w:t>
            </w:r>
          </w:p>
        </w:tc>
        <w:tc>
          <w:tcPr>
            <w:tcW w:w="6877" w:type="dxa"/>
            <w:tcBorders>
              <w:top w:val="single" w:sz="4" w:space="0" w:color="auto"/>
              <w:left w:val="single" w:sz="4" w:space="0" w:color="auto"/>
              <w:bottom w:val="single" w:sz="4" w:space="0" w:color="auto"/>
              <w:right w:val="single" w:sz="4" w:space="0" w:color="auto"/>
            </w:tcBorders>
          </w:tcPr>
          <w:p w14:paraId="191B0962" w14:textId="222DE211" w:rsidR="00CF3677" w:rsidRPr="006C1478" w:rsidRDefault="006C1478" w:rsidP="00CF3677">
            <w:pPr>
              <w:widowControl w:val="0"/>
              <w:rPr>
                <w:color w:val="FF0000"/>
                <w:lang w:val="lt-LT"/>
              </w:rPr>
            </w:pPr>
            <w:r w:rsidRPr="00C769AE">
              <w:rPr>
                <w:szCs w:val="24"/>
                <w:lang w:val="lt-LT"/>
              </w:rPr>
              <w:t>Išpildomųjų nuotraukų</w:t>
            </w:r>
            <w:r w:rsidR="00C769AE" w:rsidRPr="00C769AE">
              <w:rPr>
                <w:szCs w:val="24"/>
                <w:lang w:val="lt-LT"/>
              </w:rPr>
              <w:t xml:space="preserve"> </w:t>
            </w:r>
            <w:r w:rsidRPr="00C769AE">
              <w:rPr>
                <w:szCs w:val="24"/>
                <w:lang w:val="lt-LT"/>
              </w:rPr>
              <w:t xml:space="preserve">ir kadastrinių matavimų bylos </w:t>
            </w:r>
            <w:r w:rsidR="00C769AE" w:rsidRPr="006C1478">
              <w:rPr>
                <w:szCs w:val="24"/>
                <w:lang w:val="pt-BR"/>
              </w:rPr>
              <w:t>parengimas</w:t>
            </w:r>
            <w:r w:rsidRPr="00C769AE">
              <w:rPr>
                <w:szCs w:val="24"/>
                <w:lang w:val="lt-LT"/>
              </w:rPr>
              <w:t>, patikros atlikimas registracijai VĮ Registrų centre</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CF3677" w:rsidRPr="00884C6E" w:rsidRDefault="00CF3677" w:rsidP="00CF3677">
            <w:pPr>
              <w:widowControl w:val="0"/>
              <w:rPr>
                <w:color w:val="FF0000"/>
                <w:lang w:val="lt-LT"/>
              </w:rPr>
            </w:pPr>
            <w:r w:rsidRPr="00884C6E">
              <w:rPr>
                <w:color w:val="FF0000"/>
                <w:lang w:val="lt-LT"/>
              </w:rPr>
              <w:t>įrašyti</w:t>
            </w:r>
          </w:p>
        </w:tc>
      </w:tr>
      <w:tr w:rsidR="00DA481E"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AD7B58"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884C6E" w:rsidRDefault="00DA481E" w:rsidP="009C6BB8">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 xml:space="preserve">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w:t>
      </w:r>
      <w:r w:rsidRPr="00884C6E">
        <w:rPr>
          <w:rFonts w:ascii="Times New Roman" w:hAnsi="Times New Roman" w:cs="Times New Roman"/>
          <w:sz w:val="24"/>
          <w:szCs w:val="24"/>
          <w:lang w:val="lt-LT"/>
        </w:rPr>
        <w:lastRenderedPageBreak/>
        <w:t>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726BA0F0" w14:textId="52926C85"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66833555" w14:textId="40BF2DBA" w:rsidR="00834F61" w:rsidRPr="00E2508A" w:rsidRDefault="00ED7BAA" w:rsidP="00E2508A">
      <w:pPr>
        <w:jc w:val="both"/>
        <w:rPr>
          <w:color w:val="000000" w:themeColor="text1"/>
          <w:spacing w:val="3"/>
          <w:szCs w:val="24"/>
          <w:shd w:val="clear" w:color="auto" w:fill="FFFFFF"/>
          <w:lang w:val="lt-LT"/>
        </w:rPr>
      </w:pPr>
      <w:r w:rsidRPr="00ED7BAA">
        <w:rPr>
          <w:szCs w:val="24"/>
          <w:lang w:val="lt-LT"/>
        </w:rPr>
        <w:t xml:space="preserve">                    </w:t>
      </w:r>
      <w:r w:rsidR="002D4A2E" w:rsidRPr="00ED7BAA">
        <w:rPr>
          <w:szCs w:val="24"/>
          <w:lang w:val="lt-LT"/>
        </w:rPr>
        <w:t>26.</w:t>
      </w:r>
      <w:r w:rsidR="00E2508A">
        <w:rPr>
          <w:rStyle w:val="Hipersaitas"/>
          <w:color w:val="000000" w:themeColor="text1"/>
          <w:spacing w:val="3"/>
          <w:szCs w:val="24"/>
          <w:u w:val="none"/>
          <w:shd w:val="clear" w:color="auto" w:fill="FFFFFF"/>
          <w:lang w:val="lt-LT"/>
        </w:rPr>
        <w:t xml:space="preserve"> </w:t>
      </w:r>
      <w:r w:rsidR="00431C1A" w:rsidRPr="00E2508A">
        <w:rPr>
          <w:szCs w:val="24"/>
          <w:lang w:val="lt-LT"/>
        </w:rPr>
        <w:t>S</w:t>
      </w:r>
      <w:r w:rsidR="00431C1A" w:rsidRPr="00E2508A">
        <w:rPr>
          <w:color w:val="000000" w:themeColor="text1"/>
          <w:szCs w:val="24"/>
          <w:lang w:val="lt-LT"/>
        </w:rPr>
        <w:t xml:space="preserve">tatybinės medžiagos turi atitikti Aplinkos apsaugos kriterijų, patvirtintų </w:t>
      </w:r>
      <w:hyperlink r:id="rId8" w:history="1">
        <w:r w:rsidR="00431C1A" w:rsidRPr="00E2508A">
          <w:rPr>
            <w:rStyle w:val="Hipersaitas"/>
            <w:rFonts w:eastAsiaTheme="majorEastAsia"/>
            <w:color w:val="000000" w:themeColor="text1"/>
            <w:spacing w:val="3"/>
            <w:szCs w:val="24"/>
            <w:u w:val="none"/>
            <w:shd w:val="clear" w:color="auto" w:fill="FFFFFF"/>
            <w:lang w:val="lt-LT"/>
          </w:rPr>
          <w:t>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w:t>
        </w:r>
      </w:hyperlink>
      <w:bookmarkStart w:id="0" w:name="part_74494362601846a0a3567df9b6a90311"/>
      <w:bookmarkEnd w:id="0"/>
      <w:r w:rsidR="00431C1A" w:rsidRPr="00E2508A">
        <w:rPr>
          <w:color w:val="000000" w:themeColor="text1"/>
          <w:szCs w:val="24"/>
          <w:lang w:val="lt-LT"/>
        </w:rPr>
        <w:t xml:space="preserve"> </w:t>
      </w:r>
      <w:r w:rsidR="00431C1A" w:rsidRPr="00E2508A">
        <w:rPr>
          <w:color w:val="000000" w:themeColor="text1"/>
          <w:szCs w:val="24"/>
          <w:lang w:val="lt-LT" w:eastAsia="lt-LT"/>
        </w:rPr>
        <w:t xml:space="preserve"> 2 priedo XIII skyriaus 17, 20 punktuose taikomus  aplinkosauginius reikalavimus.</w:t>
      </w:r>
    </w:p>
    <w:p w14:paraId="2B99E38C" w14:textId="52A1EA39" w:rsidR="00431C1A" w:rsidRPr="00431C1A" w:rsidRDefault="00431C1A" w:rsidP="008A17BB">
      <w:pPr>
        <w:jc w:val="both"/>
        <w:rPr>
          <w:rStyle w:val="Hipersaitas"/>
          <w:color w:val="000000" w:themeColor="text1"/>
          <w:spacing w:val="3"/>
          <w:szCs w:val="24"/>
          <w:u w:val="none"/>
          <w:shd w:val="clear" w:color="auto" w:fill="FFFFFF"/>
          <w:lang w:val="lt-LT"/>
        </w:rPr>
      </w:pPr>
    </w:p>
    <w:p w14:paraId="492AA0FD" w14:textId="77777777" w:rsidR="008A17BB" w:rsidRPr="00431C1A" w:rsidRDefault="008A17BB" w:rsidP="008A17BB">
      <w:pPr>
        <w:jc w:val="both"/>
        <w:rPr>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9"/>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1"/>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62.</w:t>
      </w:r>
      <w:r w:rsidRPr="00884C6E">
        <w:rPr>
          <w:rFonts w:ascii="Times New Roman" w:hAnsi="Times New Roman" w:cs="Times New Roman"/>
          <w:sz w:val="24"/>
          <w:szCs w:val="24"/>
          <w:lang w:val="lt-LT"/>
        </w:rPr>
        <w:tab/>
        <w:t xml:space="preserve">Elektroninės sąskaitos teikiamos per sistemą „E. sąskaita“ adresu </w:t>
      </w:r>
      <w:hyperlink r:id="rId10" w:history="1">
        <w:r w:rsidRPr="00884C6E">
          <w:rPr>
            <w:rStyle w:val="Hipersaitas"/>
            <w:rFonts w:ascii="Times New Roman" w:hAnsi="Times New Roman" w:cs="Times New Roman"/>
            <w:szCs w:val="24"/>
            <w:lang w:val="lt-LT"/>
          </w:rPr>
          <w:t>https://www.esaskaita.eu/</w:t>
        </w:r>
      </w:hyperlink>
      <w:r w:rsidRPr="00884C6E">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2"/>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3"/>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544A27" w14:textId="77777777" w:rsidR="008805A3" w:rsidRDefault="008805A3"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0ACC1E1" w14:textId="77777777" w:rsidR="00F318E1" w:rsidRPr="00884C6E" w:rsidRDefault="00F318E1"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2 priedo dalis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419"/>
        <w:gridCol w:w="1134"/>
        <w:gridCol w:w="1417"/>
        <w:gridCol w:w="1665"/>
        <w:gridCol w:w="944"/>
        <w:gridCol w:w="942"/>
        <w:gridCol w:w="940"/>
        <w:gridCol w:w="940"/>
      </w:tblGrid>
      <w:tr w:rsidR="00B310E3" w:rsidRPr="00884C6E" w14:paraId="5BF4977C" w14:textId="77777777" w:rsidTr="00313EDF">
        <w:trPr>
          <w:trHeight w:val="355"/>
        </w:trPr>
        <w:tc>
          <w:tcPr>
            <w:tcW w:w="298" w:type="pct"/>
            <w:vMerge w:val="restart"/>
            <w:vAlign w:val="center"/>
          </w:tcPr>
          <w:p w14:paraId="006249B3" w14:textId="77777777" w:rsidR="00B310E3" w:rsidRDefault="00B310E3" w:rsidP="009C6BB8">
            <w:pPr>
              <w:widowControl w:val="0"/>
              <w:ind w:right="-113"/>
              <w:jc w:val="center"/>
              <w:rPr>
                <w:b/>
                <w:lang w:val="lt-LT"/>
              </w:rPr>
            </w:pPr>
            <w:r w:rsidRPr="00884C6E">
              <w:rPr>
                <w:b/>
                <w:lang w:val="lt-LT"/>
              </w:rPr>
              <w:t xml:space="preserve">Eil. </w:t>
            </w:r>
          </w:p>
          <w:p w14:paraId="257D083E" w14:textId="5CB755C5" w:rsidR="00B310E3" w:rsidRPr="00884C6E" w:rsidRDefault="00B310E3" w:rsidP="009C6BB8">
            <w:pPr>
              <w:widowControl w:val="0"/>
              <w:ind w:right="-113"/>
              <w:jc w:val="center"/>
              <w:rPr>
                <w:b/>
                <w:iCs/>
                <w:lang w:val="lt-LT"/>
              </w:rPr>
            </w:pPr>
            <w:r w:rsidRPr="00884C6E">
              <w:rPr>
                <w:b/>
                <w:lang w:val="lt-LT"/>
              </w:rPr>
              <w:t>Nr.</w:t>
            </w:r>
          </w:p>
        </w:tc>
        <w:tc>
          <w:tcPr>
            <w:tcW w:w="710" w:type="pct"/>
            <w:vMerge w:val="restart"/>
            <w:vAlign w:val="center"/>
          </w:tcPr>
          <w:p w14:paraId="48B1F7AF" w14:textId="77777777" w:rsidR="00B310E3" w:rsidRPr="008C4292" w:rsidRDefault="00B310E3" w:rsidP="009C6BB8">
            <w:pPr>
              <w:pStyle w:val="Antrat5"/>
              <w:keepNext w:val="0"/>
              <w:widowControl w:val="0"/>
              <w:numPr>
                <w:ilvl w:val="0"/>
                <w:numId w:val="0"/>
              </w:numPr>
              <w:suppressAutoHyphens/>
              <w:ind w:left="73"/>
              <w:jc w:val="center"/>
              <w:rPr>
                <w:sz w:val="24"/>
                <w:szCs w:val="24"/>
              </w:rPr>
            </w:pPr>
          </w:p>
          <w:p w14:paraId="6E77C126" w14:textId="77777777" w:rsidR="00B310E3" w:rsidRPr="008C4292" w:rsidRDefault="00B310E3" w:rsidP="009C6BB8">
            <w:pPr>
              <w:pStyle w:val="Antrat5"/>
              <w:keepNext w:val="0"/>
              <w:widowControl w:val="0"/>
              <w:numPr>
                <w:ilvl w:val="0"/>
                <w:numId w:val="0"/>
              </w:numPr>
              <w:suppressAutoHyphens/>
              <w:ind w:left="73"/>
              <w:jc w:val="center"/>
              <w:rPr>
                <w:sz w:val="24"/>
                <w:szCs w:val="24"/>
              </w:rPr>
            </w:pPr>
          </w:p>
          <w:p w14:paraId="0339C113" w14:textId="77777777" w:rsidR="00B310E3" w:rsidRPr="008C4292" w:rsidRDefault="00B310E3" w:rsidP="009C6BB8">
            <w:pPr>
              <w:pStyle w:val="Antrat5"/>
              <w:keepNext w:val="0"/>
              <w:widowControl w:val="0"/>
              <w:numPr>
                <w:ilvl w:val="0"/>
                <w:numId w:val="0"/>
              </w:numPr>
              <w:suppressAutoHyphens/>
              <w:ind w:left="73"/>
              <w:jc w:val="center"/>
              <w:rPr>
                <w:sz w:val="24"/>
                <w:szCs w:val="24"/>
              </w:rPr>
            </w:pPr>
          </w:p>
          <w:p w14:paraId="59B0A987" w14:textId="77777777" w:rsidR="00B310E3" w:rsidRPr="008C4292" w:rsidRDefault="00B310E3"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B310E3" w:rsidRPr="008C4292" w:rsidRDefault="00B310E3" w:rsidP="009C6BB8">
            <w:pPr>
              <w:widowControl w:val="0"/>
              <w:ind w:left="73"/>
              <w:jc w:val="center"/>
              <w:rPr>
                <w:lang w:val="lt-LT"/>
              </w:rPr>
            </w:pPr>
          </w:p>
          <w:p w14:paraId="4F8211D1" w14:textId="77777777" w:rsidR="00B310E3" w:rsidRPr="008C4292" w:rsidRDefault="00B310E3" w:rsidP="009C6BB8">
            <w:pPr>
              <w:widowControl w:val="0"/>
              <w:ind w:left="73"/>
              <w:jc w:val="center"/>
              <w:rPr>
                <w:lang w:val="lt-LT"/>
              </w:rPr>
            </w:pPr>
          </w:p>
        </w:tc>
        <w:tc>
          <w:tcPr>
            <w:tcW w:w="3522" w:type="pct"/>
            <w:gridSpan w:val="6"/>
            <w:vAlign w:val="center"/>
          </w:tcPr>
          <w:p w14:paraId="22AD41C2" w14:textId="3D46B66F" w:rsidR="00B310E3" w:rsidRPr="00884C6E" w:rsidRDefault="00B310E3"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470" w:type="pct"/>
            <w:vAlign w:val="center"/>
          </w:tcPr>
          <w:p w14:paraId="2E074910" w14:textId="1079909B" w:rsidR="00B310E3" w:rsidRPr="00884C6E" w:rsidRDefault="00B310E3" w:rsidP="009C6BB8">
            <w:pPr>
              <w:widowControl w:val="0"/>
              <w:jc w:val="center"/>
              <w:rPr>
                <w:b/>
                <w:i/>
                <w:lang w:val="lt-LT"/>
              </w:rPr>
            </w:pPr>
            <w:bookmarkStart w:id="4" w:name="_Toc73434231"/>
            <w:bookmarkStart w:id="5" w:name="_Toc73434344"/>
            <w:bookmarkStart w:id="6" w:name="_Toc76448822"/>
            <w:bookmarkStart w:id="7" w:name="_Toc112567501"/>
          </w:p>
          <w:p w14:paraId="688AB3DE" w14:textId="77777777" w:rsidR="00B310E3" w:rsidRPr="00884C6E" w:rsidRDefault="00B310E3" w:rsidP="009C6BB8">
            <w:pPr>
              <w:widowControl w:val="0"/>
              <w:jc w:val="center"/>
              <w:rPr>
                <w:b/>
                <w:i/>
                <w:lang w:val="lt-LT"/>
              </w:rPr>
            </w:pPr>
            <w:r w:rsidRPr="00884C6E">
              <w:rPr>
                <w:b/>
                <w:i/>
                <w:lang w:val="lt-LT"/>
              </w:rPr>
              <w:t xml:space="preserve">Kaina </w:t>
            </w:r>
            <w:bookmarkStart w:id="8" w:name="_Toc42509141"/>
            <w:r w:rsidRPr="00884C6E">
              <w:rPr>
                <w:b/>
                <w:i/>
                <w:lang w:val="lt-LT"/>
              </w:rPr>
              <w:t>(Eur) be PVM</w:t>
            </w:r>
            <w:bookmarkEnd w:id="4"/>
            <w:bookmarkEnd w:id="5"/>
            <w:bookmarkEnd w:id="6"/>
            <w:bookmarkEnd w:id="7"/>
            <w:bookmarkEnd w:id="8"/>
            <w:r w:rsidRPr="00884C6E">
              <w:rPr>
                <w:b/>
                <w:i/>
                <w:lang w:val="lt-LT"/>
              </w:rPr>
              <w:t xml:space="preserve"> </w:t>
            </w:r>
          </w:p>
          <w:p w14:paraId="2C23294F" w14:textId="77777777" w:rsidR="00B310E3" w:rsidRPr="00884C6E" w:rsidRDefault="00B310E3" w:rsidP="009C6BB8">
            <w:pPr>
              <w:widowControl w:val="0"/>
              <w:jc w:val="center"/>
              <w:rPr>
                <w:i/>
                <w:lang w:val="lt-LT"/>
              </w:rPr>
            </w:pPr>
          </w:p>
        </w:tc>
      </w:tr>
      <w:tr w:rsidR="0019461F" w:rsidRPr="000B213D" w14:paraId="5851A0C0" w14:textId="77777777" w:rsidTr="00313EDF">
        <w:trPr>
          <w:cantSplit/>
          <w:trHeight w:val="1134"/>
        </w:trPr>
        <w:tc>
          <w:tcPr>
            <w:tcW w:w="298" w:type="pct"/>
            <w:vMerge/>
          </w:tcPr>
          <w:p w14:paraId="7C38CB76" w14:textId="77777777" w:rsidR="0019461F" w:rsidRPr="001F3746" w:rsidRDefault="0019461F" w:rsidP="00ED7BAA">
            <w:pPr>
              <w:widowControl w:val="0"/>
              <w:jc w:val="center"/>
              <w:rPr>
                <w:b/>
                <w:bCs/>
                <w:color w:val="000000" w:themeColor="text1"/>
                <w:lang w:val="lt-LT"/>
              </w:rPr>
            </w:pPr>
          </w:p>
        </w:tc>
        <w:tc>
          <w:tcPr>
            <w:tcW w:w="710" w:type="pct"/>
            <w:vMerge/>
            <w:vAlign w:val="center"/>
          </w:tcPr>
          <w:p w14:paraId="29E263BB" w14:textId="77777777" w:rsidR="0019461F" w:rsidRPr="008C4292" w:rsidRDefault="0019461F" w:rsidP="00551A07">
            <w:pPr>
              <w:widowControl w:val="0"/>
              <w:rPr>
                <w:color w:val="000000" w:themeColor="text1"/>
                <w:szCs w:val="24"/>
                <w:lang w:val="lt-LT"/>
              </w:rPr>
            </w:pPr>
          </w:p>
        </w:tc>
        <w:tc>
          <w:tcPr>
            <w:tcW w:w="567" w:type="pct"/>
            <w:textDirection w:val="btLr"/>
          </w:tcPr>
          <w:p w14:paraId="5D598CD7" w14:textId="77777777" w:rsidR="0019461F" w:rsidRDefault="0019461F" w:rsidP="00F318E1">
            <w:pPr>
              <w:widowControl w:val="0"/>
              <w:ind w:left="113" w:right="113"/>
              <w:jc w:val="center"/>
              <w:rPr>
                <w:b/>
                <w:bCs/>
                <w:lang w:val="lt-LT"/>
              </w:rPr>
            </w:pPr>
            <w:r w:rsidRPr="0051061A">
              <w:rPr>
                <w:b/>
                <w:bCs/>
                <w:lang w:val="lt-LT"/>
              </w:rPr>
              <w:t>I</w:t>
            </w:r>
          </w:p>
          <w:p w14:paraId="6B5C0DF7" w14:textId="3D4A1021" w:rsidR="0019461F" w:rsidRPr="0051061A" w:rsidRDefault="0019461F" w:rsidP="00F318E1">
            <w:pPr>
              <w:widowControl w:val="0"/>
              <w:ind w:left="113" w:right="113"/>
              <w:jc w:val="center"/>
              <w:rPr>
                <w:b/>
                <w:bCs/>
                <w:lang w:val="lt-LT"/>
              </w:rPr>
            </w:pPr>
            <w:r w:rsidRPr="0051061A">
              <w:rPr>
                <w:b/>
                <w:bCs/>
                <w:lang w:val="lt-LT"/>
              </w:rPr>
              <w:t>mėnuo</w:t>
            </w:r>
          </w:p>
        </w:tc>
        <w:tc>
          <w:tcPr>
            <w:tcW w:w="709" w:type="pct"/>
            <w:textDirection w:val="btLr"/>
          </w:tcPr>
          <w:p w14:paraId="1F95326A" w14:textId="07B15D49" w:rsidR="0019461F" w:rsidRDefault="0019461F" w:rsidP="00F318E1">
            <w:pPr>
              <w:widowControl w:val="0"/>
              <w:spacing w:before="120"/>
              <w:ind w:left="113" w:right="113"/>
              <w:jc w:val="center"/>
              <w:rPr>
                <w:b/>
                <w:bCs/>
                <w:lang w:val="lt-LT"/>
              </w:rPr>
            </w:pPr>
            <w:r w:rsidRPr="0051061A">
              <w:rPr>
                <w:b/>
                <w:bCs/>
                <w:lang w:val="lt-LT"/>
              </w:rPr>
              <w:t>I</w:t>
            </w:r>
            <w:r>
              <w:rPr>
                <w:b/>
                <w:bCs/>
                <w:lang w:val="lt-LT"/>
              </w:rPr>
              <w:t>I</w:t>
            </w:r>
          </w:p>
          <w:p w14:paraId="23CD5D26" w14:textId="42569B52" w:rsidR="0019461F" w:rsidRPr="00884C6E" w:rsidRDefault="0019461F" w:rsidP="00F318E1">
            <w:pPr>
              <w:widowControl w:val="0"/>
              <w:spacing w:before="120"/>
              <w:ind w:left="113" w:right="113"/>
              <w:jc w:val="center"/>
              <w:rPr>
                <w:lang w:val="lt-LT"/>
              </w:rPr>
            </w:pPr>
            <w:r w:rsidRPr="0051061A">
              <w:rPr>
                <w:b/>
                <w:bCs/>
                <w:lang w:val="lt-LT"/>
              </w:rPr>
              <w:t>mėnuo</w:t>
            </w:r>
          </w:p>
        </w:tc>
        <w:tc>
          <w:tcPr>
            <w:tcW w:w="833" w:type="pct"/>
            <w:textDirection w:val="btLr"/>
          </w:tcPr>
          <w:p w14:paraId="35B46972" w14:textId="405C1282" w:rsidR="0019461F" w:rsidRDefault="0019461F" w:rsidP="00F318E1">
            <w:pPr>
              <w:widowControl w:val="0"/>
              <w:spacing w:before="120"/>
              <w:ind w:left="113" w:right="113"/>
              <w:jc w:val="center"/>
              <w:rPr>
                <w:b/>
                <w:bCs/>
                <w:lang w:val="lt-LT"/>
              </w:rPr>
            </w:pPr>
            <w:r w:rsidRPr="0051061A">
              <w:rPr>
                <w:b/>
                <w:bCs/>
                <w:lang w:val="lt-LT"/>
              </w:rPr>
              <w:t>I</w:t>
            </w:r>
            <w:r>
              <w:rPr>
                <w:b/>
                <w:bCs/>
                <w:lang w:val="lt-LT"/>
              </w:rPr>
              <w:t>II</w:t>
            </w:r>
          </w:p>
          <w:p w14:paraId="3DFB8E4B" w14:textId="7AE99200" w:rsidR="0019461F" w:rsidRPr="00884C6E" w:rsidRDefault="0019461F" w:rsidP="00F318E1">
            <w:pPr>
              <w:widowControl w:val="0"/>
              <w:spacing w:before="120"/>
              <w:ind w:left="113" w:right="113"/>
              <w:jc w:val="center"/>
              <w:rPr>
                <w:lang w:val="lt-LT"/>
              </w:rPr>
            </w:pPr>
            <w:r w:rsidRPr="0051061A">
              <w:rPr>
                <w:b/>
                <w:bCs/>
                <w:lang w:val="lt-LT"/>
              </w:rPr>
              <w:t>mėnuo</w:t>
            </w:r>
          </w:p>
        </w:tc>
        <w:tc>
          <w:tcPr>
            <w:tcW w:w="472" w:type="pct"/>
            <w:textDirection w:val="btLr"/>
          </w:tcPr>
          <w:p w14:paraId="21541C35" w14:textId="3DFD699A" w:rsidR="0019461F" w:rsidRDefault="0019461F" w:rsidP="00B310E3">
            <w:pPr>
              <w:widowControl w:val="0"/>
              <w:spacing w:before="120"/>
              <w:ind w:left="113" w:right="113"/>
              <w:jc w:val="center"/>
              <w:rPr>
                <w:b/>
                <w:bCs/>
                <w:lang w:val="lt-LT"/>
              </w:rPr>
            </w:pPr>
            <w:r w:rsidRPr="0051061A">
              <w:rPr>
                <w:b/>
                <w:bCs/>
                <w:lang w:val="lt-LT"/>
              </w:rPr>
              <w:t>I</w:t>
            </w:r>
            <w:r>
              <w:rPr>
                <w:b/>
                <w:bCs/>
                <w:lang w:val="lt-LT"/>
              </w:rPr>
              <w:t>V</w:t>
            </w:r>
          </w:p>
          <w:p w14:paraId="42F582FD" w14:textId="32CAD165" w:rsidR="0019461F" w:rsidRPr="00884C6E" w:rsidRDefault="0019461F" w:rsidP="00B310E3">
            <w:pPr>
              <w:widowControl w:val="0"/>
              <w:spacing w:before="120"/>
              <w:ind w:left="113" w:right="113"/>
              <w:jc w:val="center"/>
              <w:rPr>
                <w:lang w:val="lt-LT"/>
              </w:rPr>
            </w:pPr>
            <w:r w:rsidRPr="0051061A">
              <w:rPr>
                <w:b/>
                <w:bCs/>
                <w:lang w:val="lt-LT"/>
              </w:rPr>
              <w:t>mėnuo</w:t>
            </w:r>
          </w:p>
        </w:tc>
        <w:tc>
          <w:tcPr>
            <w:tcW w:w="471" w:type="pct"/>
            <w:textDirection w:val="btLr"/>
          </w:tcPr>
          <w:p w14:paraId="70647C49" w14:textId="05B15215" w:rsidR="0019461F" w:rsidRDefault="0019461F" w:rsidP="00B310E3">
            <w:pPr>
              <w:widowControl w:val="0"/>
              <w:spacing w:before="120"/>
              <w:ind w:left="113" w:right="113"/>
              <w:jc w:val="center"/>
              <w:rPr>
                <w:b/>
                <w:bCs/>
                <w:lang w:val="lt-LT"/>
              </w:rPr>
            </w:pPr>
            <w:r>
              <w:rPr>
                <w:b/>
                <w:bCs/>
                <w:lang w:val="lt-LT"/>
              </w:rPr>
              <w:t>V</w:t>
            </w:r>
          </w:p>
          <w:p w14:paraId="44A2C6A0" w14:textId="5A00F5CA" w:rsidR="0019461F" w:rsidRPr="00884C6E" w:rsidRDefault="0019461F" w:rsidP="00B310E3">
            <w:pPr>
              <w:widowControl w:val="0"/>
              <w:spacing w:before="120"/>
              <w:ind w:left="113" w:right="113"/>
              <w:jc w:val="center"/>
              <w:rPr>
                <w:lang w:val="lt-LT"/>
              </w:rPr>
            </w:pPr>
            <w:r w:rsidRPr="0051061A">
              <w:rPr>
                <w:b/>
                <w:bCs/>
                <w:lang w:val="lt-LT"/>
              </w:rPr>
              <w:t>mėnuo</w:t>
            </w:r>
          </w:p>
        </w:tc>
        <w:tc>
          <w:tcPr>
            <w:tcW w:w="470" w:type="pct"/>
            <w:textDirection w:val="btLr"/>
          </w:tcPr>
          <w:p w14:paraId="0A74574C" w14:textId="14F53E63" w:rsidR="0019461F" w:rsidRDefault="00B310E3" w:rsidP="00B310E3">
            <w:pPr>
              <w:widowControl w:val="0"/>
              <w:spacing w:before="120"/>
              <w:ind w:left="113" w:right="113"/>
              <w:jc w:val="center"/>
              <w:rPr>
                <w:b/>
                <w:bCs/>
                <w:lang w:val="lt-LT"/>
              </w:rPr>
            </w:pPr>
            <w:r>
              <w:rPr>
                <w:b/>
                <w:bCs/>
                <w:lang w:val="lt-LT"/>
              </w:rPr>
              <w:t>V</w:t>
            </w:r>
            <w:r w:rsidR="0019461F" w:rsidRPr="0051061A">
              <w:rPr>
                <w:b/>
                <w:bCs/>
                <w:lang w:val="lt-LT"/>
              </w:rPr>
              <w:t>I</w:t>
            </w:r>
          </w:p>
          <w:p w14:paraId="7891F517" w14:textId="2C45B768" w:rsidR="0019461F" w:rsidRPr="00884C6E" w:rsidRDefault="0019461F" w:rsidP="00B310E3">
            <w:pPr>
              <w:widowControl w:val="0"/>
              <w:spacing w:before="120"/>
              <w:ind w:left="113" w:right="113"/>
              <w:jc w:val="center"/>
              <w:rPr>
                <w:lang w:val="lt-LT"/>
              </w:rPr>
            </w:pPr>
            <w:r w:rsidRPr="0051061A">
              <w:rPr>
                <w:b/>
                <w:bCs/>
                <w:lang w:val="lt-LT"/>
              </w:rPr>
              <w:t>mėnuo</w:t>
            </w:r>
          </w:p>
        </w:tc>
        <w:tc>
          <w:tcPr>
            <w:tcW w:w="470" w:type="pct"/>
          </w:tcPr>
          <w:p w14:paraId="45909FDC" w14:textId="634C136C" w:rsidR="0019461F" w:rsidRPr="00884C6E" w:rsidRDefault="0019461F" w:rsidP="00551A07">
            <w:pPr>
              <w:widowControl w:val="0"/>
              <w:spacing w:before="120"/>
              <w:jc w:val="right"/>
              <w:rPr>
                <w:lang w:val="lt-LT"/>
              </w:rPr>
            </w:pPr>
          </w:p>
        </w:tc>
      </w:tr>
      <w:tr w:rsidR="0019461F" w:rsidRPr="00D761CE" w14:paraId="0293F5E7" w14:textId="77777777" w:rsidTr="00313EDF">
        <w:tc>
          <w:tcPr>
            <w:tcW w:w="298" w:type="pct"/>
          </w:tcPr>
          <w:p w14:paraId="6F9251F7" w14:textId="27F73FB3" w:rsidR="0019461F" w:rsidRPr="001F3746" w:rsidRDefault="0019461F" w:rsidP="00ED7BAA">
            <w:pPr>
              <w:widowControl w:val="0"/>
              <w:jc w:val="center"/>
              <w:rPr>
                <w:b/>
                <w:bCs/>
                <w:color w:val="000000" w:themeColor="text1"/>
                <w:lang w:val="lt-LT"/>
              </w:rPr>
            </w:pPr>
            <w:r w:rsidRPr="001F3746">
              <w:rPr>
                <w:b/>
                <w:bCs/>
                <w:color w:val="000000" w:themeColor="text1"/>
                <w:lang w:val="lt-LT"/>
              </w:rPr>
              <w:t>1.</w:t>
            </w:r>
          </w:p>
        </w:tc>
        <w:tc>
          <w:tcPr>
            <w:tcW w:w="710" w:type="pct"/>
            <w:vAlign w:val="center"/>
          </w:tcPr>
          <w:p w14:paraId="5B5F5908" w14:textId="2A297786" w:rsidR="0019461F" w:rsidRPr="009D58A6" w:rsidRDefault="0019461F" w:rsidP="00551A07">
            <w:pPr>
              <w:widowControl w:val="0"/>
              <w:rPr>
                <w:b/>
                <w:iCs/>
                <w:highlight w:val="lightGray"/>
                <w:lang w:val="lt-LT"/>
              </w:rPr>
            </w:pPr>
            <w:r w:rsidRPr="009D58A6">
              <w:rPr>
                <w:b/>
                <w:szCs w:val="24"/>
                <w:lang w:val="lt-LT"/>
              </w:rPr>
              <w:t>Sutvirtinto grunto dangos takų, aikštelės įrengimas</w:t>
            </w:r>
          </w:p>
        </w:tc>
        <w:tc>
          <w:tcPr>
            <w:tcW w:w="567" w:type="pct"/>
          </w:tcPr>
          <w:p w14:paraId="0FD76648" w14:textId="77777777" w:rsidR="0019461F" w:rsidRPr="00884C6E" w:rsidRDefault="0019461F" w:rsidP="00551A07">
            <w:pPr>
              <w:widowControl w:val="0"/>
              <w:spacing w:before="120"/>
              <w:jc w:val="right"/>
              <w:rPr>
                <w:lang w:val="lt-LT"/>
              </w:rPr>
            </w:pPr>
          </w:p>
        </w:tc>
        <w:tc>
          <w:tcPr>
            <w:tcW w:w="709" w:type="pct"/>
          </w:tcPr>
          <w:p w14:paraId="44A34D33" w14:textId="41E379FB" w:rsidR="0019461F" w:rsidRPr="00884C6E" w:rsidRDefault="0019461F" w:rsidP="00551A07">
            <w:pPr>
              <w:widowControl w:val="0"/>
              <w:spacing w:before="120"/>
              <w:jc w:val="right"/>
              <w:rPr>
                <w:lang w:val="lt-LT"/>
              </w:rPr>
            </w:pPr>
          </w:p>
        </w:tc>
        <w:tc>
          <w:tcPr>
            <w:tcW w:w="833" w:type="pct"/>
          </w:tcPr>
          <w:p w14:paraId="317AA26A" w14:textId="77777777" w:rsidR="0019461F" w:rsidRPr="00884C6E" w:rsidRDefault="0019461F" w:rsidP="00551A07">
            <w:pPr>
              <w:widowControl w:val="0"/>
              <w:spacing w:before="120"/>
              <w:jc w:val="right"/>
              <w:rPr>
                <w:lang w:val="lt-LT"/>
              </w:rPr>
            </w:pPr>
          </w:p>
        </w:tc>
        <w:tc>
          <w:tcPr>
            <w:tcW w:w="472" w:type="pct"/>
          </w:tcPr>
          <w:p w14:paraId="2A78B1F9" w14:textId="77777777" w:rsidR="0019461F" w:rsidRPr="00884C6E" w:rsidRDefault="0019461F" w:rsidP="00551A07">
            <w:pPr>
              <w:widowControl w:val="0"/>
              <w:spacing w:before="120"/>
              <w:jc w:val="right"/>
              <w:rPr>
                <w:lang w:val="lt-LT"/>
              </w:rPr>
            </w:pPr>
          </w:p>
        </w:tc>
        <w:tc>
          <w:tcPr>
            <w:tcW w:w="471" w:type="pct"/>
          </w:tcPr>
          <w:p w14:paraId="03D462AF" w14:textId="77777777" w:rsidR="0019461F" w:rsidRPr="00884C6E" w:rsidRDefault="0019461F" w:rsidP="00551A07">
            <w:pPr>
              <w:widowControl w:val="0"/>
              <w:spacing w:before="120"/>
              <w:jc w:val="right"/>
              <w:rPr>
                <w:lang w:val="lt-LT"/>
              </w:rPr>
            </w:pPr>
          </w:p>
        </w:tc>
        <w:tc>
          <w:tcPr>
            <w:tcW w:w="470" w:type="pct"/>
          </w:tcPr>
          <w:p w14:paraId="454FBAD3" w14:textId="77777777" w:rsidR="0019461F" w:rsidRPr="00884C6E" w:rsidRDefault="0019461F" w:rsidP="00551A07">
            <w:pPr>
              <w:widowControl w:val="0"/>
              <w:spacing w:before="120"/>
              <w:jc w:val="right"/>
              <w:rPr>
                <w:lang w:val="lt-LT"/>
              </w:rPr>
            </w:pPr>
          </w:p>
        </w:tc>
        <w:tc>
          <w:tcPr>
            <w:tcW w:w="470" w:type="pct"/>
          </w:tcPr>
          <w:p w14:paraId="557B9F1D" w14:textId="553AA16D" w:rsidR="0019461F" w:rsidRPr="00884C6E" w:rsidRDefault="0019461F" w:rsidP="00551A07">
            <w:pPr>
              <w:widowControl w:val="0"/>
              <w:spacing w:before="120"/>
              <w:jc w:val="right"/>
              <w:rPr>
                <w:lang w:val="lt-LT"/>
              </w:rPr>
            </w:pPr>
          </w:p>
        </w:tc>
      </w:tr>
      <w:tr w:rsidR="0019461F" w:rsidRPr="009D58A6" w14:paraId="257C1DE9" w14:textId="77777777" w:rsidTr="00313EDF">
        <w:tc>
          <w:tcPr>
            <w:tcW w:w="298" w:type="pct"/>
          </w:tcPr>
          <w:p w14:paraId="709A80C3" w14:textId="414E6F2E" w:rsidR="0019461F" w:rsidRPr="001F3746" w:rsidRDefault="0019461F" w:rsidP="00ED7BAA">
            <w:pPr>
              <w:widowControl w:val="0"/>
              <w:jc w:val="center"/>
              <w:rPr>
                <w:b/>
                <w:bCs/>
                <w:color w:val="000000" w:themeColor="text1"/>
                <w:lang w:val="lt-LT"/>
              </w:rPr>
            </w:pPr>
            <w:r>
              <w:rPr>
                <w:b/>
                <w:bCs/>
                <w:color w:val="000000" w:themeColor="text1"/>
                <w:lang w:val="lt-LT"/>
              </w:rPr>
              <w:t>2.</w:t>
            </w:r>
          </w:p>
        </w:tc>
        <w:tc>
          <w:tcPr>
            <w:tcW w:w="710" w:type="pct"/>
            <w:vAlign w:val="center"/>
          </w:tcPr>
          <w:p w14:paraId="724AA08A" w14:textId="63364A8F" w:rsidR="0019461F" w:rsidRPr="009D58A6" w:rsidRDefault="0019461F" w:rsidP="00551A07">
            <w:pPr>
              <w:widowControl w:val="0"/>
              <w:rPr>
                <w:b/>
                <w:szCs w:val="24"/>
                <w:lang w:val="lt-LT"/>
              </w:rPr>
            </w:pPr>
            <w:r w:rsidRPr="009D58A6">
              <w:rPr>
                <w:b/>
                <w:szCs w:val="24"/>
                <w:lang w:val="lt-LT"/>
              </w:rPr>
              <w:t>Vandens augmenijos valymas</w:t>
            </w:r>
          </w:p>
        </w:tc>
        <w:tc>
          <w:tcPr>
            <w:tcW w:w="567" w:type="pct"/>
          </w:tcPr>
          <w:p w14:paraId="33FDB6F5" w14:textId="77777777" w:rsidR="0019461F" w:rsidRPr="00884C6E" w:rsidRDefault="0019461F" w:rsidP="00551A07">
            <w:pPr>
              <w:widowControl w:val="0"/>
              <w:spacing w:before="120"/>
              <w:jc w:val="right"/>
              <w:rPr>
                <w:lang w:val="lt-LT"/>
              </w:rPr>
            </w:pPr>
          </w:p>
        </w:tc>
        <w:tc>
          <w:tcPr>
            <w:tcW w:w="709" w:type="pct"/>
          </w:tcPr>
          <w:p w14:paraId="2760B357" w14:textId="77777777" w:rsidR="0019461F" w:rsidRPr="00884C6E" w:rsidRDefault="0019461F" w:rsidP="00551A07">
            <w:pPr>
              <w:widowControl w:val="0"/>
              <w:spacing w:before="120"/>
              <w:jc w:val="right"/>
              <w:rPr>
                <w:lang w:val="lt-LT"/>
              </w:rPr>
            </w:pPr>
          </w:p>
        </w:tc>
        <w:tc>
          <w:tcPr>
            <w:tcW w:w="833" w:type="pct"/>
          </w:tcPr>
          <w:p w14:paraId="32C863F8" w14:textId="77777777" w:rsidR="0019461F" w:rsidRPr="00884C6E" w:rsidRDefault="0019461F" w:rsidP="00551A07">
            <w:pPr>
              <w:widowControl w:val="0"/>
              <w:spacing w:before="120"/>
              <w:jc w:val="right"/>
              <w:rPr>
                <w:lang w:val="lt-LT"/>
              </w:rPr>
            </w:pPr>
          </w:p>
        </w:tc>
        <w:tc>
          <w:tcPr>
            <w:tcW w:w="472" w:type="pct"/>
          </w:tcPr>
          <w:p w14:paraId="2C1C655C" w14:textId="77777777" w:rsidR="0019461F" w:rsidRPr="00884C6E" w:rsidRDefault="0019461F" w:rsidP="00551A07">
            <w:pPr>
              <w:widowControl w:val="0"/>
              <w:spacing w:before="120"/>
              <w:jc w:val="right"/>
              <w:rPr>
                <w:lang w:val="lt-LT"/>
              </w:rPr>
            </w:pPr>
          </w:p>
        </w:tc>
        <w:tc>
          <w:tcPr>
            <w:tcW w:w="471" w:type="pct"/>
          </w:tcPr>
          <w:p w14:paraId="490E82BE" w14:textId="77777777" w:rsidR="0019461F" w:rsidRPr="00884C6E" w:rsidRDefault="0019461F" w:rsidP="00551A07">
            <w:pPr>
              <w:widowControl w:val="0"/>
              <w:spacing w:before="120"/>
              <w:jc w:val="right"/>
              <w:rPr>
                <w:lang w:val="lt-LT"/>
              </w:rPr>
            </w:pPr>
          </w:p>
        </w:tc>
        <w:tc>
          <w:tcPr>
            <w:tcW w:w="470" w:type="pct"/>
          </w:tcPr>
          <w:p w14:paraId="0362ACFD" w14:textId="77777777" w:rsidR="0019461F" w:rsidRPr="00884C6E" w:rsidRDefault="0019461F" w:rsidP="00551A07">
            <w:pPr>
              <w:widowControl w:val="0"/>
              <w:spacing w:before="120"/>
              <w:jc w:val="right"/>
              <w:rPr>
                <w:lang w:val="lt-LT"/>
              </w:rPr>
            </w:pPr>
          </w:p>
        </w:tc>
        <w:tc>
          <w:tcPr>
            <w:tcW w:w="470" w:type="pct"/>
          </w:tcPr>
          <w:p w14:paraId="43CCDE62" w14:textId="48FF40B8" w:rsidR="0019461F" w:rsidRPr="00884C6E" w:rsidRDefault="0019461F" w:rsidP="00551A07">
            <w:pPr>
              <w:widowControl w:val="0"/>
              <w:spacing w:before="120"/>
              <w:jc w:val="right"/>
              <w:rPr>
                <w:lang w:val="lt-LT"/>
              </w:rPr>
            </w:pPr>
          </w:p>
        </w:tc>
      </w:tr>
      <w:tr w:rsidR="0019461F" w:rsidRPr="00D761CE" w14:paraId="7904EFF6" w14:textId="77777777" w:rsidTr="00313EDF">
        <w:tc>
          <w:tcPr>
            <w:tcW w:w="298" w:type="pct"/>
          </w:tcPr>
          <w:p w14:paraId="3B32C7AA" w14:textId="6168A49B" w:rsidR="0019461F" w:rsidRPr="001F3746" w:rsidRDefault="0019461F" w:rsidP="00004C05">
            <w:pPr>
              <w:widowControl w:val="0"/>
              <w:jc w:val="center"/>
              <w:rPr>
                <w:b/>
                <w:bCs/>
                <w:color w:val="000000" w:themeColor="text1"/>
                <w:lang w:val="lt-LT"/>
              </w:rPr>
            </w:pPr>
            <w:r>
              <w:rPr>
                <w:b/>
                <w:bCs/>
                <w:color w:val="000000" w:themeColor="text1"/>
                <w:lang w:val="lt-LT"/>
              </w:rPr>
              <w:t>3</w:t>
            </w:r>
            <w:r w:rsidRPr="001F3746">
              <w:rPr>
                <w:b/>
                <w:bCs/>
                <w:color w:val="000000" w:themeColor="text1"/>
                <w:lang w:val="lt-LT"/>
              </w:rPr>
              <w:t>.</w:t>
            </w:r>
          </w:p>
        </w:tc>
        <w:tc>
          <w:tcPr>
            <w:tcW w:w="710" w:type="pct"/>
          </w:tcPr>
          <w:p w14:paraId="26228C8B" w14:textId="0409AC13" w:rsidR="0019461F" w:rsidRPr="00004C05" w:rsidRDefault="0019461F" w:rsidP="00004C05">
            <w:pPr>
              <w:widowControl w:val="0"/>
              <w:rPr>
                <w:b/>
                <w:bCs/>
                <w:szCs w:val="24"/>
                <w:shd w:val="clear" w:color="auto" w:fill="FFFFFF"/>
                <w:lang w:val="lt-LT"/>
              </w:rPr>
            </w:pPr>
            <w:r w:rsidRPr="00004C05">
              <w:rPr>
                <w:b/>
                <w:bCs/>
                <w:szCs w:val="24"/>
                <w:lang w:val="lt-LT"/>
              </w:rPr>
              <w:t xml:space="preserve">Išpildomųjų nuotraukų ir kadastrinių matavimų bylos </w:t>
            </w:r>
            <w:r w:rsidRPr="00004C05">
              <w:rPr>
                <w:b/>
                <w:bCs/>
                <w:szCs w:val="24"/>
                <w:lang w:val="pt-BR"/>
              </w:rPr>
              <w:t>parengimas</w:t>
            </w:r>
            <w:r w:rsidRPr="00004C05">
              <w:rPr>
                <w:b/>
                <w:bCs/>
                <w:szCs w:val="24"/>
                <w:lang w:val="lt-LT"/>
              </w:rPr>
              <w:t>, patikros atlikimas registracijai VĮ Registrų centre</w:t>
            </w:r>
          </w:p>
        </w:tc>
        <w:tc>
          <w:tcPr>
            <w:tcW w:w="567" w:type="pct"/>
          </w:tcPr>
          <w:p w14:paraId="6A9C98AE" w14:textId="77777777" w:rsidR="0019461F" w:rsidRPr="00884C6E" w:rsidRDefault="0019461F" w:rsidP="00004C05">
            <w:pPr>
              <w:widowControl w:val="0"/>
              <w:spacing w:before="120"/>
              <w:jc w:val="right"/>
              <w:rPr>
                <w:lang w:val="lt-LT"/>
              </w:rPr>
            </w:pPr>
          </w:p>
        </w:tc>
        <w:tc>
          <w:tcPr>
            <w:tcW w:w="709" w:type="pct"/>
          </w:tcPr>
          <w:p w14:paraId="31E60E3E" w14:textId="3D0C8157" w:rsidR="0019461F" w:rsidRPr="00884C6E" w:rsidRDefault="0019461F" w:rsidP="00004C05">
            <w:pPr>
              <w:widowControl w:val="0"/>
              <w:spacing w:before="120"/>
              <w:jc w:val="right"/>
              <w:rPr>
                <w:lang w:val="lt-LT"/>
              </w:rPr>
            </w:pPr>
          </w:p>
        </w:tc>
        <w:tc>
          <w:tcPr>
            <w:tcW w:w="833" w:type="pct"/>
          </w:tcPr>
          <w:p w14:paraId="3207C112" w14:textId="77777777" w:rsidR="0019461F" w:rsidRPr="00884C6E" w:rsidRDefault="0019461F" w:rsidP="00004C05">
            <w:pPr>
              <w:widowControl w:val="0"/>
              <w:spacing w:before="120"/>
              <w:jc w:val="right"/>
              <w:rPr>
                <w:lang w:val="lt-LT"/>
              </w:rPr>
            </w:pPr>
          </w:p>
        </w:tc>
        <w:tc>
          <w:tcPr>
            <w:tcW w:w="472" w:type="pct"/>
          </w:tcPr>
          <w:p w14:paraId="4E98A7D2" w14:textId="77777777" w:rsidR="0019461F" w:rsidRPr="00884C6E" w:rsidRDefault="0019461F" w:rsidP="00004C05">
            <w:pPr>
              <w:widowControl w:val="0"/>
              <w:spacing w:before="120"/>
              <w:jc w:val="right"/>
              <w:rPr>
                <w:lang w:val="lt-LT"/>
              </w:rPr>
            </w:pPr>
          </w:p>
        </w:tc>
        <w:tc>
          <w:tcPr>
            <w:tcW w:w="471" w:type="pct"/>
          </w:tcPr>
          <w:p w14:paraId="054DAB3D" w14:textId="77777777" w:rsidR="0019461F" w:rsidRPr="00884C6E" w:rsidRDefault="0019461F" w:rsidP="00004C05">
            <w:pPr>
              <w:widowControl w:val="0"/>
              <w:spacing w:before="120"/>
              <w:jc w:val="right"/>
              <w:rPr>
                <w:lang w:val="lt-LT"/>
              </w:rPr>
            </w:pPr>
          </w:p>
        </w:tc>
        <w:tc>
          <w:tcPr>
            <w:tcW w:w="470" w:type="pct"/>
          </w:tcPr>
          <w:p w14:paraId="0743EFEB" w14:textId="77777777" w:rsidR="0019461F" w:rsidRPr="00884C6E" w:rsidRDefault="0019461F" w:rsidP="00004C05">
            <w:pPr>
              <w:widowControl w:val="0"/>
              <w:spacing w:before="120"/>
              <w:jc w:val="right"/>
              <w:rPr>
                <w:lang w:val="lt-LT"/>
              </w:rPr>
            </w:pPr>
          </w:p>
        </w:tc>
        <w:tc>
          <w:tcPr>
            <w:tcW w:w="470" w:type="pct"/>
          </w:tcPr>
          <w:p w14:paraId="149A2833" w14:textId="137193E8" w:rsidR="0019461F" w:rsidRPr="00884C6E" w:rsidRDefault="0019461F" w:rsidP="00004C05">
            <w:pPr>
              <w:widowControl w:val="0"/>
              <w:spacing w:before="120"/>
              <w:jc w:val="right"/>
              <w:rPr>
                <w:lang w:val="lt-LT"/>
              </w:rPr>
            </w:pPr>
          </w:p>
        </w:tc>
      </w:tr>
      <w:tr w:rsidR="00B310E3" w:rsidRPr="00B310E3" w14:paraId="59E3655B" w14:textId="77777777" w:rsidTr="00B310E3">
        <w:trPr>
          <w:trHeight w:val="277"/>
        </w:trPr>
        <w:tc>
          <w:tcPr>
            <w:tcW w:w="4530" w:type="pct"/>
            <w:gridSpan w:val="8"/>
            <w:vMerge w:val="restart"/>
          </w:tcPr>
          <w:p w14:paraId="64A1185A" w14:textId="77777777" w:rsidR="00B310E3" w:rsidRPr="00884C6E" w:rsidRDefault="00B310E3" w:rsidP="00004C05">
            <w:pPr>
              <w:widowControl w:val="0"/>
              <w:ind w:left="-1383" w:firstLine="1383"/>
              <w:jc w:val="right"/>
              <w:rPr>
                <w:lang w:val="lt-LT"/>
              </w:rPr>
            </w:pPr>
            <w:r w:rsidRPr="00884C6E">
              <w:rPr>
                <w:b/>
                <w:lang w:val="lt-LT"/>
              </w:rPr>
              <w:t xml:space="preserve">Suma </w:t>
            </w:r>
            <w:r w:rsidRPr="00884C6E">
              <w:rPr>
                <w:b/>
                <w:bCs/>
                <w:lang w:val="lt-LT"/>
              </w:rPr>
              <w:t>be PVM (Eur):</w:t>
            </w:r>
          </w:p>
          <w:p w14:paraId="1330277D" w14:textId="77777777" w:rsidR="00B310E3" w:rsidRPr="00884C6E" w:rsidRDefault="00B310E3" w:rsidP="00004C05">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p w14:paraId="347DE095" w14:textId="3967A460" w:rsidR="00B310E3" w:rsidRPr="00884C6E" w:rsidRDefault="00B310E3" w:rsidP="00004C05">
            <w:pPr>
              <w:widowControl w:val="0"/>
              <w:jc w:val="right"/>
              <w:rPr>
                <w:lang w:val="lt-LT"/>
              </w:rPr>
            </w:pPr>
            <w:r w:rsidRPr="00884C6E">
              <w:rPr>
                <w:b/>
                <w:lang w:val="lt-LT"/>
              </w:rPr>
              <w:t xml:space="preserve">Bendra suma su PVM </w:t>
            </w:r>
            <w:r w:rsidRPr="00884C6E">
              <w:rPr>
                <w:b/>
                <w:bCs/>
                <w:lang w:val="lt-LT"/>
              </w:rPr>
              <w:t>(Eur):</w:t>
            </w:r>
          </w:p>
        </w:tc>
        <w:tc>
          <w:tcPr>
            <w:tcW w:w="470" w:type="pct"/>
          </w:tcPr>
          <w:p w14:paraId="30B63A32" w14:textId="25B1E3D3" w:rsidR="00B310E3" w:rsidRPr="00884C6E" w:rsidRDefault="00B310E3" w:rsidP="00004C05">
            <w:pPr>
              <w:widowControl w:val="0"/>
              <w:ind w:left="-1383" w:firstLine="1383"/>
              <w:jc w:val="right"/>
              <w:rPr>
                <w:lang w:val="lt-LT"/>
              </w:rPr>
            </w:pPr>
          </w:p>
        </w:tc>
      </w:tr>
      <w:tr w:rsidR="00B310E3" w:rsidRPr="00B310E3" w14:paraId="60C6A90C" w14:textId="77777777" w:rsidTr="00B310E3">
        <w:trPr>
          <w:trHeight w:val="147"/>
        </w:trPr>
        <w:tc>
          <w:tcPr>
            <w:tcW w:w="4530" w:type="pct"/>
            <w:gridSpan w:val="8"/>
            <w:vMerge/>
          </w:tcPr>
          <w:p w14:paraId="7E391C35" w14:textId="6FBE2C08" w:rsidR="00B310E3" w:rsidRPr="00884C6E" w:rsidRDefault="00B310E3" w:rsidP="00004C05">
            <w:pPr>
              <w:widowControl w:val="0"/>
              <w:jc w:val="right"/>
              <w:rPr>
                <w:lang w:val="lt-LT"/>
              </w:rPr>
            </w:pPr>
          </w:p>
        </w:tc>
        <w:tc>
          <w:tcPr>
            <w:tcW w:w="470" w:type="pct"/>
          </w:tcPr>
          <w:p w14:paraId="3556DF70" w14:textId="7C4500B5" w:rsidR="00B310E3" w:rsidRPr="00884C6E" w:rsidRDefault="00B310E3" w:rsidP="00004C05">
            <w:pPr>
              <w:widowControl w:val="0"/>
              <w:jc w:val="right"/>
              <w:rPr>
                <w:lang w:val="lt-LT"/>
              </w:rPr>
            </w:pPr>
          </w:p>
        </w:tc>
      </w:tr>
      <w:tr w:rsidR="00B310E3" w:rsidRPr="00D761CE" w14:paraId="48A7A8C4" w14:textId="77777777" w:rsidTr="00B310E3">
        <w:trPr>
          <w:trHeight w:val="147"/>
        </w:trPr>
        <w:tc>
          <w:tcPr>
            <w:tcW w:w="4530" w:type="pct"/>
            <w:gridSpan w:val="8"/>
            <w:vMerge/>
          </w:tcPr>
          <w:p w14:paraId="401E823B" w14:textId="429CF39E" w:rsidR="00B310E3" w:rsidRPr="00884C6E" w:rsidRDefault="00B310E3" w:rsidP="00004C05">
            <w:pPr>
              <w:widowControl w:val="0"/>
              <w:jc w:val="right"/>
              <w:rPr>
                <w:lang w:val="lt-LT"/>
              </w:rPr>
            </w:pPr>
          </w:p>
        </w:tc>
        <w:tc>
          <w:tcPr>
            <w:tcW w:w="470" w:type="pct"/>
          </w:tcPr>
          <w:p w14:paraId="5BA79FBB" w14:textId="0A92E316" w:rsidR="00B310E3" w:rsidRPr="00884C6E" w:rsidRDefault="00B310E3" w:rsidP="00004C05">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1B129DE" w14:textId="1C61C214"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55E78ADD" w14:textId="43C5F219" w:rsidR="008805A3" w:rsidRDefault="00DA481E" w:rsidP="00313EDF">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3 priedas</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D761CE"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D761CE"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D761CE"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D761CE"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D761CE"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D761CE"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D761CE"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D761CE"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D761CE"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D761CE"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D761CE"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D761CE"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D761CE"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D761CE"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4 priedas</w:t>
      </w: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D761CE"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4CD464F"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5 priedas</w:t>
      </w:r>
    </w:p>
    <w:p w14:paraId="4B85B57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D761CE"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D761CE"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D761CE"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6 priedas</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lastRenderedPageBreak/>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w:t>
      </w:r>
      <w:r w:rsidRPr="00884C6E">
        <w:rPr>
          <w:sz w:val="24"/>
          <w:szCs w:val="24"/>
        </w:rPr>
        <w:lastRenderedPageBreak/>
        <w:t>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 xml:space="preserve">25. Trišalės sutarties Šalys susirašinėja lietuvių kalba. Visi pranešimai, sutikimai ir kitas </w:t>
      </w:r>
      <w:r w:rsidRPr="00884C6E">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884C6E">
        <w:rPr>
          <w:rFonts w:ascii="Times New Roman" w:hAnsi="Times New Roman" w:cs="Times New Roman"/>
          <w:b/>
          <w:sz w:val="24"/>
          <w:szCs w:val="24"/>
          <w:lang w:val="lt-LT"/>
        </w:rPr>
        <w:t>ATLIKTŲ DARBŲ AKTAS NR.</w:t>
      </w:r>
      <w:bookmarkEnd w:id="9"/>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D761CE"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D761CE"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D761CE"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D761CE"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3D9A" w14:textId="77777777" w:rsidR="0091653E" w:rsidRDefault="0091653E">
      <w:r>
        <w:separator/>
      </w:r>
    </w:p>
  </w:endnote>
  <w:endnote w:type="continuationSeparator" w:id="0">
    <w:p w14:paraId="31FE1B7B" w14:textId="77777777" w:rsidR="0091653E" w:rsidRDefault="0091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22B6" w14:textId="77777777" w:rsidR="0091653E" w:rsidRDefault="0091653E">
      <w:r>
        <w:separator/>
      </w:r>
    </w:p>
  </w:footnote>
  <w:footnote w:type="continuationSeparator" w:id="0">
    <w:p w14:paraId="161083F1" w14:textId="77777777" w:rsidR="0091653E" w:rsidRDefault="00916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4C05"/>
    <w:rsid w:val="00017F86"/>
    <w:rsid w:val="000223DB"/>
    <w:rsid w:val="00033B35"/>
    <w:rsid w:val="000472E7"/>
    <w:rsid w:val="00080CC8"/>
    <w:rsid w:val="00081295"/>
    <w:rsid w:val="000A51C0"/>
    <w:rsid w:val="000B14CB"/>
    <w:rsid w:val="000B213D"/>
    <w:rsid w:val="000F3947"/>
    <w:rsid w:val="000F45FE"/>
    <w:rsid w:val="00130384"/>
    <w:rsid w:val="001303A2"/>
    <w:rsid w:val="00165888"/>
    <w:rsid w:val="0019461F"/>
    <w:rsid w:val="001D6E90"/>
    <w:rsid w:val="001E240B"/>
    <w:rsid w:val="001F3746"/>
    <w:rsid w:val="00212F0D"/>
    <w:rsid w:val="00236A4B"/>
    <w:rsid w:val="00236E40"/>
    <w:rsid w:val="00264E23"/>
    <w:rsid w:val="00270928"/>
    <w:rsid w:val="00290EC3"/>
    <w:rsid w:val="002D2027"/>
    <w:rsid w:val="002D4A2E"/>
    <w:rsid w:val="002E06A2"/>
    <w:rsid w:val="002E33E1"/>
    <w:rsid w:val="00313EDF"/>
    <w:rsid w:val="0031668D"/>
    <w:rsid w:val="00323994"/>
    <w:rsid w:val="003356C1"/>
    <w:rsid w:val="00335F57"/>
    <w:rsid w:val="00343CF7"/>
    <w:rsid w:val="00363B54"/>
    <w:rsid w:val="003948F1"/>
    <w:rsid w:val="003E76F2"/>
    <w:rsid w:val="00402CFA"/>
    <w:rsid w:val="00410C11"/>
    <w:rsid w:val="00423F1D"/>
    <w:rsid w:val="00431C1A"/>
    <w:rsid w:val="00455A67"/>
    <w:rsid w:val="00465C5D"/>
    <w:rsid w:val="00475171"/>
    <w:rsid w:val="00475602"/>
    <w:rsid w:val="00484FF1"/>
    <w:rsid w:val="004915BE"/>
    <w:rsid w:val="004C31A1"/>
    <w:rsid w:val="0051061A"/>
    <w:rsid w:val="00541D17"/>
    <w:rsid w:val="00551A07"/>
    <w:rsid w:val="00555863"/>
    <w:rsid w:val="005613F6"/>
    <w:rsid w:val="005644ED"/>
    <w:rsid w:val="00564CBC"/>
    <w:rsid w:val="00564E56"/>
    <w:rsid w:val="005740B0"/>
    <w:rsid w:val="005758A5"/>
    <w:rsid w:val="005C14CF"/>
    <w:rsid w:val="005E408D"/>
    <w:rsid w:val="00614A59"/>
    <w:rsid w:val="00652BC1"/>
    <w:rsid w:val="00657FAE"/>
    <w:rsid w:val="006C1478"/>
    <w:rsid w:val="006C1932"/>
    <w:rsid w:val="006C50E5"/>
    <w:rsid w:val="006D3E13"/>
    <w:rsid w:val="006E3D70"/>
    <w:rsid w:val="007268F3"/>
    <w:rsid w:val="007313A7"/>
    <w:rsid w:val="00735EA3"/>
    <w:rsid w:val="00741435"/>
    <w:rsid w:val="007636EA"/>
    <w:rsid w:val="00786607"/>
    <w:rsid w:val="007E2FF9"/>
    <w:rsid w:val="00834F61"/>
    <w:rsid w:val="008653E6"/>
    <w:rsid w:val="00871A9A"/>
    <w:rsid w:val="008805A3"/>
    <w:rsid w:val="00884C6E"/>
    <w:rsid w:val="008A17BB"/>
    <w:rsid w:val="008A446F"/>
    <w:rsid w:val="008B12ED"/>
    <w:rsid w:val="008C4292"/>
    <w:rsid w:val="008E154C"/>
    <w:rsid w:val="008E5C6D"/>
    <w:rsid w:val="0091653E"/>
    <w:rsid w:val="0093412D"/>
    <w:rsid w:val="009566C0"/>
    <w:rsid w:val="0097332B"/>
    <w:rsid w:val="009734CB"/>
    <w:rsid w:val="00990DE5"/>
    <w:rsid w:val="009C337D"/>
    <w:rsid w:val="009D58A6"/>
    <w:rsid w:val="00AC3D2A"/>
    <w:rsid w:val="00AC629E"/>
    <w:rsid w:val="00AD27C6"/>
    <w:rsid w:val="00AD7307"/>
    <w:rsid w:val="00AD7B58"/>
    <w:rsid w:val="00AF3F07"/>
    <w:rsid w:val="00B0436E"/>
    <w:rsid w:val="00B24C17"/>
    <w:rsid w:val="00B310E3"/>
    <w:rsid w:val="00B32563"/>
    <w:rsid w:val="00B71E8A"/>
    <w:rsid w:val="00B80F35"/>
    <w:rsid w:val="00B845BE"/>
    <w:rsid w:val="00B905D6"/>
    <w:rsid w:val="00B97E4D"/>
    <w:rsid w:val="00BA1838"/>
    <w:rsid w:val="00BB0ECC"/>
    <w:rsid w:val="00BB5AF4"/>
    <w:rsid w:val="00C117BF"/>
    <w:rsid w:val="00C24B05"/>
    <w:rsid w:val="00C769AE"/>
    <w:rsid w:val="00CB6EF8"/>
    <w:rsid w:val="00CC50A7"/>
    <w:rsid w:val="00CD0642"/>
    <w:rsid w:val="00CF3677"/>
    <w:rsid w:val="00D215B1"/>
    <w:rsid w:val="00D749CA"/>
    <w:rsid w:val="00D761CE"/>
    <w:rsid w:val="00D94794"/>
    <w:rsid w:val="00DA481E"/>
    <w:rsid w:val="00DB4964"/>
    <w:rsid w:val="00DC08BC"/>
    <w:rsid w:val="00DD71FA"/>
    <w:rsid w:val="00DD7B8A"/>
    <w:rsid w:val="00DF6419"/>
    <w:rsid w:val="00E1302D"/>
    <w:rsid w:val="00E2508A"/>
    <w:rsid w:val="00E43393"/>
    <w:rsid w:val="00E43FAD"/>
    <w:rsid w:val="00E47376"/>
    <w:rsid w:val="00E5784F"/>
    <w:rsid w:val="00E63442"/>
    <w:rsid w:val="00E83B30"/>
    <w:rsid w:val="00EA0F2C"/>
    <w:rsid w:val="00EB3100"/>
    <w:rsid w:val="00ED26D2"/>
    <w:rsid w:val="00ED720F"/>
    <w:rsid w:val="00ED7BAA"/>
    <w:rsid w:val="00EE15BE"/>
    <w:rsid w:val="00EF5BA3"/>
    <w:rsid w:val="00F160DD"/>
    <w:rsid w:val="00F22678"/>
    <w:rsid w:val="00F318E1"/>
    <w:rsid w:val="00F33842"/>
    <w:rsid w:val="00F34832"/>
    <w:rsid w:val="00F40644"/>
    <w:rsid w:val="00F5141A"/>
    <w:rsid w:val="00F52482"/>
    <w:rsid w:val="00F61FEF"/>
    <w:rsid w:val="00F74729"/>
    <w:rsid w:val="00F905FC"/>
    <w:rsid w:val="00F90DA0"/>
    <w:rsid w:val="00FC07F0"/>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saskaita.e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55895</Words>
  <Characters>31861</Characters>
  <Application>Microsoft Office Word</Application>
  <DocSecurity>0</DocSecurity>
  <Lines>265</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54</cp:revision>
  <dcterms:created xsi:type="dcterms:W3CDTF">2024-11-26T09:43:00Z</dcterms:created>
  <dcterms:modified xsi:type="dcterms:W3CDTF">2025-12-22T14:55:00Z</dcterms:modified>
</cp:coreProperties>
</file>