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2E08A030"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B85E11">
            <w:rPr>
              <w:rFonts w:ascii="Arial" w:hAnsi="Arial" w:cs="Arial"/>
              <w:sz w:val="24"/>
              <w:szCs w:val="24"/>
            </w:rPr>
            <w:t>12</w:t>
          </w:r>
          <w:r w:rsidRPr="00C514E3">
            <w:rPr>
              <w:rFonts w:ascii="Arial" w:hAnsi="Arial" w:cs="Arial"/>
              <w:sz w:val="24"/>
              <w:szCs w:val="24"/>
            </w:rPr>
            <w:t>-</w:t>
          </w:r>
          <w:r w:rsidR="00411B75">
            <w:rPr>
              <w:rFonts w:ascii="Arial" w:hAnsi="Arial" w:cs="Arial"/>
              <w:sz w:val="24"/>
              <w:szCs w:val="24"/>
            </w:rPr>
            <w:t>23</w:t>
          </w:r>
          <w:r w:rsidR="00BD5A18">
            <w:rPr>
              <w:rFonts w:ascii="Arial" w:hAnsi="Arial" w:cs="Arial"/>
              <w:sz w:val="24"/>
              <w:szCs w:val="24"/>
            </w:rPr>
            <w:t xml:space="preserve"> </w:t>
          </w:r>
          <w:r w:rsidRPr="00C514E3">
            <w:rPr>
              <w:rFonts w:ascii="Arial" w:hAnsi="Arial" w:cs="Arial"/>
              <w:sz w:val="24"/>
              <w:szCs w:val="24"/>
            </w:rPr>
            <w:t>įsakymu Nr. AV-</w:t>
          </w:r>
          <w:r w:rsidR="00681585">
            <w:rPr>
              <w:rFonts w:ascii="Arial" w:hAnsi="Arial" w:cs="Arial"/>
              <w:sz w:val="24"/>
              <w:szCs w:val="24"/>
            </w:rPr>
            <w:t>1909</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16F749CB" w:rsidR="002A69CB" w:rsidRPr="00560E27" w:rsidRDefault="005B03CB" w:rsidP="00D426D9">
          <w:pPr>
            <w:spacing w:after="0"/>
            <w:jc w:val="center"/>
            <w:rPr>
              <w:rFonts w:ascii="Arial" w:hAnsi="Arial" w:cs="Arial"/>
              <w:b/>
              <w:sz w:val="24"/>
              <w:szCs w:val="24"/>
            </w:rPr>
          </w:pPr>
          <w:r w:rsidRPr="00560E27">
            <w:rPr>
              <w:rFonts w:ascii="Arial" w:hAnsi="Arial" w:cs="Arial"/>
              <w:b/>
              <w:sz w:val="24"/>
              <w:szCs w:val="24"/>
            </w:rPr>
            <w:t>,,</w:t>
          </w:r>
          <w:r w:rsidR="00BD5A18" w:rsidRPr="00BD5A18">
            <w:rPr>
              <w:rFonts w:ascii="Arial" w:hAnsi="Arial" w:cs="Arial"/>
              <w:b/>
              <w:sz w:val="24"/>
              <w:szCs w:val="24"/>
            </w:rPr>
            <w:t>STATYBOS DARBAI, VYKDANT KITOS PASKIRTIES INŽINERINIO STATINIO (KOLUMBARIUMO) SLENGIŲ RIBOTO LAIDOJIMO KAPINĖSE SENDVARIO SEN., KLAIPĖDOS R. SAV., SUPAPRASTINTO STATYBOS PROJEKTĄ NR. VS-20.22</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3396C54C"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4919899B"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BD5A18">
        <w:rPr>
          <w:rFonts w:ascii="Arial" w:hAnsi="Arial" w:cs="Arial"/>
          <w:sz w:val="24"/>
          <w:szCs w:val="24"/>
        </w:rPr>
        <w:t>Erika Pečiulienė</w:t>
      </w:r>
      <w:r w:rsidR="008727E1" w:rsidRPr="008727E1">
        <w:rPr>
          <w:rFonts w:ascii="Arial" w:hAnsi="Arial" w:cs="Arial"/>
          <w:sz w:val="24"/>
          <w:szCs w:val="24"/>
        </w:rPr>
        <w:t xml:space="preserve">, Viešųjų pirkimų skyriaus </w:t>
      </w:r>
      <w:r w:rsidR="00BD5A18">
        <w:rPr>
          <w:rFonts w:ascii="Arial" w:hAnsi="Arial" w:cs="Arial"/>
          <w:sz w:val="24"/>
          <w:szCs w:val="24"/>
        </w:rPr>
        <w:t>patarėja</w:t>
      </w:r>
      <w:r w:rsidR="008727E1" w:rsidRPr="008727E1">
        <w:rPr>
          <w:rFonts w:ascii="Arial" w:hAnsi="Arial" w:cs="Arial"/>
          <w:sz w:val="24"/>
          <w:szCs w:val="24"/>
        </w:rPr>
        <w:t>, tel. +370 </w:t>
      </w:r>
      <w:r w:rsidR="00BD5A18">
        <w:rPr>
          <w:rFonts w:ascii="Arial" w:hAnsi="Arial" w:cs="Arial"/>
          <w:sz w:val="24"/>
          <w:szCs w:val="24"/>
        </w:rPr>
        <w:t>622</w:t>
      </w:r>
      <w:r w:rsidR="008727E1" w:rsidRPr="008727E1">
        <w:rPr>
          <w:rFonts w:ascii="Arial" w:hAnsi="Arial" w:cs="Arial"/>
          <w:sz w:val="24"/>
          <w:szCs w:val="24"/>
        </w:rPr>
        <w:t xml:space="preserve"> </w:t>
      </w:r>
      <w:r w:rsidR="00BD5A18">
        <w:rPr>
          <w:rFonts w:ascii="Arial" w:hAnsi="Arial" w:cs="Arial"/>
          <w:sz w:val="24"/>
          <w:szCs w:val="24"/>
        </w:rPr>
        <w:t>84599</w:t>
      </w:r>
      <w:r w:rsidR="008727E1" w:rsidRPr="008727E1">
        <w:rPr>
          <w:rFonts w:ascii="Arial" w:hAnsi="Arial" w:cs="Arial"/>
          <w:sz w:val="24"/>
          <w:szCs w:val="24"/>
        </w:rPr>
        <w:t xml:space="preserve">, el. paštas: </w:t>
      </w:r>
      <w:hyperlink r:id="rId12" w:history="1">
        <w:r w:rsidR="00BD5A18" w:rsidRPr="005B0366">
          <w:rPr>
            <w:rStyle w:val="Hipersaitas"/>
            <w:rFonts w:ascii="Arial" w:hAnsi="Arial" w:cs="Arial"/>
            <w:sz w:val="24"/>
            <w:szCs w:val="24"/>
          </w:rPr>
          <w:t>erika.peciuliene</w:t>
        </w:r>
        <w:r w:rsidR="00BD5A18" w:rsidRPr="005B0366">
          <w:rPr>
            <w:rStyle w:val="Hipersaitas"/>
            <w:rFonts w:ascii="Arial" w:hAnsi="Arial" w:cs="Arial"/>
            <w:sz w:val="24"/>
            <w:szCs w:val="24"/>
            <w:lang w:val="en-US"/>
          </w:rPr>
          <w:t>@</w:t>
        </w:r>
        <w:r w:rsidR="00BD5A18" w:rsidRPr="005B0366">
          <w:rPr>
            <w:rStyle w:val="Hipersaitas"/>
            <w:rFonts w:ascii="Arial" w:hAnsi="Arial" w:cs="Arial"/>
            <w:sz w:val="24"/>
            <w:szCs w:val="24"/>
          </w:rPr>
          <w:t>klaipedos-r.lt</w:t>
        </w:r>
      </w:hyperlink>
      <w:r w:rsidR="00F4108B" w:rsidRPr="00560E27">
        <w:rPr>
          <w:rFonts w:ascii="Arial" w:hAnsi="Arial" w:cs="Arial"/>
          <w:sz w:val="24"/>
          <w:szCs w:val="24"/>
        </w:rPr>
        <w:t xml:space="preserve">. </w:t>
      </w:r>
    </w:p>
    <w:p w14:paraId="2A31D78A" w14:textId="6B5E5F4C" w:rsidR="00BD5A18" w:rsidRPr="00BD5A18" w:rsidRDefault="006E77D3" w:rsidP="00BD5A18">
      <w:pPr>
        <w:pStyle w:val="Sraopastraipa"/>
        <w:numPr>
          <w:ilvl w:val="1"/>
          <w:numId w:val="8"/>
        </w:numPr>
        <w:tabs>
          <w:tab w:val="left" w:pos="993"/>
        </w:tabs>
        <w:spacing w:after="0"/>
        <w:ind w:left="0" w:firstLine="567"/>
        <w:jc w:val="both"/>
        <w:rPr>
          <w:rFonts w:ascii="Arial" w:hAnsi="Arial" w:cs="Arial"/>
          <w:color w:val="7030A0"/>
          <w:sz w:val="24"/>
          <w:szCs w:val="24"/>
        </w:rPr>
      </w:pPr>
      <w:r w:rsidRPr="00BD5A18">
        <w:rPr>
          <w:rFonts w:ascii="Arial" w:eastAsia="Calibri" w:hAnsi="Arial" w:cs="Arial"/>
          <w:bCs/>
          <w:sz w:val="24"/>
          <w:szCs w:val="24"/>
        </w:rPr>
        <w:t xml:space="preserve">Dėl pirkimo objekto </w:t>
      </w:r>
      <w:r w:rsidRPr="00BD5A18">
        <w:rPr>
          <w:rFonts w:ascii="Arial" w:hAnsi="Arial" w:cs="Arial"/>
          <w:sz w:val="24"/>
          <w:szCs w:val="24"/>
        </w:rPr>
        <w:t>konsultuoja</w:t>
      </w:r>
      <w:r w:rsidR="00A0185D" w:rsidRPr="00BD5A18">
        <w:rPr>
          <w:rFonts w:ascii="Arial" w:hAnsi="Arial" w:cs="Arial"/>
          <w:sz w:val="24"/>
          <w:szCs w:val="24"/>
        </w:rPr>
        <w:t>:</w:t>
      </w:r>
      <w:r w:rsidRPr="00BD5A18">
        <w:rPr>
          <w:rFonts w:ascii="Arial" w:hAnsi="Arial" w:cs="Arial"/>
          <w:sz w:val="24"/>
          <w:szCs w:val="24"/>
        </w:rPr>
        <w:t xml:space="preserve"> </w:t>
      </w:r>
      <w:r w:rsidR="00BD5A18" w:rsidRPr="00BD5A18">
        <w:rPr>
          <w:rFonts w:ascii="Arial" w:hAnsi="Arial" w:cs="Arial"/>
          <w:sz w:val="24"/>
          <w:szCs w:val="24"/>
        </w:rPr>
        <w:t>Karina Novikova</w:t>
      </w:r>
      <w:r w:rsidR="00435C5E" w:rsidRPr="00BD5A18">
        <w:rPr>
          <w:rFonts w:ascii="Arial" w:hAnsi="Arial" w:cs="Arial"/>
          <w:sz w:val="24"/>
          <w:szCs w:val="24"/>
        </w:rPr>
        <w:t xml:space="preserve">, </w:t>
      </w:r>
      <w:r w:rsidR="00BD5A18" w:rsidRPr="00BD5A18">
        <w:rPr>
          <w:rFonts w:ascii="Arial" w:hAnsi="Arial" w:cs="Arial"/>
          <w:sz w:val="24"/>
          <w:szCs w:val="24"/>
        </w:rPr>
        <w:t>Sendvario seniūnijos seniūnė</w:t>
      </w:r>
      <w:r w:rsidR="00435C5E" w:rsidRPr="00BD5A18">
        <w:rPr>
          <w:rFonts w:ascii="Arial" w:hAnsi="Arial" w:cs="Arial"/>
          <w:sz w:val="24"/>
          <w:szCs w:val="24"/>
        </w:rPr>
        <w:t xml:space="preserve">, tel.: </w:t>
      </w:r>
      <w:r w:rsidR="00BD5A18" w:rsidRPr="00BD5A18">
        <w:rPr>
          <w:rFonts w:ascii="Arial" w:hAnsi="Arial" w:cs="Arial"/>
          <w:sz w:val="24"/>
          <w:szCs w:val="24"/>
        </w:rPr>
        <w:t>+370 642 77 470</w:t>
      </w:r>
      <w:r w:rsidR="00435C5E" w:rsidRPr="00BD5A18">
        <w:rPr>
          <w:rFonts w:ascii="Arial" w:hAnsi="Arial" w:cs="Arial"/>
          <w:sz w:val="24"/>
          <w:szCs w:val="24"/>
        </w:rPr>
        <w:t xml:space="preserve">, el. p. </w:t>
      </w:r>
      <w:hyperlink r:id="rId13" w:history="1">
        <w:r w:rsidR="00BD5A18" w:rsidRPr="00BD5A18">
          <w:rPr>
            <w:rStyle w:val="Hipersaitas"/>
            <w:rFonts w:ascii="Arial" w:hAnsi="Arial" w:cs="Arial"/>
            <w:sz w:val="24"/>
            <w:szCs w:val="24"/>
          </w:rPr>
          <w:t>karina.novikova@klaipedos-r.lt</w:t>
        </w:r>
      </w:hyperlink>
      <w:r w:rsidR="00435C5E" w:rsidRPr="00BD5A18">
        <w:rPr>
          <w:rFonts w:ascii="Arial"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33F5E263"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922FD5">
        <w:rPr>
          <w:rFonts w:ascii="Arial" w:hAnsi="Arial" w:cs="Arial"/>
          <w:b/>
          <w:bCs/>
          <w:sz w:val="24"/>
          <w:szCs w:val="24"/>
        </w:rPr>
        <w:t>s</w:t>
      </w:r>
      <w:r w:rsidR="00922FD5" w:rsidRPr="00922FD5">
        <w:rPr>
          <w:rFonts w:ascii="Arial" w:hAnsi="Arial" w:cs="Arial"/>
          <w:b/>
          <w:bCs/>
          <w:sz w:val="24"/>
          <w:szCs w:val="24"/>
        </w:rPr>
        <w:t>tatybos darb</w:t>
      </w:r>
      <w:r w:rsidR="00922FD5">
        <w:rPr>
          <w:rFonts w:ascii="Arial" w:hAnsi="Arial" w:cs="Arial"/>
          <w:b/>
          <w:bCs/>
          <w:sz w:val="24"/>
          <w:szCs w:val="24"/>
        </w:rPr>
        <w:t>us</w:t>
      </w:r>
      <w:r w:rsidR="00922FD5" w:rsidRPr="00922FD5">
        <w:rPr>
          <w:rFonts w:ascii="Arial" w:hAnsi="Arial" w:cs="Arial"/>
          <w:b/>
          <w:bCs/>
          <w:sz w:val="24"/>
          <w:szCs w:val="24"/>
        </w:rPr>
        <w:t xml:space="preserve">, vykdant </w:t>
      </w:r>
      <w:r w:rsidR="00922FD5">
        <w:rPr>
          <w:rFonts w:ascii="Arial" w:hAnsi="Arial" w:cs="Arial"/>
          <w:b/>
          <w:bCs/>
          <w:sz w:val="24"/>
          <w:szCs w:val="24"/>
        </w:rPr>
        <w:t>k</w:t>
      </w:r>
      <w:r w:rsidR="00922FD5" w:rsidRPr="00922FD5">
        <w:rPr>
          <w:rFonts w:ascii="Arial" w:hAnsi="Arial" w:cs="Arial"/>
          <w:b/>
          <w:bCs/>
          <w:sz w:val="24"/>
          <w:szCs w:val="24"/>
        </w:rPr>
        <w:t>itos paskirties inžinerinio statinio (kolumbariumo) Slengių riboto laidojimo kapinėse Sendvario sen., Klaipėdos r. sav., supaprastinto statybos projektą Nr. VS-20.22</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lastRenderedPageBreak/>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0E27">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Default="00217A04" w:rsidP="00217A04">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3E34D704" w14:textId="77777777" w:rsidR="00D91576" w:rsidRPr="00217A04" w:rsidRDefault="00D91576" w:rsidP="00217A04">
      <w:pPr>
        <w:numPr>
          <w:ilvl w:val="1"/>
          <w:numId w:val="0"/>
        </w:numPr>
        <w:spacing w:after="0"/>
        <w:jc w:val="center"/>
        <w:rPr>
          <w:rFonts w:ascii="Arial" w:hAnsi="Arial" w:cs="Arial"/>
          <w:b/>
          <w:bCs/>
          <w:caps/>
          <w:smallCaps/>
          <w:spacing w:val="20"/>
          <w:sz w:val="24"/>
          <w:szCs w:val="24"/>
        </w:rPr>
      </w:pPr>
    </w:p>
    <w:tbl>
      <w:tblPr>
        <w:tblStyle w:val="TableGrid3"/>
        <w:tblpPr w:leftFromText="180" w:rightFromText="180" w:vertAnchor="page" w:horzAnchor="margin" w:tblpY="5305"/>
        <w:tblW w:w="5176" w:type="pct"/>
        <w:tblLook w:val="04A0" w:firstRow="1" w:lastRow="0" w:firstColumn="1" w:lastColumn="0" w:noHBand="0" w:noVBand="1"/>
      </w:tblPr>
      <w:tblGrid>
        <w:gridCol w:w="617"/>
        <w:gridCol w:w="2496"/>
        <w:gridCol w:w="4293"/>
        <w:gridCol w:w="3418"/>
      </w:tblGrid>
      <w:tr w:rsidR="00D91576" w:rsidRPr="00217A04" w14:paraId="022C5398" w14:textId="77777777" w:rsidTr="00D91576">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EAD0FCF"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445EC7"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4C552"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42AA24" w14:textId="77777777" w:rsidR="00D91576" w:rsidRPr="00217A04" w:rsidRDefault="00D91576" w:rsidP="00D91576">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E85E844"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3C44EA28"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E5B"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C57C"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D91576" w:rsidRPr="00217A04" w14:paraId="6099C34A"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7DEA4" w14:textId="77777777" w:rsidR="00D91576" w:rsidRPr="00217A04" w:rsidRDefault="00D91576" w:rsidP="00D91576">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068518D1" w14:textId="77777777" w:rsidR="00D91576" w:rsidRPr="00C74B03" w:rsidRDefault="00D91576" w:rsidP="00D91576">
            <w:pPr>
              <w:autoSpaceDN w:val="0"/>
              <w:jc w:val="both"/>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B15B83B" w14:textId="77777777" w:rsidR="00D91576" w:rsidRPr="00217A04" w:rsidRDefault="00D91576" w:rsidP="00D91576">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9303" w14:textId="77777777" w:rsidR="00D91576" w:rsidRPr="00217A04" w:rsidRDefault="00D91576" w:rsidP="00D91576">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D91576" w:rsidRPr="00217A04" w14:paraId="68C16CA5"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5C8A0" w14:textId="77777777" w:rsidR="00D91576" w:rsidRPr="00217A04" w:rsidRDefault="00D91576" w:rsidP="00D91576">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5453" w14:textId="77777777" w:rsidR="00D91576" w:rsidRPr="00217A04" w:rsidRDefault="00D91576" w:rsidP="00D91576">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6705E8D0" w14:textId="77777777" w:rsidR="00D91576" w:rsidRPr="009F7DEF" w:rsidRDefault="00D91576" w:rsidP="00D91576">
            <w:pPr>
              <w:autoSpaceDE w:val="0"/>
              <w:autoSpaceDN w:val="0"/>
              <w:adjustRightInd w:val="0"/>
              <w:spacing w:line="276" w:lineRule="auto"/>
              <w:jc w:val="both"/>
              <w:rPr>
                <w:rFonts w:ascii="Arial" w:eastAsiaTheme="minorEastAsia" w:hAnsi="Arial" w:cs="Arial"/>
                <w:b/>
                <w:bCs/>
                <w:sz w:val="24"/>
                <w:szCs w:val="24"/>
              </w:rPr>
            </w:pPr>
            <w:r w:rsidRPr="009F7DEF">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91576" w:rsidRPr="00217A04" w14:paraId="659FDB2A"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E429"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DA27"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D91576" w:rsidRPr="00217A04" w14:paraId="7A126BA2"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7C1A9"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7EBD3D58" w14:textId="77777777" w:rsidR="00D91576" w:rsidRPr="00C74B03" w:rsidRDefault="00D91576" w:rsidP="00D91576">
            <w:pPr>
              <w:autoSpaceDE w:val="0"/>
              <w:autoSpaceDN w:val="0"/>
              <w:adjustRightInd w:val="0"/>
              <w:spacing w:line="276" w:lineRule="auto"/>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CE747B7"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6FCF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D91576" w:rsidRPr="00217A04" w14:paraId="07A07F73"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2DFF" w14:textId="77777777" w:rsidR="00D91576" w:rsidRPr="00217A04" w:rsidRDefault="00D91576" w:rsidP="00D91576">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7C96B20"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51F7C26"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A894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D91576" w:rsidRPr="00217A04" w14:paraId="48E8CC57"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60391"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3B2A3"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D91576" w:rsidRPr="00217A04" w14:paraId="3FD156CF" w14:textId="77777777" w:rsidTr="00D91576">
        <w:trPr>
          <w:trHeight w:val="272"/>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721"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1B5C7872" w14:textId="77777777" w:rsidR="00D91576" w:rsidRPr="00217A04" w:rsidRDefault="00D91576" w:rsidP="00D91576">
            <w:pPr>
              <w:spacing w:line="276" w:lineRule="auto"/>
              <w:jc w:val="both"/>
              <w:rPr>
                <w:rFonts w:ascii="Arial" w:eastAsiaTheme="minorEastAsia" w:hAnsi="Arial" w:cs="Arial"/>
                <w:sz w:val="24"/>
                <w:szCs w:val="24"/>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5855D85" w14:textId="77777777" w:rsidR="00D91576" w:rsidRPr="00217A04" w:rsidRDefault="00D91576" w:rsidP="00D91576">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8252" w14:textId="77777777" w:rsidR="00D91576" w:rsidRPr="00217A04" w:rsidRDefault="00D91576" w:rsidP="00D91576">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D91576" w:rsidRPr="00217A04" w14:paraId="7B061691"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26ED"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506E493C" w14:textId="77777777" w:rsidR="00D91576" w:rsidRPr="00217A04" w:rsidRDefault="00D91576" w:rsidP="00D91576">
            <w:pPr>
              <w:spacing w:line="276" w:lineRule="auto"/>
              <w:jc w:val="both"/>
              <w:rPr>
                <w:rFonts w:ascii="Arial" w:eastAsia="Arial Unicode MS"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1FC554B" w14:textId="77777777" w:rsidR="00D91576" w:rsidRPr="00217A04" w:rsidRDefault="00D91576" w:rsidP="00D91576">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0F790" w14:textId="77777777" w:rsidR="00D91576" w:rsidRPr="00217A04" w:rsidRDefault="00D91576" w:rsidP="00D91576">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bl>
    <w:p w14:paraId="6706AC36" w14:textId="1A73ECD0" w:rsidR="00D91576" w:rsidRPr="009D5D84" w:rsidRDefault="00D91576" w:rsidP="00D91576">
      <w:pPr>
        <w:numPr>
          <w:ilvl w:val="0"/>
          <w:numId w:val="3"/>
        </w:numPr>
        <w:spacing w:line="240" w:lineRule="auto"/>
        <w:rPr>
          <w:rFonts w:ascii="Arial" w:eastAsia="Arial" w:hAnsi="Arial" w:cs="Arial"/>
          <w:sz w:val="24"/>
          <w:szCs w:val="24"/>
          <w:u w:val="single"/>
        </w:rPr>
      </w:pPr>
      <w:r w:rsidRPr="009D5D84">
        <w:rPr>
          <w:rFonts w:ascii="Arial" w:eastAsia="Arial" w:hAnsi="Arial" w:cs="Arial"/>
          <w:sz w:val="24"/>
          <w:szCs w:val="24"/>
          <w:u w:val="single"/>
        </w:rPr>
        <w:t>Reikalavimai tiekėjo kvalifikacijai nėra nustatomi.</w:t>
      </w:r>
    </w:p>
    <w:p w14:paraId="29B89D37" w14:textId="77777777" w:rsidR="00D91576" w:rsidRDefault="00D91576" w:rsidP="00D91576">
      <w:pPr>
        <w:spacing w:after="0"/>
        <w:jc w:val="center"/>
        <w:rPr>
          <w:rFonts w:ascii="Arial" w:eastAsiaTheme="minorHAnsi" w:hAnsi="Arial" w:cs="Arial"/>
          <w:b/>
          <w:bCs/>
          <w:sz w:val="24"/>
          <w:szCs w:val="24"/>
        </w:rPr>
      </w:pPr>
    </w:p>
    <w:p w14:paraId="5DC21DDD" w14:textId="364254B6" w:rsidR="00D91576" w:rsidRPr="00D91576" w:rsidRDefault="00EB2A1C" w:rsidP="00D91576">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2F227D7E"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6355148A"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2A681C37"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1F1FA72C"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7FDCD7BD" w14:textId="770F4038"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tbl>
      <w:tblPr>
        <w:tblStyle w:val="TableGrid3"/>
        <w:tblpPr w:leftFromText="180" w:rightFromText="180" w:vertAnchor="text" w:horzAnchor="margin" w:tblpY="267"/>
        <w:tblW w:w="10206" w:type="dxa"/>
        <w:tblLook w:val="04A0" w:firstRow="1" w:lastRow="0" w:firstColumn="1" w:lastColumn="0" w:noHBand="0" w:noVBand="1"/>
      </w:tblPr>
      <w:tblGrid>
        <w:gridCol w:w="709"/>
        <w:gridCol w:w="3685"/>
        <w:gridCol w:w="2992"/>
        <w:gridCol w:w="2820"/>
      </w:tblGrid>
      <w:tr w:rsidR="00D91576" w:rsidRPr="00217A04" w14:paraId="412F3B10" w14:textId="77777777" w:rsidTr="00D91576">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B099B3"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055187"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15784C"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49D55"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C046F51"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64B831B2"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A27A"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F365" w14:textId="77777777" w:rsidR="00D91576" w:rsidRPr="00217A04" w:rsidRDefault="00D91576" w:rsidP="00D91576">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D91576" w:rsidRPr="00217A04" w14:paraId="0CEDE5EC"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68DC"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88AD"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3D00"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6EF0F"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D91576" w:rsidRPr="00217A04" w14:paraId="181407D0"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F8D"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A8C45"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D91576" w:rsidRPr="00217A04" w14:paraId="53EC8226" w14:textId="77777777" w:rsidTr="00D9157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7ABF"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D676" w14:textId="77777777" w:rsidR="00D91576" w:rsidRPr="00217A04" w:rsidRDefault="00D91576" w:rsidP="00D91576">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6E59" w14:textId="77777777" w:rsidR="00D91576" w:rsidRPr="00217A04" w:rsidRDefault="00D91576" w:rsidP="00D91576">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FB03" w14:textId="77777777" w:rsidR="00D91576" w:rsidRPr="00217A04" w:rsidRDefault="00D91576" w:rsidP="00D91576">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.xml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21E9A44D"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922FD5" w:rsidRPr="00922FD5">
              <w:rPr>
                <w:rFonts w:ascii="Arial" w:eastAsia="Times New Roman" w:hAnsi="Arial" w:cs="Arial"/>
                <w:b/>
                <w:bCs/>
                <w:sz w:val="24"/>
                <w:szCs w:val="24"/>
              </w:rPr>
              <w:t>P-2025/13884, STATYBOS DARBAI, VYKDANT KITOS PASKIRTIES INŽINERINIO STATINIO (KOLUMBARIUMO) SLENGIŲ RIBOTO LAIDOJIMO KAPINĖSE SENDVARIO SEN., KLAIPĖDOS R. SAV., SUPAPRASTINTO STATYBOS PROJEKTĄ NR. VS-20.22</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D3750C"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11CF57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6E4DDD" w:rsidRPr="00D3750C" w14:paraId="1C9063E8" w14:textId="77777777" w:rsidTr="00FD7194">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07B096A8" w14:textId="248ACDA3" w:rsidR="006E4DDD" w:rsidRPr="00D3750C" w:rsidRDefault="006E4DDD" w:rsidP="00FD7194">
            <w:pPr>
              <w:spacing w:after="0"/>
              <w:jc w:val="both"/>
              <w:textAlignment w:val="baseline"/>
              <w:rPr>
                <w:rFonts w:ascii="Arial" w:eastAsia="Times New Roman" w:hAnsi="Arial" w:cs="Arial"/>
                <w:b/>
                <w:bCs/>
                <w:sz w:val="24"/>
                <w:szCs w:val="24"/>
              </w:rPr>
            </w:pPr>
            <w:r>
              <w:rPr>
                <w:rFonts w:ascii="Arial" w:eastAsia="Times New Roman" w:hAnsi="Arial" w:cs="Arial"/>
                <w:b/>
                <w:bCs/>
                <w:sz w:val="24"/>
                <w:szCs w:val="24"/>
              </w:rPr>
              <w:t>Kitos paskirties inžinerinio statinio Laisvės g. 5, Veiviržėnų mstl., Klaipėdos r. sav. statyba</w:t>
            </w:r>
          </w:p>
        </w:tc>
      </w:tr>
      <w:tr w:rsidR="006E4DDD" w:rsidRPr="00D3750C"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6E4DDD" w:rsidRPr="00D3750C"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7E96580" w14:textId="24023166" w:rsidR="006E4DDD" w:rsidRPr="00D3750C" w:rsidRDefault="0076586F" w:rsidP="00FD7194">
            <w:pPr>
              <w:spacing w:after="0"/>
              <w:textAlignment w:val="baseline"/>
              <w:rPr>
                <w:rFonts w:ascii="Arial" w:eastAsia="Times New Roman" w:hAnsi="Arial" w:cs="Arial"/>
                <w:sz w:val="24"/>
                <w:szCs w:val="24"/>
              </w:rPr>
            </w:pPr>
            <w:r w:rsidRPr="0076586F">
              <w:rPr>
                <w:rFonts w:ascii="Arial" w:eastAsia="Times New Roman" w:hAnsi="Arial" w:cs="Arial"/>
                <w:b/>
                <w:bCs/>
                <w:sz w:val="24"/>
                <w:szCs w:val="24"/>
              </w:rPr>
              <w:t>Statybos darbai, vykdant Kitos paskirties inžinerinio statinio (kolumbariumo) Slengių riboto laidojimo kapinėse Sendvario sen., Klaipėdos r. sav., supaprastinto statybos projektą Nr. VS-20.22</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DB2336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032DE482"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75C13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D21E7E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3A0E194C"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76586F">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01FF" w14:textId="77777777" w:rsidR="001D2E25" w:rsidRDefault="001D2E25" w:rsidP="00D05666">
      <w:r>
        <w:separator/>
      </w:r>
    </w:p>
  </w:endnote>
  <w:endnote w:type="continuationSeparator" w:id="0">
    <w:p w14:paraId="48E6CAD8" w14:textId="77777777" w:rsidR="001D2E25" w:rsidRDefault="001D2E25" w:rsidP="00D05666">
      <w:r>
        <w:continuationSeparator/>
      </w:r>
    </w:p>
  </w:endnote>
  <w:endnote w:type="continuationNotice" w:id="1">
    <w:p w14:paraId="08716BC3" w14:textId="77777777" w:rsidR="001D2E25" w:rsidRDefault="001D2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506E" w14:textId="77777777" w:rsidR="001D2E25" w:rsidRDefault="001D2E25" w:rsidP="00D05666">
      <w:r>
        <w:separator/>
      </w:r>
    </w:p>
  </w:footnote>
  <w:footnote w:type="continuationSeparator" w:id="0">
    <w:p w14:paraId="25A1F8E0" w14:textId="77777777" w:rsidR="001D2E25" w:rsidRDefault="001D2E25" w:rsidP="00D05666">
      <w:r>
        <w:continuationSeparator/>
      </w:r>
    </w:p>
  </w:footnote>
  <w:footnote w:type="continuationNotice" w:id="1">
    <w:p w14:paraId="04576657" w14:textId="77777777" w:rsidR="001D2E25" w:rsidRDefault="001D2E25">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39CAEEA" w14:textId="77777777" w:rsidR="00D91576" w:rsidRDefault="00D91576" w:rsidP="00D9157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EF12C3" w14:textId="77777777" w:rsidR="00D91576" w:rsidRDefault="00D91576" w:rsidP="00D9157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6B"/>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2E25"/>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77AD0"/>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75"/>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0F0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585"/>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586F"/>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40F"/>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FD5"/>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9BF"/>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5A18"/>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85"/>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5CA"/>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2A"/>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novikova@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34714</Words>
  <Characters>19788</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7</cp:revision>
  <dcterms:created xsi:type="dcterms:W3CDTF">2025-12-22T11:43:00Z</dcterms:created>
  <dcterms:modified xsi:type="dcterms:W3CDTF">2025-12-23T06:09:00Z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