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39AB76" w14:textId="2C624AEA" w:rsidR="006778AE" w:rsidRPr="00F2263E" w:rsidRDefault="00557484" w:rsidP="00474C47">
      <w:pPr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lt-LT"/>
        </w:rPr>
      </w:pPr>
      <w:bookmarkStart w:id="0" w:name="_GoBack"/>
      <w:bookmarkEnd w:id="0"/>
      <w:r w:rsidRPr="00F2263E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 xml:space="preserve">MEDICININIŲ VAIZDŲ ARCHYVAVIMO SISTEMOS </w:t>
      </w:r>
      <w:r w:rsidR="00F2263E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ATNAUJINIMAS</w:t>
      </w:r>
    </w:p>
    <w:p w14:paraId="46738CE2" w14:textId="77777777" w:rsidR="00C93AC2" w:rsidRPr="00F2263E" w:rsidRDefault="0008764C" w:rsidP="00474C47">
      <w:pPr>
        <w:jc w:val="center"/>
        <w:rPr>
          <w:rFonts w:ascii="Times New Roman" w:eastAsia="Times New Roman" w:hAnsi="Times New Roman" w:cs="Times New Roman"/>
          <w:sz w:val="22"/>
          <w:szCs w:val="22"/>
          <w:lang w:eastAsia="lt-LT"/>
        </w:rPr>
      </w:pPr>
      <w:r w:rsidRPr="00F2263E">
        <w:rPr>
          <w:rFonts w:ascii="Times New Roman" w:eastAsia="Times New Roman" w:hAnsi="Times New Roman" w:cs="Times New Roman"/>
          <w:sz w:val="22"/>
          <w:szCs w:val="22"/>
          <w:lang w:eastAsia="lt-LT"/>
        </w:rPr>
        <w:t>TECHNINĖ SPECIFIKACIJA</w:t>
      </w:r>
    </w:p>
    <w:p w14:paraId="59F08AB9" w14:textId="77777777" w:rsidR="00D410E5" w:rsidRPr="00F2263E" w:rsidRDefault="00D410E5" w:rsidP="00474C47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7C06C620" w14:textId="77777777" w:rsidR="00C93AC2" w:rsidRPr="00F2263E" w:rsidRDefault="00C93AC2">
      <w:pPr>
        <w:rPr>
          <w:rFonts w:ascii="Times New Roman" w:hAnsi="Times New Roman" w:cs="Times New Roman"/>
          <w:sz w:val="22"/>
          <w:szCs w:val="22"/>
        </w:rPr>
      </w:pPr>
    </w:p>
    <w:p w14:paraId="2AEBC18C" w14:textId="77777777" w:rsidR="0021127D" w:rsidRPr="00F2263E" w:rsidRDefault="0021127D" w:rsidP="0021127D">
      <w:pPr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F2263E">
        <w:rPr>
          <w:rFonts w:ascii="Times New Roman" w:hAnsi="Times New Roman" w:cs="Times New Roman"/>
          <w:b/>
          <w:sz w:val="22"/>
          <w:szCs w:val="22"/>
        </w:rPr>
        <w:t>Pirkimo tikslas</w:t>
      </w:r>
      <w:r w:rsidRPr="00F2263E">
        <w:rPr>
          <w:rFonts w:ascii="Times New Roman" w:hAnsi="Times New Roman" w:cs="Times New Roman"/>
          <w:b/>
          <w:sz w:val="22"/>
          <w:szCs w:val="22"/>
        </w:rPr>
        <w:tab/>
      </w:r>
    </w:p>
    <w:p w14:paraId="316CDE85" w14:textId="77777777" w:rsidR="00224979" w:rsidRPr="00F2263E" w:rsidRDefault="00224979" w:rsidP="0021127D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38A152CF" w14:textId="4430E920" w:rsidR="00540485" w:rsidRPr="00F2263E" w:rsidRDefault="006D768B" w:rsidP="00C1738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2263E">
        <w:rPr>
          <w:rFonts w:ascii="Times New Roman" w:hAnsi="Times New Roman" w:cs="Times New Roman"/>
          <w:sz w:val="22"/>
          <w:szCs w:val="22"/>
        </w:rPr>
        <w:t xml:space="preserve">Šiuo pirkimu </w:t>
      </w:r>
      <w:r w:rsidR="00B47EE5" w:rsidRPr="00F2263E">
        <w:rPr>
          <w:rFonts w:ascii="Times New Roman" w:hAnsi="Times New Roman" w:cs="Times New Roman"/>
          <w:sz w:val="22"/>
          <w:szCs w:val="22"/>
        </w:rPr>
        <w:t xml:space="preserve">Lietuvos sveikatos mokslų universiteto ligoninė Kauno klinikos (toliau - </w:t>
      </w:r>
      <w:r w:rsidR="0021127D" w:rsidRPr="00F2263E">
        <w:rPr>
          <w:rFonts w:ascii="Times New Roman" w:hAnsi="Times New Roman" w:cs="Times New Roman"/>
          <w:sz w:val="22"/>
          <w:szCs w:val="22"/>
        </w:rPr>
        <w:t>Perkančioji organizacija</w:t>
      </w:r>
      <w:r w:rsidR="00B47EE5" w:rsidRPr="00F2263E">
        <w:rPr>
          <w:rFonts w:ascii="Times New Roman" w:hAnsi="Times New Roman" w:cs="Times New Roman"/>
          <w:sz w:val="22"/>
          <w:szCs w:val="22"/>
        </w:rPr>
        <w:t>)</w:t>
      </w:r>
      <w:r w:rsidR="0021127D" w:rsidRPr="00F2263E">
        <w:rPr>
          <w:rFonts w:ascii="Times New Roman" w:hAnsi="Times New Roman" w:cs="Times New Roman"/>
          <w:sz w:val="22"/>
          <w:szCs w:val="22"/>
        </w:rPr>
        <w:t xml:space="preserve"> </w:t>
      </w:r>
      <w:r w:rsidRPr="00F2263E">
        <w:rPr>
          <w:rFonts w:ascii="Times New Roman" w:hAnsi="Times New Roman" w:cs="Times New Roman"/>
          <w:sz w:val="22"/>
          <w:szCs w:val="22"/>
        </w:rPr>
        <w:t xml:space="preserve">siekia </w:t>
      </w:r>
      <w:r w:rsidR="001938E0" w:rsidRPr="00F2263E">
        <w:rPr>
          <w:rFonts w:ascii="Times New Roman" w:hAnsi="Times New Roman" w:cs="Times New Roman"/>
          <w:sz w:val="22"/>
          <w:szCs w:val="22"/>
        </w:rPr>
        <w:t xml:space="preserve">sudaryti </w:t>
      </w:r>
      <w:r w:rsidRPr="00F2263E">
        <w:rPr>
          <w:rFonts w:ascii="Times New Roman" w:hAnsi="Times New Roman" w:cs="Times New Roman"/>
          <w:sz w:val="22"/>
          <w:szCs w:val="22"/>
        </w:rPr>
        <w:t>turim</w:t>
      </w:r>
      <w:r w:rsidR="00881667" w:rsidRPr="00F2263E">
        <w:rPr>
          <w:rFonts w:ascii="Times New Roman" w:hAnsi="Times New Roman" w:cs="Times New Roman"/>
          <w:sz w:val="22"/>
          <w:szCs w:val="22"/>
        </w:rPr>
        <w:t>os</w:t>
      </w:r>
      <w:r w:rsidRPr="00F2263E">
        <w:rPr>
          <w:rFonts w:ascii="Times New Roman" w:hAnsi="Times New Roman" w:cs="Times New Roman"/>
          <w:sz w:val="22"/>
          <w:szCs w:val="22"/>
        </w:rPr>
        <w:t xml:space="preserve"> </w:t>
      </w:r>
      <w:r w:rsidR="00486D7C" w:rsidRPr="00F2263E">
        <w:rPr>
          <w:rFonts w:ascii="Times New Roman" w:hAnsi="Times New Roman" w:cs="Times New Roman"/>
          <w:sz w:val="22"/>
          <w:szCs w:val="22"/>
        </w:rPr>
        <w:t xml:space="preserve">medicininių </w:t>
      </w:r>
      <w:r w:rsidRPr="00F2263E">
        <w:rPr>
          <w:rFonts w:ascii="Times New Roman" w:hAnsi="Times New Roman" w:cs="Times New Roman"/>
          <w:sz w:val="22"/>
          <w:szCs w:val="22"/>
        </w:rPr>
        <w:t>vaizdų archyvų</w:t>
      </w:r>
      <w:r w:rsidR="00B47EE5" w:rsidRPr="00F2263E">
        <w:rPr>
          <w:rFonts w:ascii="Times New Roman" w:hAnsi="Times New Roman" w:cs="Times New Roman"/>
          <w:sz w:val="22"/>
          <w:szCs w:val="22"/>
        </w:rPr>
        <w:t xml:space="preserve"> sistemos „</w:t>
      </w:r>
      <w:r w:rsidRPr="00F2263E">
        <w:rPr>
          <w:rFonts w:ascii="Times New Roman" w:hAnsi="Times New Roman" w:cs="Times New Roman"/>
          <w:sz w:val="22"/>
          <w:szCs w:val="22"/>
        </w:rPr>
        <w:t xml:space="preserve">MedDream PACS“ programinės įrangos </w:t>
      </w:r>
      <w:r w:rsidR="00EB76FB" w:rsidRPr="00F2263E">
        <w:rPr>
          <w:rFonts w:ascii="Times New Roman" w:hAnsi="Times New Roman" w:cs="Times New Roman"/>
          <w:sz w:val="22"/>
          <w:szCs w:val="22"/>
        </w:rPr>
        <w:t xml:space="preserve">atnaujinimo </w:t>
      </w:r>
      <w:r w:rsidR="00B47EE5" w:rsidRPr="00F2263E">
        <w:rPr>
          <w:rFonts w:ascii="Times New Roman" w:hAnsi="Times New Roman" w:cs="Times New Roman"/>
          <w:sz w:val="22"/>
          <w:szCs w:val="22"/>
        </w:rPr>
        <w:t>paslaug</w:t>
      </w:r>
      <w:r w:rsidR="001938E0" w:rsidRPr="00F2263E">
        <w:rPr>
          <w:rFonts w:ascii="Times New Roman" w:hAnsi="Times New Roman" w:cs="Times New Roman"/>
          <w:sz w:val="22"/>
          <w:szCs w:val="22"/>
        </w:rPr>
        <w:t xml:space="preserve">ų sutartį </w:t>
      </w:r>
      <w:r w:rsidR="006570B6" w:rsidRPr="00F2263E">
        <w:rPr>
          <w:rFonts w:ascii="Times New Roman" w:hAnsi="Times New Roman" w:cs="Times New Roman"/>
          <w:sz w:val="22"/>
          <w:szCs w:val="22"/>
        </w:rPr>
        <w:t xml:space="preserve">bei </w:t>
      </w:r>
      <w:r w:rsidR="00557484" w:rsidRPr="00F2263E">
        <w:rPr>
          <w:rFonts w:ascii="Times New Roman" w:hAnsi="Times New Roman" w:cs="Times New Roman"/>
          <w:sz w:val="22"/>
          <w:szCs w:val="22"/>
        </w:rPr>
        <w:t xml:space="preserve">atlikti </w:t>
      </w:r>
      <w:r w:rsidR="00C17384" w:rsidRPr="00F2263E">
        <w:rPr>
          <w:rFonts w:ascii="Times New Roman" w:hAnsi="Times New Roman" w:cs="Times New Roman"/>
          <w:sz w:val="22"/>
          <w:szCs w:val="22"/>
        </w:rPr>
        <w:t xml:space="preserve">informacinės sistemos </w:t>
      </w:r>
      <w:r w:rsidR="00C17384" w:rsidRPr="00F2263E">
        <w:rPr>
          <w:rFonts w:ascii="Times New Roman" w:hAnsi="Times New Roman" w:cs="Times New Roman"/>
          <w:sz w:val="22"/>
          <w:szCs w:val="22"/>
          <w:lang w:bidi="ar-SA"/>
        </w:rPr>
        <w:t>MedDream Pacs Premium ir Meddream WEB DICOM Viewer programinės įrangos atnaujinim</w:t>
      </w:r>
      <w:r w:rsidR="00557484" w:rsidRPr="00F2263E">
        <w:rPr>
          <w:rFonts w:ascii="Times New Roman" w:hAnsi="Times New Roman" w:cs="Times New Roman"/>
          <w:sz w:val="22"/>
          <w:szCs w:val="22"/>
          <w:lang w:bidi="ar-SA"/>
        </w:rPr>
        <w:t>ą.</w:t>
      </w:r>
    </w:p>
    <w:p w14:paraId="1FF29569" w14:textId="77777777" w:rsidR="0093516F" w:rsidRPr="00F2263E" w:rsidRDefault="0093516F" w:rsidP="0093516F">
      <w:pPr>
        <w:pStyle w:val="ListParagraph"/>
        <w:ind w:left="0" w:firstLine="567"/>
        <w:jc w:val="both"/>
        <w:rPr>
          <w:sz w:val="22"/>
          <w:szCs w:val="22"/>
        </w:rPr>
      </w:pPr>
    </w:p>
    <w:p w14:paraId="385A9830" w14:textId="77777777" w:rsidR="0021127D" w:rsidRPr="00F2263E" w:rsidRDefault="0021127D" w:rsidP="0093516F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F2263E">
        <w:rPr>
          <w:rFonts w:ascii="Times New Roman" w:hAnsi="Times New Roman" w:cs="Times New Roman"/>
          <w:b/>
          <w:sz w:val="22"/>
          <w:szCs w:val="22"/>
        </w:rPr>
        <w:t xml:space="preserve">Bendrieji reikalavimai </w:t>
      </w:r>
    </w:p>
    <w:p w14:paraId="068D4860" w14:textId="77777777" w:rsidR="0093516F" w:rsidRPr="00F2263E" w:rsidRDefault="0093516F" w:rsidP="0093516F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2ADCE8E" w14:textId="77777777" w:rsidR="006D79CC" w:rsidRPr="00F2263E" w:rsidRDefault="00881667" w:rsidP="00FA6566">
      <w:pPr>
        <w:pStyle w:val="ListParagraph"/>
        <w:numPr>
          <w:ilvl w:val="0"/>
          <w:numId w:val="20"/>
        </w:numPr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F2263E">
        <w:rPr>
          <w:sz w:val="22"/>
          <w:szCs w:val="22"/>
        </w:rPr>
        <w:t>Paslaugos teikiamos</w:t>
      </w:r>
      <w:r w:rsidR="0021127D" w:rsidRPr="00F2263E">
        <w:rPr>
          <w:sz w:val="22"/>
          <w:szCs w:val="22"/>
        </w:rPr>
        <w:t xml:space="preserve"> iš anksto su Perkančiąja Organizacija suderintu grafiku taip, kad netrukdytų naudotojų da</w:t>
      </w:r>
      <w:r w:rsidR="00224979" w:rsidRPr="00F2263E">
        <w:rPr>
          <w:sz w:val="22"/>
          <w:szCs w:val="22"/>
        </w:rPr>
        <w:t xml:space="preserve">rbo su </w:t>
      </w:r>
      <w:r w:rsidRPr="00F2263E">
        <w:rPr>
          <w:sz w:val="22"/>
          <w:szCs w:val="22"/>
        </w:rPr>
        <w:t>Medicininių vaizdų archyvu</w:t>
      </w:r>
      <w:r w:rsidR="00224979" w:rsidRPr="00F2263E">
        <w:rPr>
          <w:sz w:val="22"/>
          <w:szCs w:val="22"/>
        </w:rPr>
        <w:t>.</w:t>
      </w:r>
      <w:r w:rsidR="00FA6566" w:rsidRPr="00F2263E">
        <w:rPr>
          <w:sz w:val="22"/>
          <w:szCs w:val="22"/>
        </w:rPr>
        <w:t xml:space="preserve"> Esant būtinybei apriboti naudotojų prieigą ar kitaip izoliuoti sistemas, turi išlikti galimybė ne vėliau kaip per 2 valandas </w:t>
      </w:r>
      <w:r w:rsidRPr="00F2263E">
        <w:rPr>
          <w:sz w:val="22"/>
          <w:szCs w:val="22"/>
        </w:rPr>
        <w:t xml:space="preserve">Medicininių vaizdų archyvą </w:t>
      </w:r>
      <w:r w:rsidR="00FA6566" w:rsidRPr="00F2263E">
        <w:rPr>
          <w:sz w:val="22"/>
          <w:szCs w:val="22"/>
        </w:rPr>
        <w:t xml:space="preserve"> pateikti naudotojams. </w:t>
      </w:r>
    </w:p>
    <w:p w14:paraId="7B4951D9" w14:textId="10CF6B57" w:rsidR="00FA6566" w:rsidRPr="00F2263E" w:rsidRDefault="006D79CC" w:rsidP="00FA6566">
      <w:pPr>
        <w:pStyle w:val="ListParagraph"/>
        <w:numPr>
          <w:ilvl w:val="0"/>
          <w:numId w:val="20"/>
        </w:numPr>
        <w:spacing w:line="276" w:lineRule="auto"/>
        <w:ind w:left="0" w:firstLine="567"/>
        <w:contextualSpacing/>
        <w:jc w:val="both"/>
        <w:rPr>
          <w:sz w:val="22"/>
          <w:szCs w:val="22"/>
        </w:rPr>
      </w:pPr>
      <w:r w:rsidRPr="00F2263E">
        <w:rPr>
          <w:sz w:val="22"/>
          <w:szCs w:val="22"/>
        </w:rPr>
        <w:t>Turi būti galimybė</w:t>
      </w:r>
      <w:r w:rsidR="00FA6566" w:rsidRPr="00F2263E">
        <w:rPr>
          <w:sz w:val="22"/>
          <w:szCs w:val="22"/>
        </w:rPr>
        <w:t xml:space="preserve"> atstatyti pradinę </w:t>
      </w:r>
      <w:r w:rsidRPr="00F2263E">
        <w:rPr>
          <w:sz w:val="22"/>
          <w:szCs w:val="22"/>
        </w:rPr>
        <w:t>programinės įrangos</w:t>
      </w:r>
      <w:r w:rsidR="00FA6566" w:rsidRPr="00F2263E">
        <w:rPr>
          <w:sz w:val="22"/>
          <w:szCs w:val="22"/>
        </w:rPr>
        <w:t xml:space="preserve"> padėtį (</w:t>
      </w:r>
      <w:r w:rsidR="00FA6566" w:rsidRPr="00F2263E">
        <w:rPr>
          <w:i/>
          <w:sz w:val="22"/>
          <w:szCs w:val="22"/>
        </w:rPr>
        <w:t xml:space="preserve">angl. </w:t>
      </w:r>
      <w:r w:rsidR="000C565D" w:rsidRPr="00F2263E">
        <w:rPr>
          <w:i/>
          <w:sz w:val="22"/>
          <w:szCs w:val="22"/>
        </w:rPr>
        <w:t xml:space="preserve">- </w:t>
      </w:r>
      <w:r w:rsidR="00FA6566" w:rsidRPr="00F2263E">
        <w:rPr>
          <w:sz w:val="22"/>
          <w:szCs w:val="22"/>
        </w:rPr>
        <w:t>roll back changes).</w:t>
      </w:r>
    </w:p>
    <w:p w14:paraId="46D5E1A0" w14:textId="77777777" w:rsidR="00224979" w:rsidRPr="00F2263E" w:rsidRDefault="00224979" w:rsidP="00417D30">
      <w:pPr>
        <w:pStyle w:val="ListParagraph"/>
        <w:numPr>
          <w:ilvl w:val="0"/>
          <w:numId w:val="20"/>
        </w:numPr>
        <w:spacing w:after="200" w:line="276" w:lineRule="auto"/>
        <w:ind w:left="0" w:firstLine="567"/>
        <w:contextualSpacing/>
        <w:jc w:val="both"/>
        <w:rPr>
          <w:sz w:val="22"/>
          <w:szCs w:val="22"/>
        </w:rPr>
      </w:pPr>
      <w:r w:rsidRPr="00F2263E">
        <w:rPr>
          <w:sz w:val="22"/>
          <w:szCs w:val="22"/>
        </w:rPr>
        <w:t xml:space="preserve">Nesant galimybei darbų vykdyti nuotoliniu būdu arba jei tokie veiksmai keltų grėsmę duomenų saugumui, </w:t>
      </w:r>
      <w:r w:rsidR="00FA6566" w:rsidRPr="00F2263E">
        <w:rPr>
          <w:sz w:val="22"/>
          <w:szCs w:val="22"/>
        </w:rPr>
        <w:t>Vykdytojo</w:t>
      </w:r>
      <w:r w:rsidRPr="00F2263E">
        <w:rPr>
          <w:sz w:val="22"/>
          <w:szCs w:val="22"/>
        </w:rPr>
        <w:t xml:space="preserve"> atstovai privalo atvykti į perkančiosios </w:t>
      </w:r>
      <w:r w:rsidR="00F35BE0" w:rsidRPr="00F2263E">
        <w:rPr>
          <w:sz w:val="22"/>
          <w:szCs w:val="22"/>
        </w:rPr>
        <w:t>organizacijos buveinę adresu Eivenių g. 2, Kaunas.</w:t>
      </w:r>
    </w:p>
    <w:p w14:paraId="7494615E" w14:textId="2081396B" w:rsidR="007C1BE4" w:rsidRPr="00F2263E" w:rsidRDefault="006D79CC" w:rsidP="007C1BE4">
      <w:pPr>
        <w:pStyle w:val="ListParagraph"/>
        <w:numPr>
          <w:ilvl w:val="0"/>
          <w:numId w:val="20"/>
        </w:numPr>
        <w:spacing w:after="200" w:line="276" w:lineRule="auto"/>
        <w:ind w:left="0" w:firstLine="567"/>
        <w:contextualSpacing/>
        <w:jc w:val="both"/>
        <w:rPr>
          <w:sz w:val="22"/>
          <w:szCs w:val="22"/>
        </w:rPr>
      </w:pPr>
      <w:r w:rsidRPr="00F2263E">
        <w:rPr>
          <w:sz w:val="22"/>
          <w:szCs w:val="22"/>
        </w:rPr>
        <w:t>P</w:t>
      </w:r>
      <w:r w:rsidR="007C1BE4" w:rsidRPr="00F2263E">
        <w:rPr>
          <w:sz w:val="22"/>
          <w:szCs w:val="22"/>
        </w:rPr>
        <w:t xml:space="preserve">ateikiama </w:t>
      </w:r>
      <w:r w:rsidRPr="00F2263E">
        <w:rPr>
          <w:sz w:val="22"/>
          <w:szCs w:val="22"/>
        </w:rPr>
        <w:t xml:space="preserve">programinė </w:t>
      </w:r>
      <w:r w:rsidR="007C1BE4" w:rsidRPr="00F2263E">
        <w:rPr>
          <w:sz w:val="22"/>
          <w:szCs w:val="22"/>
        </w:rPr>
        <w:t>įranga, licencijos, turi būti užregistruotos Perkančiosios organizacijos vardu.</w:t>
      </w:r>
    </w:p>
    <w:p w14:paraId="7B68493B" w14:textId="77777777" w:rsidR="007C1BE4" w:rsidRPr="00F2263E" w:rsidRDefault="007C1BE4" w:rsidP="00B25443">
      <w:pPr>
        <w:pStyle w:val="ListParagraph"/>
        <w:numPr>
          <w:ilvl w:val="0"/>
          <w:numId w:val="20"/>
        </w:numPr>
        <w:spacing w:after="200" w:line="276" w:lineRule="auto"/>
        <w:ind w:left="0" w:firstLine="567"/>
        <w:contextualSpacing/>
        <w:jc w:val="both"/>
        <w:rPr>
          <w:sz w:val="22"/>
          <w:szCs w:val="22"/>
        </w:rPr>
      </w:pPr>
      <w:r w:rsidRPr="00F2263E">
        <w:rPr>
          <w:sz w:val="22"/>
          <w:szCs w:val="22"/>
        </w:rPr>
        <w:t>Vykdytojui atnaujinus PĮ privalomas personalo apmokymas naudotis atnaujinta PĮ.</w:t>
      </w:r>
    </w:p>
    <w:p w14:paraId="6ACE66D3" w14:textId="07C87C9B" w:rsidR="00AC393E" w:rsidRPr="00F2263E" w:rsidRDefault="00AC393E" w:rsidP="00B25443">
      <w:pPr>
        <w:pStyle w:val="ListParagraph"/>
        <w:numPr>
          <w:ilvl w:val="0"/>
          <w:numId w:val="20"/>
        </w:numPr>
        <w:spacing w:after="200" w:line="276" w:lineRule="auto"/>
        <w:ind w:left="0" w:firstLine="567"/>
        <w:contextualSpacing/>
        <w:jc w:val="both"/>
        <w:rPr>
          <w:sz w:val="22"/>
          <w:szCs w:val="22"/>
        </w:rPr>
      </w:pPr>
      <w:r w:rsidRPr="00F2263E">
        <w:rPr>
          <w:sz w:val="22"/>
          <w:szCs w:val="22"/>
        </w:rPr>
        <w:t xml:space="preserve">Kai </w:t>
      </w:r>
      <w:r w:rsidR="006D79CC" w:rsidRPr="00F2263E">
        <w:rPr>
          <w:sz w:val="22"/>
          <w:szCs w:val="22"/>
        </w:rPr>
        <w:t>atitikimo</w:t>
      </w:r>
      <w:r w:rsidRPr="00F2263E">
        <w:rPr>
          <w:sz w:val="22"/>
          <w:szCs w:val="22"/>
        </w:rPr>
        <w:t xml:space="preserve"> skiltyje aprašomos paslaugos ar kiti įpareigojimai, kurie bus įgyvendinami vykdant sutartį, Vykdytojas turi įrašyti įsipareigojimą atlikti reikalaujamas paslaugas ar įsipareigojimus.</w:t>
      </w:r>
    </w:p>
    <w:p w14:paraId="6E47C0ED" w14:textId="77777777" w:rsidR="006D768B" w:rsidRPr="00F2263E" w:rsidRDefault="006D768B" w:rsidP="006D768B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1C1481F" w14:textId="77777777" w:rsidR="00536F96" w:rsidRPr="00F2263E" w:rsidRDefault="0008764C" w:rsidP="0008764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F2263E">
        <w:rPr>
          <w:rFonts w:ascii="Times New Roman" w:hAnsi="Times New Roman" w:cs="Times New Roman"/>
          <w:sz w:val="22"/>
          <w:szCs w:val="22"/>
        </w:rPr>
        <w:t xml:space="preserve">Pirkimas </w:t>
      </w:r>
      <w:r w:rsidR="00B47EE5" w:rsidRPr="00F2263E">
        <w:rPr>
          <w:rFonts w:ascii="Times New Roman" w:hAnsi="Times New Roman" w:cs="Times New Roman"/>
          <w:sz w:val="22"/>
          <w:szCs w:val="22"/>
        </w:rPr>
        <w:t xml:space="preserve">į </w:t>
      </w:r>
      <w:r w:rsidR="0021127D" w:rsidRPr="00F2263E">
        <w:rPr>
          <w:rFonts w:ascii="Times New Roman" w:hAnsi="Times New Roman" w:cs="Times New Roman"/>
          <w:sz w:val="22"/>
          <w:szCs w:val="22"/>
        </w:rPr>
        <w:t xml:space="preserve">dalis </w:t>
      </w:r>
      <w:r w:rsidR="00B47EE5" w:rsidRPr="00F2263E">
        <w:rPr>
          <w:rFonts w:ascii="Times New Roman" w:hAnsi="Times New Roman" w:cs="Times New Roman"/>
          <w:sz w:val="22"/>
          <w:szCs w:val="22"/>
        </w:rPr>
        <w:t>neskaidomas</w:t>
      </w:r>
    </w:p>
    <w:p w14:paraId="7EF8A932" w14:textId="77777777" w:rsidR="0021127D" w:rsidRPr="00F2263E" w:rsidRDefault="0021127D" w:rsidP="0008764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14:paraId="247FDE80" w14:textId="3B5C9B7A" w:rsidR="00B47EE5" w:rsidRPr="00F2263E" w:rsidRDefault="006D79CC" w:rsidP="00F2263E">
      <w:pPr>
        <w:ind w:firstLine="709"/>
        <w:rPr>
          <w:rFonts w:ascii="Times New Roman" w:hAnsi="Times New Roman" w:cs="Times New Roman"/>
          <w:sz w:val="22"/>
          <w:szCs w:val="22"/>
        </w:rPr>
      </w:pPr>
      <w:r w:rsidRPr="00F2263E">
        <w:rPr>
          <w:rFonts w:ascii="Times New Roman" w:hAnsi="Times New Roman" w:cs="Times New Roman"/>
          <w:b/>
          <w:i/>
          <w:sz w:val="22"/>
          <w:szCs w:val="22"/>
          <w:lang w:bidi="ar-SA"/>
        </w:rPr>
        <w:t>1</w:t>
      </w:r>
      <w:r w:rsidR="007F257E" w:rsidRPr="00F2263E">
        <w:rPr>
          <w:rFonts w:ascii="Times New Roman" w:hAnsi="Times New Roman" w:cs="Times New Roman"/>
          <w:b/>
          <w:i/>
          <w:sz w:val="22"/>
          <w:szCs w:val="22"/>
          <w:lang w:bidi="ar-SA"/>
        </w:rPr>
        <w:t xml:space="preserve"> lentelė</w:t>
      </w:r>
      <w:r w:rsidR="007F257E" w:rsidRPr="00F2263E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r w:rsidR="007F257E" w:rsidRPr="00F2263E">
        <w:rPr>
          <w:rFonts w:ascii="Times New Roman" w:hAnsi="Times New Roman" w:cs="Times New Roman"/>
          <w:sz w:val="22"/>
          <w:szCs w:val="22"/>
        </w:rPr>
        <w:t>P</w:t>
      </w:r>
      <w:r w:rsidR="00B47EE5" w:rsidRPr="00F2263E">
        <w:rPr>
          <w:rFonts w:ascii="Times New Roman" w:hAnsi="Times New Roman" w:cs="Times New Roman"/>
          <w:sz w:val="22"/>
          <w:szCs w:val="22"/>
        </w:rPr>
        <w:t xml:space="preserve">aslaugų apimtys 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2835"/>
      </w:tblGrid>
      <w:tr w:rsidR="00B47EE5" w:rsidRPr="00F2263E" w14:paraId="23B9B1DD" w14:textId="77777777" w:rsidTr="007F257E">
        <w:tc>
          <w:tcPr>
            <w:tcW w:w="5954" w:type="dxa"/>
            <w:shd w:val="clear" w:color="auto" w:fill="D9D9D9"/>
            <w:vAlign w:val="center"/>
          </w:tcPr>
          <w:p w14:paraId="58878760" w14:textId="77777777" w:rsidR="00B47EE5" w:rsidRPr="00F2263E" w:rsidRDefault="00B47EE5" w:rsidP="0033071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b/>
                <w:sz w:val="22"/>
                <w:szCs w:val="22"/>
              </w:rPr>
              <w:t>Paslaugos pavadinimas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62615486" w14:textId="77777777" w:rsidR="00B47EE5" w:rsidRPr="00F2263E" w:rsidRDefault="00B47EE5" w:rsidP="00330719">
            <w:pPr>
              <w:tabs>
                <w:tab w:val="left" w:pos="851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b/>
                <w:sz w:val="22"/>
                <w:szCs w:val="22"/>
              </w:rPr>
              <w:t>Mato vnt.</w:t>
            </w:r>
          </w:p>
        </w:tc>
        <w:tc>
          <w:tcPr>
            <w:tcW w:w="2835" w:type="dxa"/>
            <w:shd w:val="clear" w:color="auto" w:fill="D9D9D9"/>
            <w:vAlign w:val="center"/>
          </w:tcPr>
          <w:p w14:paraId="4AF4930A" w14:textId="18847D30" w:rsidR="00B47EE5" w:rsidRPr="00F2263E" w:rsidRDefault="00B47EE5" w:rsidP="00330719">
            <w:pPr>
              <w:tabs>
                <w:tab w:val="left" w:pos="851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b/>
                <w:sz w:val="22"/>
                <w:szCs w:val="22"/>
              </w:rPr>
              <w:t>Planuojamas paslaugų kiekis</w:t>
            </w:r>
          </w:p>
        </w:tc>
      </w:tr>
      <w:tr w:rsidR="00C17384" w:rsidRPr="00F2263E" w14:paraId="2C7E0585" w14:textId="77777777" w:rsidTr="007F257E">
        <w:tc>
          <w:tcPr>
            <w:tcW w:w="5954" w:type="dxa"/>
            <w:vAlign w:val="center"/>
          </w:tcPr>
          <w:p w14:paraId="3F07EA37" w14:textId="77777777" w:rsidR="00C17384" w:rsidRPr="00F2263E" w:rsidRDefault="00557484" w:rsidP="006778A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MedDream Pacs Premium ir Meddream WEB DICOM Viewer programinės įrangos atnaujinimas</w:t>
            </w:r>
          </w:p>
        </w:tc>
        <w:tc>
          <w:tcPr>
            <w:tcW w:w="1276" w:type="dxa"/>
            <w:vAlign w:val="center"/>
          </w:tcPr>
          <w:p w14:paraId="2DB10FB5" w14:textId="77777777" w:rsidR="00C17384" w:rsidRPr="00F2263E" w:rsidRDefault="00557484" w:rsidP="00330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sz w:val="22"/>
                <w:szCs w:val="22"/>
              </w:rPr>
              <w:t>Vnt.</w:t>
            </w:r>
          </w:p>
        </w:tc>
        <w:tc>
          <w:tcPr>
            <w:tcW w:w="2835" w:type="dxa"/>
            <w:vAlign w:val="center"/>
          </w:tcPr>
          <w:p w14:paraId="7CB4506B" w14:textId="77777777" w:rsidR="00C17384" w:rsidRPr="00F2263E" w:rsidRDefault="00557484" w:rsidP="00330719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</w:tbl>
    <w:p w14:paraId="5A388D95" w14:textId="77777777" w:rsidR="00F2263E" w:rsidRDefault="00F2263E" w:rsidP="00F2263E">
      <w:pPr>
        <w:rPr>
          <w:rFonts w:ascii="Times New Roman" w:hAnsi="Times New Roman" w:cs="Times New Roman"/>
          <w:sz w:val="22"/>
          <w:szCs w:val="22"/>
        </w:rPr>
      </w:pPr>
    </w:p>
    <w:p w14:paraId="7AF4FB14" w14:textId="5A647064" w:rsidR="0021127D" w:rsidRPr="00F2263E" w:rsidRDefault="007F257E" w:rsidP="00F2263E">
      <w:pPr>
        <w:ind w:firstLine="709"/>
        <w:rPr>
          <w:rFonts w:ascii="Times New Roman" w:hAnsi="Times New Roman" w:cs="Times New Roman"/>
          <w:b/>
          <w:sz w:val="22"/>
          <w:szCs w:val="22"/>
        </w:rPr>
      </w:pPr>
      <w:r w:rsidRPr="00F2263E">
        <w:rPr>
          <w:rFonts w:ascii="Times New Roman" w:hAnsi="Times New Roman" w:cs="Times New Roman"/>
          <w:b/>
          <w:i/>
          <w:sz w:val="22"/>
          <w:szCs w:val="22"/>
          <w:lang w:bidi="ar-SA"/>
        </w:rPr>
        <w:t>2 lentelė</w:t>
      </w:r>
      <w:r w:rsidRPr="00F2263E">
        <w:rPr>
          <w:rFonts w:ascii="Times New Roman" w:hAnsi="Times New Roman" w:cs="Times New Roman"/>
          <w:sz w:val="22"/>
          <w:szCs w:val="22"/>
          <w:lang w:bidi="ar-SA"/>
        </w:rPr>
        <w:t xml:space="preserve"> </w:t>
      </w:r>
      <w:r w:rsidR="0021127D" w:rsidRPr="00F2263E">
        <w:rPr>
          <w:rFonts w:ascii="Times New Roman" w:hAnsi="Times New Roman" w:cs="Times New Roman"/>
          <w:b/>
          <w:sz w:val="22"/>
          <w:szCs w:val="22"/>
        </w:rPr>
        <w:t>Techniniai reikalavimai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726"/>
        <w:gridCol w:w="1727"/>
        <w:gridCol w:w="3955"/>
        <w:gridCol w:w="3544"/>
      </w:tblGrid>
      <w:tr w:rsidR="00AC393E" w:rsidRPr="00F2263E" w14:paraId="797559F1" w14:textId="77777777" w:rsidTr="00B25443">
        <w:trPr>
          <w:trHeight w:val="985"/>
        </w:trPr>
        <w:tc>
          <w:tcPr>
            <w:tcW w:w="726" w:type="dxa"/>
            <w:shd w:val="clear" w:color="auto" w:fill="D9D9D9"/>
            <w:vAlign w:val="center"/>
          </w:tcPr>
          <w:p w14:paraId="235127CD" w14:textId="77777777" w:rsidR="00AC393E" w:rsidRPr="00F2263E" w:rsidRDefault="00AC393E" w:rsidP="00524CF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b/>
                <w:sz w:val="22"/>
                <w:szCs w:val="22"/>
              </w:rPr>
              <w:t>Eil. Nr.</w:t>
            </w:r>
          </w:p>
        </w:tc>
        <w:tc>
          <w:tcPr>
            <w:tcW w:w="1727" w:type="dxa"/>
            <w:shd w:val="clear" w:color="auto" w:fill="D9D9D9"/>
            <w:vAlign w:val="center"/>
          </w:tcPr>
          <w:p w14:paraId="7B70AEEC" w14:textId="77777777" w:rsidR="00AC393E" w:rsidRPr="00F2263E" w:rsidRDefault="00AC393E" w:rsidP="00524CF3">
            <w:pPr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b/>
                <w:sz w:val="22"/>
                <w:szCs w:val="22"/>
              </w:rPr>
              <w:t>Paslaugos pavadinimas</w:t>
            </w:r>
          </w:p>
        </w:tc>
        <w:tc>
          <w:tcPr>
            <w:tcW w:w="3955" w:type="dxa"/>
            <w:shd w:val="clear" w:color="auto" w:fill="D9D9D9"/>
            <w:vAlign w:val="center"/>
          </w:tcPr>
          <w:p w14:paraId="2CF39091" w14:textId="77777777" w:rsidR="00AC393E" w:rsidRPr="00F2263E" w:rsidRDefault="00AC393E" w:rsidP="00524CF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Techniniai reikalavimai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16FDD5D5" w14:textId="6772F37A" w:rsidR="00AC393E" w:rsidRPr="00F2263E" w:rsidRDefault="00EB76FB" w:rsidP="00AC39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Atitikimas reikalavimams</w:t>
            </w:r>
            <w:r w:rsidR="00AC393E" w:rsidRPr="00F226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  <w:p w14:paraId="230106FA" w14:textId="77777777" w:rsidR="00AC393E" w:rsidRPr="00F2263E" w:rsidRDefault="00AC393E" w:rsidP="00AC393E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(pildo tiekėjas)</w:t>
            </w:r>
          </w:p>
        </w:tc>
      </w:tr>
      <w:tr w:rsidR="009944A5" w:rsidRPr="00F2263E" w14:paraId="5A79F400" w14:textId="77777777" w:rsidTr="00B25443">
        <w:trPr>
          <w:trHeight w:val="170"/>
        </w:trPr>
        <w:tc>
          <w:tcPr>
            <w:tcW w:w="726" w:type="dxa"/>
          </w:tcPr>
          <w:p w14:paraId="26086A70" w14:textId="77777777" w:rsidR="009944A5" w:rsidRPr="00F2263E" w:rsidRDefault="009944A5" w:rsidP="009944A5">
            <w:pPr>
              <w:pStyle w:val="ListParagraph"/>
              <w:numPr>
                <w:ilvl w:val="0"/>
                <w:numId w:val="8"/>
              </w:numPr>
              <w:spacing w:line="276" w:lineRule="auto"/>
              <w:ind w:right="287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</w:tcPr>
          <w:p w14:paraId="2BE81624" w14:textId="0B4FAB19" w:rsidR="009944A5" w:rsidRPr="00F2263E" w:rsidRDefault="009944A5" w:rsidP="009944A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sz w:val="22"/>
                <w:szCs w:val="22"/>
                <w:lang w:bidi="ar-SA"/>
              </w:rPr>
              <w:t>MedDream Pacs Premium ir Meddream WEB DICOM Viewer programinės įrangos atnaujinimas</w:t>
            </w:r>
          </w:p>
        </w:tc>
        <w:tc>
          <w:tcPr>
            <w:tcW w:w="3955" w:type="dxa"/>
          </w:tcPr>
          <w:p w14:paraId="0A639CF3" w14:textId="491F63D8" w:rsidR="009944A5" w:rsidRPr="00F2263E" w:rsidRDefault="009944A5" w:rsidP="009944A5">
            <w:pPr>
              <w:pStyle w:val="ListParagraph"/>
              <w:numPr>
                <w:ilvl w:val="1"/>
                <w:numId w:val="8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2263E">
              <w:rPr>
                <w:sz w:val="22"/>
                <w:szCs w:val="22"/>
              </w:rPr>
              <w:t xml:space="preserve">Informacinės sistemos atnaujinimas </w:t>
            </w:r>
            <w:r w:rsidR="00717DDB">
              <w:rPr>
                <w:sz w:val="22"/>
                <w:szCs w:val="22"/>
              </w:rPr>
              <w:t xml:space="preserve">turi būti </w:t>
            </w:r>
            <w:r w:rsidRPr="00F2263E">
              <w:rPr>
                <w:sz w:val="22"/>
                <w:szCs w:val="22"/>
              </w:rPr>
              <w:t>atliekamas gavus Perkančiosios organizacijos atsakingo už sutarties vykdymą asmens užsakymą raštu</w:t>
            </w:r>
            <w:r w:rsidR="003E76AB" w:rsidRPr="00F2263E">
              <w:rPr>
                <w:sz w:val="22"/>
                <w:szCs w:val="22"/>
              </w:rPr>
              <w:t xml:space="preserve"> (elektroniniu paštu)</w:t>
            </w:r>
            <w:r w:rsidRPr="00F2263E">
              <w:rPr>
                <w:sz w:val="22"/>
                <w:szCs w:val="22"/>
              </w:rPr>
              <w:t>.</w:t>
            </w:r>
          </w:p>
          <w:p w14:paraId="261B5E25" w14:textId="77777777" w:rsidR="00717DDB" w:rsidRDefault="009944A5" w:rsidP="009944A5">
            <w:pPr>
              <w:pStyle w:val="ListParagraph"/>
              <w:numPr>
                <w:ilvl w:val="1"/>
                <w:numId w:val="8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2263E">
              <w:rPr>
                <w:sz w:val="22"/>
                <w:szCs w:val="22"/>
              </w:rPr>
              <w:t xml:space="preserve">Programinė įranga </w:t>
            </w:r>
            <w:r w:rsidRPr="00F2263E">
              <w:rPr>
                <w:sz w:val="22"/>
                <w:szCs w:val="22"/>
                <w:lang w:bidi="ar-SA"/>
              </w:rPr>
              <w:t xml:space="preserve">MedDream Pacs Premium ir Meddream WEB DICOM Viewer </w:t>
            </w:r>
            <w:r w:rsidRPr="00F2263E">
              <w:rPr>
                <w:sz w:val="22"/>
                <w:szCs w:val="22"/>
              </w:rPr>
              <w:t xml:space="preserve">turi būti atnaujinta iki naujausios gamintojo palaikomos programinės įrangos versijos. </w:t>
            </w:r>
          </w:p>
          <w:p w14:paraId="2A88D8F7" w14:textId="5446403E" w:rsidR="009944A5" w:rsidRPr="00717DDB" w:rsidRDefault="009944A5" w:rsidP="009944A5">
            <w:pPr>
              <w:pStyle w:val="ListParagraph"/>
              <w:numPr>
                <w:ilvl w:val="1"/>
                <w:numId w:val="8"/>
              </w:numPr>
              <w:spacing w:line="276" w:lineRule="auto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F2263E">
              <w:rPr>
                <w:sz w:val="22"/>
                <w:szCs w:val="22"/>
              </w:rPr>
              <w:lastRenderedPageBreak/>
              <w:t>Negali būti diegiamos bandomosios sistemų versijos.</w:t>
            </w:r>
            <w:r w:rsidR="00F576C4" w:rsidRPr="00F2263E">
              <w:rPr>
                <w:sz w:val="22"/>
                <w:szCs w:val="22"/>
              </w:rPr>
              <w:t xml:space="preserve"> </w:t>
            </w:r>
            <w:r w:rsidR="00F576C4" w:rsidRPr="00717DDB">
              <w:rPr>
                <w:b/>
                <w:sz w:val="22"/>
                <w:szCs w:val="22"/>
                <w:u w:val="single"/>
              </w:rPr>
              <w:t>Pateikti numatomą versijos numerį.</w:t>
            </w:r>
          </w:p>
          <w:p w14:paraId="5EF84888" w14:textId="77777777" w:rsidR="009944A5" w:rsidRPr="00F2263E" w:rsidRDefault="009944A5" w:rsidP="009944A5">
            <w:pPr>
              <w:pStyle w:val="ListParagraph"/>
              <w:numPr>
                <w:ilvl w:val="1"/>
                <w:numId w:val="8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2263E">
              <w:rPr>
                <w:sz w:val="22"/>
                <w:szCs w:val="22"/>
              </w:rPr>
              <w:t>Paslaugos turi būti suteiktos per 1 mėn. nuo užsakymo pateikimo dienos.</w:t>
            </w:r>
          </w:p>
          <w:p w14:paraId="269B1345" w14:textId="76036A36" w:rsidR="009944A5" w:rsidRPr="00F2263E" w:rsidRDefault="009944A5" w:rsidP="009944A5">
            <w:pPr>
              <w:pStyle w:val="ListParagraph"/>
              <w:numPr>
                <w:ilvl w:val="1"/>
                <w:numId w:val="8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2263E">
              <w:rPr>
                <w:sz w:val="22"/>
                <w:szCs w:val="22"/>
              </w:rPr>
              <w:t>Diegimo darbai ir būtini planiniai sistemos išjungimai turi būti derinami su perkančiosios organizacijos atsakingais asmenimis, parengiant programinės įrangos atnaujinimo planą.</w:t>
            </w:r>
          </w:p>
        </w:tc>
        <w:tc>
          <w:tcPr>
            <w:tcW w:w="3544" w:type="dxa"/>
          </w:tcPr>
          <w:p w14:paraId="263F039A" w14:textId="77777777" w:rsidR="009944A5" w:rsidRPr="00F2263E" w:rsidRDefault="009944A5" w:rsidP="009944A5">
            <w:pPr>
              <w:spacing w:line="276" w:lineRule="auto"/>
              <w:ind w:left="2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4A5" w:rsidRPr="00F2263E" w14:paraId="5904F247" w14:textId="77777777" w:rsidTr="00B25443">
        <w:trPr>
          <w:trHeight w:val="1197"/>
        </w:trPr>
        <w:tc>
          <w:tcPr>
            <w:tcW w:w="726" w:type="dxa"/>
          </w:tcPr>
          <w:p w14:paraId="2DA4A368" w14:textId="77777777" w:rsidR="009944A5" w:rsidRPr="00F2263E" w:rsidRDefault="009944A5" w:rsidP="009944A5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7" w:type="dxa"/>
          </w:tcPr>
          <w:p w14:paraId="201DAB0B" w14:textId="5D8A68F5" w:rsidR="009944A5" w:rsidRPr="00F2263E" w:rsidRDefault="00F576C4" w:rsidP="009944A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sz w:val="22"/>
                <w:szCs w:val="22"/>
              </w:rPr>
              <w:t>Garantiniai įsipareigojimai</w:t>
            </w:r>
          </w:p>
        </w:tc>
        <w:tc>
          <w:tcPr>
            <w:tcW w:w="3955" w:type="dxa"/>
          </w:tcPr>
          <w:p w14:paraId="13B3DD98" w14:textId="77777777" w:rsidR="009944A5" w:rsidRPr="00F2263E" w:rsidRDefault="009944A5" w:rsidP="009944A5">
            <w:pPr>
              <w:pStyle w:val="ListParagraph"/>
              <w:numPr>
                <w:ilvl w:val="1"/>
                <w:numId w:val="8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2263E">
              <w:rPr>
                <w:sz w:val="22"/>
                <w:szCs w:val="22"/>
              </w:rPr>
              <w:t>Vykdytojas savo sąskaita atstato sugadintus ar prarastus Perkančiosios organizacijos</w:t>
            </w:r>
            <w:r w:rsidRPr="00F2263E" w:rsidDel="00C82044">
              <w:rPr>
                <w:sz w:val="22"/>
                <w:szCs w:val="22"/>
              </w:rPr>
              <w:t xml:space="preserve"> </w:t>
            </w:r>
            <w:r w:rsidRPr="00F2263E">
              <w:rPr>
                <w:sz w:val="22"/>
                <w:szCs w:val="22"/>
              </w:rPr>
              <w:t>PĮ duomenis, jei tai įvyko dėl Vykdytojo kaltės.</w:t>
            </w:r>
          </w:p>
          <w:p w14:paraId="6BFDADF7" w14:textId="77777777" w:rsidR="00717DDB" w:rsidRDefault="00F576C4" w:rsidP="009944A5">
            <w:pPr>
              <w:pStyle w:val="ListParagraph"/>
              <w:numPr>
                <w:ilvl w:val="1"/>
                <w:numId w:val="8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2263E">
              <w:rPr>
                <w:sz w:val="22"/>
                <w:szCs w:val="22"/>
              </w:rPr>
              <w:t xml:space="preserve">Po programinės įrangos atnaujinimo ir darbų atlikimo akto pasirašymo, </w:t>
            </w:r>
            <w:r w:rsidR="000720DE" w:rsidRPr="00F2263E">
              <w:rPr>
                <w:sz w:val="22"/>
                <w:szCs w:val="22"/>
              </w:rPr>
              <w:t>Vykdytojas</w:t>
            </w:r>
            <w:r w:rsidRPr="00F2263E">
              <w:rPr>
                <w:sz w:val="22"/>
                <w:szCs w:val="22"/>
              </w:rPr>
              <w:t xml:space="preserve"> užtikrina 3 mėn. garantiją</w:t>
            </w:r>
            <w:r w:rsidR="000720DE" w:rsidRPr="00F2263E">
              <w:rPr>
                <w:sz w:val="22"/>
                <w:szCs w:val="22"/>
              </w:rPr>
              <w:t xml:space="preserve"> atnaujintai programinei įrangai. Garantija apima nemokamą klaidų taisymą bei sutrikimų šalinimą 24x7 režimu.</w:t>
            </w:r>
            <w:r w:rsidRPr="00F2263E">
              <w:rPr>
                <w:sz w:val="22"/>
                <w:szCs w:val="22"/>
              </w:rPr>
              <w:t xml:space="preserve"> </w:t>
            </w:r>
          </w:p>
          <w:p w14:paraId="46FB2A43" w14:textId="02F78032" w:rsidR="00F576C4" w:rsidRPr="00F2263E" w:rsidRDefault="000720DE" w:rsidP="009944A5">
            <w:pPr>
              <w:pStyle w:val="ListParagraph"/>
              <w:numPr>
                <w:ilvl w:val="1"/>
                <w:numId w:val="8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2263E">
              <w:rPr>
                <w:sz w:val="22"/>
                <w:szCs w:val="22"/>
              </w:rPr>
              <w:t xml:space="preserve">Esant kritiniams sutrikimams reakcijos laikas 1 val. Atstatymo laikas 2 val. </w:t>
            </w:r>
            <w:r w:rsidR="00BA5563" w:rsidRPr="00F2263E">
              <w:rPr>
                <w:sz w:val="22"/>
                <w:szCs w:val="22"/>
              </w:rPr>
              <w:t>Šalinant n</w:t>
            </w:r>
            <w:r w:rsidRPr="00F2263E">
              <w:rPr>
                <w:sz w:val="22"/>
                <w:szCs w:val="22"/>
              </w:rPr>
              <w:t>e kritini</w:t>
            </w:r>
            <w:r w:rsidR="00BA5563" w:rsidRPr="00F2263E">
              <w:rPr>
                <w:sz w:val="22"/>
                <w:szCs w:val="22"/>
              </w:rPr>
              <w:t>us</w:t>
            </w:r>
            <w:r w:rsidRPr="00F2263E">
              <w:rPr>
                <w:sz w:val="22"/>
                <w:szCs w:val="22"/>
              </w:rPr>
              <w:t xml:space="preserve"> sutrikim</w:t>
            </w:r>
            <w:r w:rsidR="00BA5563" w:rsidRPr="00F2263E">
              <w:rPr>
                <w:sz w:val="22"/>
                <w:szCs w:val="22"/>
              </w:rPr>
              <w:t>us</w:t>
            </w:r>
            <w:r w:rsidRPr="00F2263E">
              <w:rPr>
                <w:sz w:val="22"/>
                <w:szCs w:val="22"/>
              </w:rPr>
              <w:t xml:space="preserve"> </w:t>
            </w:r>
            <w:r w:rsidR="00BA5563" w:rsidRPr="00F2263E">
              <w:rPr>
                <w:sz w:val="22"/>
                <w:szCs w:val="22"/>
              </w:rPr>
              <w:t>Vykdytojas</w:t>
            </w:r>
            <w:r w:rsidRPr="00F2263E">
              <w:rPr>
                <w:sz w:val="22"/>
                <w:szCs w:val="22"/>
              </w:rPr>
              <w:t xml:space="preserve"> </w:t>
            </w:r>
            <w:r w:rsidR="00BA5563" w:rsidRPr="00F2263E">
              <w:rPr>
                <w:sz w:val="22"/>
                <w:szCs w:val="22"/>
              </w:rPr>
              <w:t>turi pradėti darbus ne vėliau kaip per 8 darbo valandas.</w:t>
            </w:r>
          </w:p>
        </w:tc>
        <w:tc>
          <w:tcPr>
            <w:tcW w:w="3544" w:type="dxa"/>
          </w:tcPr>
          <w:p w14:paraId="2C9130AC" w14:textId="77777777" w:rsidR="009944A5" w:rsidRPr="00F2263E" w:rsidRDefault="009944A5" w:rsidP="009944A5">
            <w:pPr>
              <w:spacing w:line="276" w:lineRule="auto"/>
              <w:ind w:left="2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944A5" w:rsidRPr="00F2263E" w14:paraId="4244385D" w14:textId="77777777" w:rsidTr="00BA5563">
        <w:trPr>
          <w:trHeight w:val="1124"/>
        </w:trPr>
        <w:tc>
          <w:tcPr>
            <w:tcW w:w="726" w:type="dxa"/>
          </w:tcPr>
          <w:p w14:paraId="2DCF65AF" w14:textId="77777777" w:rsidR="009944A5" w:rsidRPr="00F2263E" w:rsidRDefault="009944A5" w:rsidP="009944A5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727" w:type="dxa"/>
          </w:tcPr>
          <w:p w14:paraId="087CC6E4" w14:textId="77777777" w:rsidR="009944A5" w:rsidRPr="00F2263E" w:rsidRDefault="009944A5" w:rsidP="009944A5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F2263E">
              <w:rPr>
                <w:rFonts w:ascii="Times New Roman" w:hAnsi="Times New Roman" w:cs="Times New Roman"/>
                <w:sz w:val="22"/>
                <w:szCs w:val="22"/>
              </w:rPr>
              <w:t>Kontaktai</w:t>
            </w:r>
          </w:p>
        </w:tc>
        <w:tc>
          <w:tcPr>
            <w:tcW w:w="3955" w:type="dxa"/>
          </w:tcPr>
          <w:p w14:paraId="35E6C3EA" w14:textId="4B13A7BC" w:rsidR="009944A5" w:rsidRPr="00F2263E" w:rsidRDefault="009944A5" w:rsidP="009944A5">
            <w:pPr>
              <w:pStyle w:val="ListParagraph"/>
              <w:numPr>
                <w:ilvl w:val="1"/>
                <w:numId w:val="8"/>
              </w:numPr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F2263E">
              <w:rPr>
                <w:sz w:val="22"/>
                <w:szCs w:val="22"/>
              </w:rPr>
              <w:t xml:space="preserve"> Nurodyti Vykdytojo kontaktus telefono numerį, el. pašto adresą,  kuriais galima registruoti PĮ (</w:t>
            </w:r>
            <w:r w:rsidRPr="00F2263E">
              <w:rPr>
                <w:sz w:val="22"/>
                <w:szCs w:val="22"/>
                <w:lang w:bidi="ar-SA"/>
              </w:rPr>
              <w:t>MedDream Pacs Premium ir Meddream WEB DICOM Viewer)</w:t>
            </w:r>
            <w:r w:rsidRPr="00F2263E">
              <w:rPr>
                <w:sz w:val="22"/>
                <w:szCs w:val="22"/>
              </w:rPr>
              <w:t xml:space="preserve"> </w:t>
            </w:r>
            <w:r w:rsidR="00F576C4" w:rsidRPr="00F2263E">
              <w:rPr>
                <w:sz w:val="22"/>
                <w:szCs w:val="22"/>
              </w:rPr>
              <w:t xml:space="preserve">atnaujinimo metu atsiradusius </w:t>
            </w:r>
            <w:r w:rsidR="000720DE" w:rsidRPr="00F2263E">
              <w:rPr>
                <w:sz w:val="22"/>
                <w:szCs w:val="22"/>
              </w:rPr>
              <w:t xml:space="preserve">sutrikimus, klaidas ir </w:t>
            </w:r>
            <w:r w:rsidRPr="00F2263E">
              <w:rPr>
                <w:sz w:val="22"/>
                <w:szCs w:val="22"/>
              </w:rPr>
              <w:t xml:space="preserve">gedimus </w:t>
            </w:r>
          </w:p>
        </w:tc>
        <w:tc>
          <w:tcPr>
            <w:tcW w:w="3544" w:type="dxa"/>
          </w:tcPr>
          <w:p w14:paraId="70F6AC7D" w14:textId="5AE0080C" w:rsidR="009944A5" w:rsidRPr="00F2263E" w:rsidRDefault="009944A5" w:rsidP="009944A5">
            <w:pPr>
              <w:spacing w:line="276" w:lineRule="auto"/>
              <w:ind w:left="253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E33127D" w14:textId="77777777" w:rsidR="00BD3100" w:rsidRPr="00F2263E" w:rsidRDefault="00BD3100" w:rsidP="00BD3100">
      <w:pPr>
        <w:rPr>
          <w:rFonts w:ascii="Times New Roman" w:hAnsi="Times New Roman" w:cs="Times New Roman"/>
          <w:sz w:val="22"/>
          <w:szCs w:val="22"/>
        </w:rPr>
      </w:pPr>
    </w:p>
    <w:sectPr w:rsidR="00BD3100" w:rsidRPr="00F2263E">
      <w:pgSz w:w="11906" w:h="16838"/>
      <w:pgMar w:top="1134" w:right="1134" w:bottom="1134" w:left="1134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12B0"/>
    <w:multiLevelType w:val="multilevel"/>
    <w:tmpl w:val="40A08D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08FF4E06"/>
    <w:multiLevelType w:val="hybridMultilevel"/>
    <w:tmpl w:val="C7E066B8"/>
    <w:lvl w:ilvl="0" w:tplc="B6F09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C52570E"/>
    <w:multiLevelType w:val="multilevel"/>
    <w:tmpl w:val="D65ABCD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0F1A7F51"/>
    <w:multiLevelType w:val="hybridMultilevel"/>
    <w:tmpl w:val="1284A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51C05"/>
    <w:multiLevelType w:val="hybridMultilevel"/>
    <w:tmpl w:val="575849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607F"/>
    <w:multiLevelType w:val="multilevel"/>
    <w:tmpl w:val="C5BC70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4296834"/>
    <w:multiLevelType w:val="multilevel"/>
    <w:tmpl w:val="A93E4E0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43B21E8"/>
    <w:multiLevelType w:val="multilevel"/>
    <w:tmpl w:val="08305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72D237B"/>
    <w:multiLevelType w:val="hybridMultilevel"/>
    <w:tmpl w:val="51189790"/>
    <w:lvl w:ilvl="0" w:tplc="961AD532">
      <w:start w:val="1"/>
      <w:numFmt w:val="decimal"/>
      <w:lvlText w:val="%1 lentelė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13EED"/>
    <w:multiLevelType w:val="multilevel"/>
    <w:tmpl w:val="1F160556"/>
    <w:lvl w:ilvl="0">
      <w:start w:val="1"/>
      <w:numFmt w:val="decimal"/>
      <w:lvlText w:val="%1."/>
      <w:lvlJc w:val="left"/>
      <w:pPr>
        <w:ind w:left="362" w:hanging="360"/>
      </w:pPr>
    </w:lvl>
    <w:lvl w:ilvl="1">
      <w:start w:val="1"/>
      <w:numFmt w:val="decimal"/>
      <w:lvlText w:val="%1.%2."/>
      <w:lvlJc w:val="left"/>
      <w:pPr>
        <w:ind w:left="794" w:hanging="432"/>
      </w:pPr>
    </w:lvl>
    <w:lvl w:ilvl="2">
      <w:start w:val="1"/>
      <w:numFmt w:val="decimal"/>
      <w:lvlText w:val="%1.%2.%3."/>
      <w:lvlJc w:val="left"/>
      <w:pPr>
        <w:ind w:left="1226" w:hanging="504"/>
      </w:pPr>
    </w:lvl>
    <w:lvl w:ilvl="3">
      <w:start w:val="1"/>
      <w:numFmt w:val="decimal"/>
      <w:lvlText w:val="%1.%2.%3.%4."/>
      <w:lvlJc w:val="left"/>
      <w:pPr>
        <w:ind w:left="1730" w:hanging="648"/>
      </w:pPr>
    </w:lvl>
    <w:lvl w:ilvl="4">
      <w:start w:val="1"/>
      <w:numFmt w:val="decimal"/>
      <w:lvlText w:val="%1.%2.%3.%4.%5."/>
      <w:lvlJc w:val="left"/>
      <w:pPr>
        <w:ind w:left="2234" w:hanging="792"/>
      </w:pPr>
    </w:lvl>
    <w:lvl w:ilvl="5">
      <w:start w:val="1"/>
      <w:numFmt w:val="decimal"/>
      <w:lvlText w:val="%1.%2.%3.%4.%5.%6."/>
      <w:lvlJc w:val="left"/>
      <w:pPr>
        <w:ind w:left="2738" w:hanging="936"/>
      </w:pPr>
    </w:lvl>
    <w:lvl w:ilvl="6">
      <w:start w:val="1"/>
      <w:numFmt w:val="decimal"/>
      <w:lvlText w:val="%1.%2.%3.%4.%5.%6.%7."/>
      <w:lvlJc w:val="left"/>
      <w:pPr>
        <w:ind w:left="3242" w:hanging="1080"/>
      </w:pPr>
    </w:lvl>
    <w:lvl w:ilvl="7">
      <w:start w:val="1"/>
      <w:numFmt w:val="decimal"/>
      <w:lvlText w:val="%1.%2.%3.%4.%5.%6.%7.%8."/>
      <w:lvlJc w:val="left"/>
      <w:pPr>
        <w:ind w:left="3746" w:hanging="1224"/>
      </w:pPr>
    </w:lvl>
    <w:lvl w:ilvl="8">
      <w:start w:val="1"/>
      <w:numFmt w:val="decimal"/>
      <w:lvlText w:val="%1.%2.%3.%4.%5.%6.%7.%8.%9."/>
      <w:lvlJc w:val="left"/>
      <w:pPr>
        <w:ind w:left="4322" w:hanging="1440"/>
      </w:pPr>
    </w:lvl>
  </w:abstractNum>
  <w:abstractNum w:abstractNumId="10" w15:restartNumberingAfterBreak="0">
    <w:nsid w:val="31CB79B8"/>
    <w:multiLevelType w:val="multilevel"/>
    <w:tmpl w:val="4C56E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4A067CC"/>
    <w:multiLevelType w:val="hybridMultilevel"/>
    <w:tmpl w:val="F800C4E6"/>
    <w:lvl w:ilvl="0" w:tplc="961AD532">
      <w:start w:val="1"/>
      <w:numFmt w:val="decimal"/>
      <w:lvlText w:val="%1 lentelė."/>
      <w:lvlJc w:val="left"/>
      <w:pPr>
        <w:ind w:left="786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2ED1078"/>
    <w:multiLevelType w:val="hybridMultilevel"/>
    <w:tmpl w:val="AE462722"/>
    <w:lvl w:ilvl="0" w:tplc="961AD532">
      <w:start w:val="1"/>
      <w:numFmt w:val="decimal"/>
      <w:lvlText w:val="%1 lentelė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B4389"/>
    <w:multiLevelType w:val="multilevel"/>
    <w:tmpl w:val="6E622FD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3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8504FE8"/>
    <w:multiLevelType w:val="multilevel"/>
    <w:tmpl w:val="D5C6917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15" w15:restartNumberingAfterBreak="0">
    <w:nsid w:val="58FF6461"/>
    <w:multiLevelType w:val="hybridMultilevel"/>
    <w:tmpl w:val="3C60A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56DDB"/>
    <w:multiLevelType w:val="hybridMultilevel"/>
    <w:tmpl w:val="83C8EDA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15707"/>
    <w:multiLevelType w:val="hybridMultilevel"/>
    <w:tmpl w:val="51189790"/>
    <w:lvl w:ilvl="0" w:tplc="961AD532">
      <w:start w:val="1"/>
      <w:numFmt w:val="decimal"/>
      <w:lvlText w:val="%1 lentelė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670C30"/>
    <w:multiLevelType w:val="hybridMultilevel"/>
    <w:tmpl w:val="2FCC0D90"/>
    <w:lvl w:ilvl="0" w:tplc="961AD532">
      <w:start w:val="1"/>
      <w:numFmt w:val="decimal"/>
      <w:lvlText w:val="%1 lentelė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D7CA4"/>
    <w:multiLevelType w:val="multilevel"/>
    <w:tmpl w:val="4CAA7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B5315AC"/>
    <w:multiLevelType w:val="multilevel"/>
    <w:tmpl w:val="2BDA92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1" w15:restartNumberingAfterBreak="0">
    <w:nsid w:val="6D825C17"/>
    <w:multiLevelType w:val="hybridMultilevel"/>
    <w:tmpl w:val="C9BE28C6"/>
    <w:lvl w:ilvl="0" w:tplc="961AD532">
      <w:start w:val="1"/>
      <w:numFmt w:val="decimal"/>
      <w:lvlText w:val="%1 lentelė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412602"/>
    <w:multiLevelType w:val="hybridMultilevel"/>
    <w:tmpl w:val="CC2A0290"/>
    <w:lvl w:ilvl="0" w:tplc="DC8C65B8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430E42"/>
    <w:multiLevelType w:val="hybridMultilevel"/>
    <w:tmpl w:val="4418CD2C"/>
    <w:lvl w:ilvl="0" w:tplc="17BCC70A">
      <w:start w:val="1"/>
      <w:numFmt w:val="decimal"/>
      <w:suff w:val="space"/>
      <w:lvlText w:val="%1."/>
      <w:lvlJc w:val="left"/>
      <w:pPr>
        <w:ind w:left="390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4472" w:hanging="360"/>
      </w:pPr>
    </w:lvl>
    <w:lvl w:ilvl="2" w:tplc="0427001B" w:tentative="1">
      <w:start w:val="1"/>
      <w:numFmt w:val="lowerRoman"/>
      <w:lvlText w:val="%3."/>
      <w:lvlJc w:val="right"/>
      <w:pPr>
        <w:ind w:left="5192" w:hanging="180"/>
      </w:pPr>
    </w:lvl>
    <w:lvl w:ilvl="3" w:tplc="0427000F" w:tentative="1">
      <w:start w:val="1"/>
      <w:numFmt w:val="decimal"/>
      <w:lvlText w:val="%4."/>
      <w:lvlJc w:val="left"/>
      <w:pPr>
        <w:ind w:left="5912" w:hanging="360"/>
      </w:pPr>
    </w:lvl>
    <w:lvl w:ilvl="4" w:tplc="04270019" w:tentative="1">
      <w:start w:val="1"/>
      <w:numFmt w:val="lowerLetter"/>
      <w:lvlText w:val="%5."/>
      <w:lvlJc w:val="left"/>
      <w:pPr>
        <w:ind w:left="6632" w:hanging="360"/>
      </w:pPr>
    </w:lvl>
    <w:lvl w:ilvl="5" w:tplc="0427001B" w:tentative="1">
      <w:start w:val="1"/>
      <w:numFmt w:val="lowerRoman"/>
      <w:lvlText w:val="%6."/>
      <w:lvlJc w:val="right"/>
      <w:pPr>
        <w:ind w:left="7352" w:hanging="180"/>
      </w:pPr>
    </w:lvl>
    <w:lvl w:ilvl="6" w:tplc="0427000F" w:tentative="1">
      <w:start w:val="1"/>
      <w:numFmt w:val="decimal"/>
      <w:lvlText w:val="%7."/>
      <w:lvlJc w:val="left"/>
      <w:pPr>
        <w:ind w:left="8072" w:hanging="360"/>
      </w:pPr>
    </w:lvl>
    <w:lvl w:ilvl="7" w:tplc="04270019" w:tentative="1">
      <w:start w:val="1"/>
      <w:numFmt w:val="lowerLetter"/>
      <w:lvlText w:val="%8."/>
      <w:lvlJc w:val="left"/>
      <w:pPr>
        <w:ind w:left="8792" w:hanging="360"/>
      </w:pPr>
    </w:lvl>
    <w:lvl w:ilvl="8" w:tplc="0427001B" w:tentative="1">
      <w:start w:val="1"/>
      <w:numFmt w:val="lowerRoman"/>
      <w:lvlText w:val="%9."/>
      <w:lvlJc w:val="right"/>
      <w:pPr>
        <w:ind w:left="9512" w:hanging="180"/>
      </w:pPr>
    </w:lvl>
  </w:abstractNum>
  <w:num w:numId="1">
    <w:abstractNumId w:val="20"/>
  </w:num>
  <w:num w:numId="2">
    <w:abstractNumId w:val="7"/>
  </w:num>
  <w:num w:numId="3">
    <w:abstractNumId w:val="2"/>
  </w:num>
  <w:num w:numId="4">
    <w:abstractNumId w:val="0"/>
  </w:num>
  <w:num w:numId="5">
    <w:abstractNumId w:val="22"/>
  </w:num>
  <w:num w:numId="6">
    <w:abstractNumId w:val="5"/>
  </w:num>
  <w:num w:numId="7">
    <w:abstractNumId w:val="19"/>
  </w:num>
  <w:num w:numId="8">
    <w:abstractNumId w:val="13"/>
  </w:num>
  <w:num w:numId="9">
    <w:abstractNumId w:val="15"/>
  </w:num>
  <w:num w:numId="10">
    <w:abstractNumId w:val="6"/>
  </w:num>
  <w:num w:numId="11">
    <w:abstractNumId w:val="9"/>
  </w:num>
  <w:num w:numId="12">
    <w:abstractNumId w:val="3"/>
  </w:num>
  <w:num w:numId="13">
    <w:abstractNumId w:val="18"/>
  </w:num>
  <w:num w:numId="14">
    <w:abstractNumId w:val="11"/>
  </w:num>
  <w:num w:numId="15">
    <w:abstractNumId w:val="21"/>
  </w:num>
  <w:num w:numId="16">
    <w:abstractNumId w:val="8"/>
  </w:num>
  <w:num w:numId="17">
    <w:abstractNumId w:val="17"/>
  </w:num>
  <w:num w:numId="18">
    <w:abstractNumId w:val="14"/>
  </w:num>
  <w:num w:numId="19">
    <w:abstractNumId w:val="1"/>
  </w:num>
  <w:num w:numId="20">
    <w:abstractNumId w:val="23"/>
  </w:num>
  <w:num w:numId="21">
    <w:abstractNumId w:val="4"/>
  </w:num>
  <w:num w:numId="22">
    <w:abstractNumId w:val="16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C2"/>
    <w:rsid w:val="00064AF5"/>
    <w:rsid w:val="000720DE"/>
    <w:rsid w:val="00076B02"/>
    <w:rsid w:val="00077B2D"/>
    <w:rsid w:val="0008764C"/>
    <w:rsid w:val="00097127"/>
    <w:rsid w:val="000C565D"/>
    <w:rsid w:val="000E51C8"/>
    <w:rsid w:val="000E617A"/>
    <w:rsid w:val="00171801"/>
    <w:rsid w:val="001938E0"/>
    <w:rsid w:val="001A7097"/>
    <w:rsid w:val="001A7ADA"/>
    <w:rsid w:val="001D763D"/>
    <w:rsid w:val="0021127D"/>
    <w:rsid w:val="0022259F"/>
    <w:rsid w:val="00224979"/>
    <w:rsid w:val="00291C99"/>
    <w:rsid w:val="00296EDD"/>
    <w:rsid w:val="002E511A"/>
    <w:rsid w:val="002E5B4E"/>
    <w:rsid w:val="003A4DE8"/>
    <w:rsid w:val="003E76AB"/>
    <w:rsid w:val="004041B3"/>
    <w:rsid w:val="00416567"/>
    <w:rsid w:val="00417D30"/>
    <w:rsid w:val="00474C47"/>
    <w:rsid w:val="00486D7C"/>
    <w:rsid w:val="0049685A"/>
    <w:rsid w:val="004B74C4"/>
    <w:rsid w:val="00536F96"/>
    <w:rsid w:val="00540485"/>
    <w:rsid w:val="00542DFA"/>
    <w:rsid w:val="00557484"/>
    <w:rsid w:val="00582B5D"/>
    <w:rsid w:val="006112F1"/>
    <w:rsid w:val="006570B6"/>
    <w:rsid w:val="006739EE"/>
    <w:rsid w:val="006778AE"/>
    <w:rsid w:val="006D768B"/>
    <w:rsid w:val="006D79CC"/>
    <w:rsid w:val="0071783B"/>
    <w:rsid w:val="00717DDB"/>
    <w:rsid w:val="00725D40"/>
    <w:rsid w:val="00764CE4"/>
    <w:rsid w:val="007C1BE4"/>
    <w:rsid w:val="007F257E"/>
    <w:rsid w:val="00827B5F"/>
    <w:rsid w:val="00830E70"/>
    <w:rsid w:val="00852EDC"/>
    <w:rsid w:val="00881667"/>
    <w:rsid w:val="00886926"/>
    <w:rsid w:val="00896106"/>
    <w:rsid w:val="008A6535"/>
    <w:rsid w:val="008B0529"/>
    <w:rsid w:val="008E0C8B"/>
    <w:rsid w:val="0093516F"/>
    <w:rsid w:val="009944A5"/>
    <w:rsid w:val="00AA268C"/>
    <w:rsid w:val="00AB2C53"/>
    <w:rsid w:val="00AC060F"/>
    <w:rsid w:val="00AC393E"/>
    <w:rsid w:val="00B25443"/>
    <w:rsid w:val="00B47EE5"/>
    <w:rsid w:val="00B603C5"/>
    <w:rsid w:val="00B61E35"/>
    <w:rsid w:val="00BA5563"/>
    <w:rsid w:val="00BD3100"/>
    <w:rsid w:val="00C01C23"/>
    <w:rsid w:val="00C17384"/>
    <w:rsid w:val="00C46F4E"/>
    <w:rsid w:val="00C82044"/>
    <w:rsid w:val="00C93AC2"/>
    <w:rsid w:val="00CB74A9"/>
    <w:rsid w:val="00D07A33"/>
    <w:rsid w:val="00D172E7"/>
    <w:rsid w:val="00D31131"/>
    <w:rsid w:val="00D410E5"/>
    <w:rsid w:val="00D555CF"/>
    <w:rsid w:val="00DB289E"/>
    <w:rsid w:val="00DB37A9"/>
    <w:rsid w:val="00E0176E"/>
    <w:rsid w:val="00E2350F"/>
    <w:rsid w:val="00E52822"/>
    <w:rsid w:val="00E623DA"/>
    <w:rsid w:val="00E77040"/>
    <w:rsid w:val="00EB76FB"/>
    <w:rsid w:val="00EB7FFC"/>
    <w:rsid w:val="00F2263E"/>
    <w:rsid w:val="00F35BE0"/>
    <w:rsid w:val="00F576C4"/>
    <w:rsid w:val="00FA6566"/>
    <w:rsid w:val="00FD0C78"/>
    <w:rsid w:val="00FD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FDF9"/>
  <w15:docId w15:val="{0AA541DE-61A9-44F1-BC0F-62C8F996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Lucida Sans"/>
        <w:sz w:val="24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Times New Roman" w:eastAsia="Times New Roman" w:hAnsi="Times New Roman" w:cs="Times New Roman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350F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50F"/>
    <w:rPr>
      <w:rFonts w:ascii="Segoe UI" w:hAnsi="Segoe UI" w:cs="Mangal"/>
      <w:sz w:val="18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C39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93E"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93E"/>
    <w:rPr>
      <w:rFonts w:cs="Mangal"/>
      <w:sz w:val="20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9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93E"/>
    <w:rPr>
      <w:rFonts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9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0040E7-31C1-4688-BAF6-1D86FD380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817FDA-CE6D-4A36-950A-E6D3087D1357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D1CA4AC-57BE-489D-A56D-215A5C4D56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2134</Words>
  <Characters>1217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 Bačiulis</dc:creator>
  <dc:description/>
  <cp:lastModifiedBy>Deimantė Valavičiūtė</cp:lastModifiedBy>
  <cp:revision>2</cp:revision>
  <cp:lastPrinted>2017-10-05T05:35:00Z</cp:lastPrinted>
  <dcterms:created xsi:type="dcterms:W3CDTF">2025-11-13T10:11:00Z</dcterms:created>
  <dcterms:modified xsi:type="dcterms:W3CDTF">2025-11-13T10:11:00Z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