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24D7" w:rsidP="6592F85A" w:rsidRDefault="002224D7" w14:paraId="069DB4A6" w14:textId="3A4014D3">
      <w:pPr>
        <w:pStyle w:val="Antrat21"/>
      </w:pPr>
      <w:bookmarkStart w:name="TS3" w:id="0"/>
      <w:r w:rsidR="002224D7">
        <w:rPr/>
        <w:t>TECHNINĖ SPECIFIKACIJA</w:t>
      </w:r>
    </w:p>
    <w:p w:rsidRPr="0043712E" w:rsidR="004B7029" w:rsidP="004B7029" w:rsidRDefault="004B7029" w14:paraId="36604340" w14:textId="77777777">
      <w:pPr>
        <w:pStyle w:val="Sraopastraipa"/>
        <w:numPr>
          <w:ilvl w:val="0"/>
          <w:numId w:val="3"/>
        </w:numPr>
        <w:pBdr>
          <w:top w:val="single" w:color="auto" w:sz="8" w:space="1"/>
          <w:bottom w:val="single" w:color="auto" w:sz="8" w:space="1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PIRKIMO OBJEKTAS</w:t>
      </w:r>
    </w:p>
    <w:p w:rsidRPr="001716A9" w:rsidR="0091026B" w:rsidP="0085008E" w:rsidRDefault="0091026B" w14:paraId="38E9E11A" w14:textId="11A5A382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sz w:val="20"/>
          <w:szCs w:val="20"/>
        </w:rPr>
      </w:pPr>
      <w:r w:rsidRPr="001716A9">
        <w:rPr>
          <w:rFonts w:eastAsia="Arial" w:cs="Arial"/>
          <w:sz w:val="20"/>
          <w:szCs w:val="20"/>
        </w:rPr>
        <w:t>Nepriklausomo vertintojo parinkimas veiklos lygio ataskaitų, išmetamo CO2 kiekio apskaitos ataskaitų bei ATL</w:t>
      </w:r>
      <w:r w:rsidR="00051C72">
        <w:rPr>
          <w:rFonts w:eastAsia="Arial" w:cs="Arial"/>
          <w:sz w:val="20"/>
          <w:szCs w:val="20"/>
        </w:rPr>
        <w:t xml:space="preserve"> </w:t>
      </w:r>
      <w:r w:rsidRPr="001716A9">
        <w:rPr>
          <w:rFonts w:eastAsia="Arial" w:cs="Arial"/>
          <w:sz w:val="20"/>
          <w:szCs w:val="20"/>
        </w:rPr>
        <w:t>2 sistemos vertinimui</w:t>
      </w:r>
      <w:r w:rsidR="00884F54">
        <w:rPr>
          <w:rFonts w:eastAsia="Arial" w:cs="Arial"/>
          <w:sz w:val="20"/>
          <w:szCs w:val="20"/>
        </w:rPr>
        <w:t xml:space="preserve"> pirkimas</w:t>
      </w:r>
      <w:r w:rsidRPr="001716A9">
        <w:rPr>
          <w:rFonts w:eastAsia="Arial" w:cs="Arial"/>
          <w:sz w:val="20"/>
          <w:szCs w:val="20"/>
        </w:rPr>
        <w:t xml:space="preserve"> (už 2025</w:t>
      </w:r>
      <w:r w:rsidR="00B927FD">
        <w:rPr>
          <w:rFonts w:eastAsia="Arial" w:cs="Arial"/>
          <w:sz w:val="20"/>
          <w:szCs w:val="20"/>
        </w:rPr>
        <w:t xml:space="preserve">, </w:t>
      </w:r>
      <w:r w:rsidRPr="001716A9">
        <w:rPr>
          <w:rFonts w:eastAsia="Arial" w:cs="Arial"/>
          <w:sz w:val="20"/>
          <w:szCs w:val="20"/>
        </w:rPr>
        <w:t>2026</w:t>
      </w:r>
      <w:r w:rsidR="00B927FD">
        <w:rPr>
          <w:rFonts w:eastAsia="Arial" w:cs="Arial"/>
          <w:sz w:val="20"/>
          <w:szCs w:val="20"/>
        </w:rPr>
        <w:t>, 2027</w:t>
      </w:r>
      <w:r w:rsidRPr="001716A9">
        <w:rPr>
          <w:rFonts w:eastAsia="Arial" w:cs="Arial"/>
          <w:sz w:val="20"/>
          <w:szCs w:val="20"/>
        </w:rPr>
        <w:t xml:space="preserve"> metus) (toliau – </w:t>
      </w:r>
      <w:r w:rsidRPr="00E53BFA">
        <w:rPr>
          <w:rFonts w:eastAsia="Arial" w:cs="Arial"/>
          <w:b/>
          <w:bCs/>
          <w:sz w:val="20"/>
          <w:szCs w:val="20"/>
        </w:rPr>
        <w:t>Pirkimas</w:t>
      </w:r>
      <w:r w:rsidRPr="001716A9">
        <w:rPr>
          <w:rFonts w:eastAsia="Arial" w:cs="Arial"/>
          <w:sz w:val="20"/>
          <w:szCs w:val="20"/>
        </w:rPr>
        <w:t>).</w:t>
      </w:r>
    </w:p>
    <w:p w:rsidRPr="0077590E" w:rsidR="004B7029" w:rsidP="0085008E" w:rsidRDefault="0077590E" w14:paraId="2600BA9B" w14:textId="64228F32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i/>
          <w:iCs/>
          <w:color w:val="FF0000"/>
          <w:sz w:val="20"/>
          <w:szCs w:val="20"/>
        </w:rPr>
      </w:pPr>
      <w:r w:rsidRPr="0077590E">
        <w:rPr>
          <w:rFonts w:cs="Arial"/>
          <w:bCs/>
          <w:sz w:val="20"/>
          <w:szCs w:val="20"/>
        </w:rPr>
        <w:t xml:space="preserve">Akcinė bendrovė „Kauno energija“ (toliau – </w:t>
      </w:r>
      <w:r w:rsidRPr="004B7029">
        <w:rPr>
          <w:rFonts w:eastAsia="Arial" w:cs="Arial"/>
          <w:b/>
          <w:bCs/>
          <w:sz w:val="20"/>
          <w:szCs w:val="20"/>
        </w:rPr>
        <w:t>Perkantysis subjektas</w:t>
      </w:r>
      <w:r w:rsidRPr="0077590E">
        <w:rPr>
          <w:rFonts w:cs="Arial"/>
          <w:bCs/>
          <w:sz w:val="20"/>
          <w:szCs w:val="20"/>
        </w:rPr>
        <w:t xml:space="preserve">) dalyvauja Europos Sąjungos šiltnamio efektą sukeliančių dujų (toliau – </w:t>
      </w:r>
      <w:r w:rsidRPr="00343A19">
        <w:rPr>
          <w:rFonts w:cs="Arial"/>
          <w:b/>
          <w:sz w:val="20"/>
          <w:szCs w:val="20"/>
        </w:rPr>
        <w:t>ŠESD</w:t>
      </w:r>
      <w:r w:rsidRPr="0077590E">
        <w:rPr>
          <w:rFonts w:cs="Arial"/>
          <w:bCs/>
          <w:sz w:val="20"/>
          <w:szCs w:val="20"/>
        </w:rPr>
        <w:t xml:space="preserve">) apyvartinių taršos leidimų (toliau – </w:t>
      </w:r>
      <w:r w:rsidRPr="008B20A8">
        <w:rPr>
          <w:rFonts w:cs="Arial"/>
          <w:b/>
          <w:sz w:val="20"/>
          <w:szCs w:val="20"/>
        </w:rPr>
        <w:t>ATL 1</w:t>
      </w:r>
      <w:r w:rsidRPr="0077590E">
        <w:rPr>
          <w:rFonts w:cs="Arial"/>
          <w:bCs/>
          <w:sz w:val="20"/>
          <w:szCs w:val="20"/>
        </w:rPr>
        <w:t>) prekybos sistemoje ir privalo Aplinkos apsaugos agentūrai pateikti praėjusių kalendorinių metų kiekvieno ATL 1 sistemoje dalyvaujančio objekto parengtą veiklos lygio duomenų ataskaitą bei metinę išmetamų ŠESD stebėsenos kiekio ataskaitą kartu su nepriklausomo vertintojo (toliau –</w:t>
      </w:r>
      <w:r w:rsidR="008B20A8">
        <w:rPr>
          <w:rFonts w:cs="Arial"/>
          <w:bCs/>
          <w:sz w:val="20"/>
          <w:szCs w:val="20"/>
        </w:rPr>
        <w:t xml:space="preserve"> </w:t>
      </w:r>
      <w:r w:rsidRPr="008B20A8" w:rsidR="008B20A8">
        <w:rPr>
          <w:rFonts w:cs="Arial"/>
          <w:b/>
          <w:sz w:val="20"/>
          <w:szCs w:val="20"/>
        </w:rPr>
        <w:t>T</w:t>
      </w:r>
      <w:r w:rsidRPr="008B20A8">
        <w:rPr>
          <w:rFonts w:cs="Arial"/>
          <w:b/>
          <w:sz w:val="20"/>
          <w:szCs w:val="20"/>
        </w:rPr>
        <w:t>iekėjas</w:t>
      </w:r>
      <w:r w:rsidRPr="0077590E">
        <w:rPr>
          <w:rFonts w:cs="Arial"/>
          <w:bCs/>
          <w:sz w:val="20"/>
          <w:szCs w:val="20"/>
        </w:rPr>
        <w:t>) pažymomis ne vėliau kaip iki kovo 28 d. bei įrašyti EU Union Registry informacinėje sistemoje audito metu nustatytus ŠESD kiekius (už 2025, 2026</w:t>
      </w:r>
      <w:r w:rsidR="00B927FD">
        <w:rPr>
          <w:rFonts w:cs="Arial"/>
          <w:bCs/>
          <w:sz w:val="20"/>
          <w:szCs w:val="20"/>
        </w:rPr>
        <w:t>, 2027</w:t>
      </w:r>
      <w:r w:rsidRPr="0077590E">
        <w:rPr>
          <w:rFonts w:cs="Arial"/>
          <w:bCs/>
          <w:sz w:val="20"/>
          <w:szCs w:val="20"/>
        </w:rPr>
        <w:t xml:space="preserve"> metus).</w:t>
      </w:r>
      <w:r w:rsidR="009C2EE4">
        <w:rPr>
          <w:rFonts w:cs="Arial"/>
          <w:bCs/>
          <w:sz w:val="20"/>
          <w:szCs w:val="20"/>
        </w:rPr>
        <w:t xml:space="preserve"> </w:t>
      </w:r>
      <w:r w:rsidRPr="009C2EE4" w:rsidR="009C2EE4">
        <w:rPr>
          <w:rFonts w:cs="Arial"/>
          <w:bCs/>
          <w:sz w:val="20"/>
          <w:szCs w:val="20"/>
        </w:rPr>
        <w:t>Perkantysis subjektas</w:t>
      </w:r>
      <w:r w:rsidRPr="0077590E">
        <w:rPr>
          <w:rFonts w:cs="Arial"/>
          <w:bCs/>
          <w:sz w:val="20"/>
          <w:szCs w:val="20"/>
        </w:rPr>
        <w:t xml:space="preserve"> taip pat priklauso kuro tiekėjų grupei, kuris privalo mokėti akcizus už vartotojams tiekiamus energinius produktus, ir patenka po ES ATLPS 2 reguliuojamų subjektų ir prekybos sistema (toliau – </w:t>
      </w:r>
      <w:r w:rsidRPr="008B20A8">
        <w:rPr>
          <w:rFonts w:cs="Arial"/>
          <w:b/>
          <w:sz w:val="20"/>
          <w:szCs w:val="20"/>
        </w:rPr>
        <w:t>ATL 2</w:t>
      </w:r>
      <w:r w:rsidRPr="0077590E">
        <w:rPr>
          <w:rFonts w:cs="Arial"/>
          <w:bCs/>
          <w:sz w:val="20"/>
          <w:szCs w:val="20"/>
        </w:rPr>
        <w:t>). Todėl reikalingas ir ATL 2 ŠESD ataskaitos vertinimas už 2025</w:t>
      </w:r>
      <w:r w:rsidR="00B927FD">
        <w:rPr>
          <w:rFonts w:cs="Arial"/>
          <w:bCs/>
          <w:sz w:val="20"/>
          <w:szCs w:val="20"/>
        </w:rPr>
        <w:t>, 2026, 2027</w:t>
      </w:r>
      <w:r w:rsidRPr="0077590E">
        <w:rPr>
          <w:rFonts w:cs="Arial"/>
          <w:bCs/>
          <w:sz w:val="20"/>
          <w:szCs w:val="20"/>
        </w:rPr>
        <w:t xml:space="preserve"> metus, o už 2026</w:t>
      </w:r>
      <w:r w:rsidR="00B927FD">
        <w:rPr>
          <w:rFonts w:cs="Arial"/>
          <w:bCs/>
          <w:sz w:val="20"/>
          <w:szCs w:val="20"/>
        </w:rPr>
        <w:t xml:space="preserve"> ir 2027</w:t>
      </w:r>
      <w:r w:rsidRPr="0077590E">
        <w:rPr>
          <w:rFonts w:cs="Arial"/>
          <w:bCs/>
          <w:sz w:val="20"/>
          <w:szCs w:val="20"/>
        </w:rPr>
        <w:t xml:space="preserve"> metus papildomai </w:t>
      </w:r>
      <w:r w:rsidR="005B3E46">
        <w:rPr>
          <w:rFonts w:cs="Arial"/>
          <w:bCs/>
          <w:sz w:val="20"/>
          <w:szCs w:val="20"/>
        </w:rPr>
        <w:t>Perkančiojo subjekto</w:t>
      </w:r>
      <w:r w:rsidRPr="0077590E">
        <w:rPr>
          <w:rFonts w:cs="Arial"/>
          <w:bCs/>
          <w:sz w:val="20"/>
          <w:szCs w:val="20"/>
        </w:rPr>
        <w:t xml:space="preserve"> įvestus ATL 2 ŠESD kiekio duomenis sąjungos registre patvirtinti (BVPŽ kodas – 90731000-0). Paslaugos apima veiklos lygio ir metinio išmetamų ŠESD kiekio ataskaitų vertinimą, vertinimo pažymų parengimą ATL 1 sistemoje dalyvaujantiems </w:t>
      </w:r>
      <w:r w:rsidRPr="009C2EE4" w:rsidR="009C2EE4">
        <w:rPr>
          <w:rFonts w:cs="Arial"/>
          <w:bCs/>
          <w:sz w:val="20"/>
          <w:szCs w:val="20"/>
        </w:rPr>
        <w:t>Perkan</w:t>
      </w:r>
      <w:r w:rsidR="009C2EE4">
        <w:rPr>
          <w:rFonts w:cs="Arial"/>
          <w:bCs/>
          <w:sz w:val="20"/>
          <w:szCs w:val="20"/>
        </w:rPr>
        <w:t>čiojo</w:t>
      </w:r>
      <w:r w:rsidRPr="009C2EE4" w:rsidR="009C2EE4">
        <w:rPr>
          <w:rFonts w:cs="Arial"/>
          <w:bCs/>
          <w:sz w:val="20"/>
          <w:szCs w:val="20"/>
        </w:rPr>
        <w:t xml:space="preserve"> subjekt</w:t>
      </w:r>
      <w:r w:rsidR="009C2EE4">
        <w:rPr>
          <w:rFonts w:cs="Arial"/>
          <w:bCs/>
          <w:sz w:val="20"/>
          <w:szCs w:val="20"/>
        </w:rPr>
        <w:t>o</w:t>
      </w:r>
      <w:r w:rsidRPr="0077590E">
        <w:rPr>
          <w:rFonts w:cs="Arial"/>
          <w:bCs/>
          <w:sz w:val="20"/>
          <w:szCs w:val="20"/>
        </w:rPr>
        <w:t xml:space="preserve"> objektams (</w:t>
      </w:r>
      <w:r w:rsidR="00051C72">
        <w:rPr>
          <w:rFonts w:cs="Arial"/>
          <w:bCs/>
          <w:sz w:val="20"/>
          <w:szCs w:val="20"/>
        </w:rPr>
        <w:t xml:space="preserve">Techninės specifikacijos 3.3 p. </w:t>
      </w:r>
      <w:r w:rsidR="0068728A">
        <w:rPr>
          <w:rFonts w:cs="Arial"/>
          <w:bCs/>
          <w:sz w:val="20"/>
          <w:szCs w:val="20"/>
        </w:rPr>
        <w:t>Lentelė Nr.</w:t>
      </w:r>
      <w:r w:rsidRPr="0077590E">
        <w:rPr>
          <w:rFonts w:cs="Arial"/>
          <w:bCs/>
          <w:sz w:val="20"/>
          <w:szCs w:val="20"/>
        </w:rPr>
        <w:t xml:space="preserve">1) pagal Europos Parlamento ir Tarybos direktyvą 2003/87/EB bei </w:t>
      </w:r>
      <w:r w:rsidRPr="00051C72">
        <w:rPr>
          <w:rFonts w:cs="Arial"/>
          <w:bCs/>
          <w:i/>
          <w:iCs/>
          <w:sz w:val="20"/>
          <w:szCs w:val="20"/>
        </w:rPr>
        <w:t>EU Union Registry</w:t>
      </w:r>
      <w:r w:rsidRPr="0077590E">
        <w:rPr>
          <w:rFonts w:cs="Arial"/>
          <w:bCs/>
          <w:sz w:val="20"/>
          <w:szCs w:val="20"/>
        </w:rPr>
        <w:t xml:space="preserve"> informacinėje sistemoje audito metu nustatytų ŠESD kiekių įrašymą </w:t>
      </w:r>
      <w:r w:rsidRPr="0077590E" w:rsidR="004B7029">
        <w:rPr>
          <w:rFonts w:cs="Arial"/>
          <w:bCs/>
          <w:sz w:val="20"/>
          <w:szCs w:val="20"/>
        </w:rPr>
        <w:t>(toliau –</w:t>
      </w:r>
      <w:r w:rsidRPr="0077590E">
        <w:rPr>
          <w:rFonts w:cs="Arial"/>
          <w:bCs/>
          <w:sz w:val="20"/>
          <w:szCs w:val="20"/>
        </w:rPr>
        <w:t xml:space="preserve"> </w:t>
      </w:r>
      <w:r w:rsidRPr="00FE2903" w:rsidR="004B7029">
        <w:rPr>
          <w:rFonts w:cs="Arial"/>
          <w:b/>
          <w:sz w:val="20"/>
          <w:szCs w:val="20"/>
        </w:rPr>
        <w:t>Paslaugos</w:t>
      </w:r>
      <w:r w:rsidRPr="0077590E" w:rsidR="004B7029">
        <w:rPr>
          <w:rFonts w:cs="Arial"/>
          <w:bCs/>
          <w:sz w:val="20"/>
          <w:szCs w:val="20"/>
        </w:rPr>
        <w:t>).</w:t>
      </w:r>
    </w:p>
    <w:p w:rsidRPr="0043712E" w:rsidR="00FC1E11" w:rsidP="008E2D12" w:rsidRDefault="00FC1E11" w14:paraId="271188AC" w14:textId="0F77D8DB">
      <w:pPr>
        <w:pStyle w:val="Sraopastraipa"/>
        <w:numPr>
          <w:ilvl w:val="0"/>
          <w:numId w:val="3"/>
        </w:numPr>
        <w:pBdr>
          <w:top w:val="single" w:color="auto" w:sz="8" w:space="1"/>
          <w:bottom w:val="single" w:color="auto" w:sz="8" w:space="1"/>
        </w:pBdr>
        <w:shd w:val="clear" w:color="auto" w:fill="EDEDED"/>
        <w:tabs>
          <w:tab w:val="left" w:pos="360"/>
        </w:tabs>
        <w:spacing w:before="120" w:after="120"/>
        <w:ind w:hanging="72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SĄVOKOS IR SUTRUMPINIMAI</w:t>
      </w:r>
    </w:p>
    <w:p w:rsidRPr="004B7029" w:rsidR="00FC1E11" w:rsidP="004B7029" w:rsidRDefault="00383CEA" w14:paraId="66B4FE81" w14:textId="345A3D12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hanging="720"/>
        <w:jc w:val="both"/>
        <w:rPr>
          <w:rFonts w:eastAsia="Arial" w:cs="Arial"/>
          <w:sz w:val="20"/>
          <w:szCs w:val="20"/>
        </w:rPr>
      </w:pPr>
      <w:r w:rsidRPr="7366A5A8" w:rsidR="00383CEA">
        <w:rPr>
          <w:rFonts w:ascii="Arial" w:hAnsi="Arial" w:eastAsia="Arial" w:cs="Arial" w:asciiTheme="minorAscii" w:hAnsiTheme="minorAscii" w:eastAsiaTheme="minorAscii" w:cstheme="minorBidi"/>
          <w:b w:val="1"/>
          <w:bCs w:val="1"/>
          <w:color w:val="auto"/>
          <w:sz w:val="20"/>
          <w:szCs w:val="20"/>
          <w:lang w:eastAsia="en-US" w:bidi="ar-SA"/>
        </w:rPr>
        <w:t>Perkantysis subjektas</w:t>
      </w:r>
      <w:r w:rsidRPr="7366A5A8" w:rsidR="00FC1E11">
        <w:rPr>
          <w:rFonts w:ascii="Arial" w:hAnsi="Arial" w:eastAsia="Arial" w:cs="Arial" w:asciiTheme="minorAscii" w:hAnsiTheme="minorAscii" w:eastAsiaTheme="minorAscii" w:cstheme="minorBidi"/>
          <w:b w:val="1"/>
          <w:bCs w:val="1"/>
          <w:color w:val="auto"/>
          <w:sz w:val="20"/>
          <w:szCs w:val="20"/>
          <w:lang w:eastAsia="en-US" w:bidi="ar-SA"/>
        </w:rPr>
        <w:t xml:space="preserve"> </w:t>
      </w:r>
      <w:r w:rsidRPr="7366A5A8" w:rsidR="00FC1E11">
        <w:rPr>
          <w:rFonts w:eastAsia="Arial" w:cs="Arial"/>
          <w:sz w:val="20"/>
          <w:szCs w:val="20"/>
        </w:rPr>
        <w:t>–</w:t>
      </w:r>
      <w:r w:rsidRPr="7366A5A8" w:rsidR="00343A19">
        <w:rPr>
          <w:rFonts w:eastAsia="Arial" w:cs="Arial"/>
          <w:i w:val="1"/>
          <w:iCs w:val="1"/>
          <w:color w:val="747474" w:themeColor="background2" w:themeTint="FF" w:themeShade="80"/>
          <w:sz w:val="20"/>
          <w:szCs w:val="20"/>
        </w:rPr>
        <w:t xml:space="preserve"> </w:t>
      </w:r>
      <w:r w:rsidRPr="7366A5A8" w:rsidR="00343A19">
        <w:rPr>
          <w:rFonts w:cs="Arial"/>
          <w:sz w:val="20"/>
          <w:szCs w:val="20"/>
          <w:lang w:eastAsia="lt-LT"/>
        </w:rPr>
        <w:t>Akcinė bendrovė</w:t>
      </w:r>
      <w:r w:rsidRPr="7366A5A8" w:rsidR="00343A19">
        <w:rPr>
          <w:rFonts w:cs="Arial"/>
          <w:sz w:val="20"/>
          <w:szCs w:val="20"/>
          <w:lang w:eastAsia="lt-LT"/>
        </w:rPr>
        <w:t xml:space="preserve"> „Kauno energija“</w:t>
      </w:r>
      <w:r w:rsidRPr="7366A5A8" w:rsidR="00625F0D">
        <w:rPr>
          <w:rFonts w:cs="Arial"/>
          <w:i w:val="1"/>
          <w:iCs w:val="1"/>
          <w:color w:val="747474" w:themeColor="background2" w:themeTint="FF" w:themeShade="80"/>
          <w:sz w:val="20"/>
          <w:szCs w:val="20"/>
        </w:rPr>
        <w:t>.</w:t>
      </w:r>
    </w:p>
    <w:p w:rsidRPr="00343A19" w:rsidR="00343A19" w:rsidP="00343A19" w:rsidRDefault="00FC1E11" w14:paraId="264AFB08" w14:textId="551F4F33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color w:val="000000" w:themeColor="text1"/>
          <w:sz w:val="20"/>
          <w:szCs w:val="20"/>
        </w:rPr>
      </w:pPr>
      <w:r w:rsidRPr="007A2F36">
        <w:rPr>
          <w:rFonts w:eastAsia="Arial" w:cs="Arial"/>
          <w:b/>
          <w:bCs/>
          <w:sz w:val="20"/>
          <w:szCs w:val="20"/>
        </w:rPr>
        <w:t>Tiekėjas</w:t>
      </w:r>
      <w:r w:rsidRPr="007A2F36">
        <w:rPr>
          <w:rFonts w:cs="Arial"/>
          <w:b/>
          <w:bCs/>
          <w:sz w:val="20"/>
          <w:szCs w:val="20"/>
        </w:rPr>
        <w:t xml:space="preserve"> </w:t>
      </w:r>
      <w:r w:rsidRPr="007A2F36">
        <w:rPr>
          <w:rFonts w:eastAsia="Arial" w:cs="Arial"/>
          <w:sz w:val="20"/>
          <w:szCs w:val="20"/>
        </w:rPr>
        <w:t xml:space="preserve">– </w:t>
      </w:r>
      <w:r w:rsidRPr="00343A19" w:rsidR="00343A19">
        <w:rPr>
          <w:rFonts w:cs="Arial"/>
          <w:bCs/>
          <w:sz w:val="20"/>
          <w:lang w:eastAsia="lt-LT"/>
        </w:rPr>
        <w:t xml:space="preserve">konkursą laimėjęs tiekėjas, kuris teikia perkamas Paslaugas. </w:t>
      </w:r>
      <w:r w:rsidR="00A666FE">
        <w:rPr>
          <w:rFonts w:cs="Arial"/>
          <w:bCs/>
          <w:sz w:val="20"/>
          <w:lang w:eastAsia="lt-LT"/>
        </w:rPr>
        <w:t>T</w:t>
      </w:r>
      <w:r w:rsidRPr="00343A19" w:rsidR="00343A19">
        <w:rPr>
          <w:rFonts w:cs="Arial"/>
          <w:bCs/>
          <w:sz w:val="20"/>
          <w:lang w:eastAsia="lt-LT"/>
        </w:rPr>
        <w:t xml:space="preserve">iekėjas turi būti parenkamas iš registruotų nepriklausomų vertintojų sąrašo su sutarties laikotarpiu galiojančiu akreditacijos pažymėjimu </w:t>
      </w:r>
      <w:r w:rsidR="004A72D0">
        <w:rPr>
          <w:rFonts w:cs="Arial"/>
          <w:bCs/>
          <w:sz w:val="20"/>
          <w:lang w:eastAsia="lt-LT"/>
        </w:rPr>
        <w:t>P</w:t>
      </w:r>
      <w:r w:rsidRPr="00343A19" w:rsidR="00343A19">
        <w:rPr>
          <w:rFonts w:cs="Arial"/>
          <w:bCs/>
          <w:sz w:val="20"/>
          <w:lang w:eastAsia="lt-LT"/>
        </w:rPr>
        <w:t xml:space="preserve">irkimo objekto sričiai: </w:t>
      </w:r>
      <w:hyperlink w:history="1" r:id="rId8">
        <w:r w:rsidRPr="00343A19" w:rsidR="00343A19">
          <w:rPr>
            <w:rStyle w:val="Hipersaitas"/>
            <w:rFonts w:cs="Arial"/>
            <w:sz w:val="20"/>
          </w:rPr>
          <w:t>Informacija apie tikrintojus - Aplinkos projektų valdymo agentūra (lrv.lt)</w:t>
        </w:r>
      </w:hyperlink>
      <w:r w:rsidR="0068728A">
        <w:rPr>
          <w:rFonts w:cs="Arial"/>
          <w:bCs/>
          <w:sz w:val="20"/>
          <w:lang w:eastAsia="lt-LT"/>
        </w:rPr>
        <w:t>.</w:t>
      </w:r>
    </w:p>
    <w:p w:rsidRPr="001A3061" w:rsidR="00FC1E11" w:rsidP="004B7029" w:rsidRDefault="00FC1E11" w14:paraId="08022D5E" w14:textId="0C935FED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i/>
          <w:iCs/>
          <w:color w:val="FF0000"/>
          <w:sz w:val="20"/>
          <w:szCs w:val="20"/>
        </w:rPr>
      </w:pPr>
      <w:r w:rsidRPr="007A2F36">
        <w:rPr>
          <w:rFonts w:eastAsia="Arial" w:cs="Arial"/>
          <w:b/>
          <w:bCs/>
          <w:sz w:val="20"/>
          <w:szCs w:val="20"/>
        </w:rPr>
        <w:t>Sutartis</w:t>
      </w:r>
      <w:r w:rsidRPr="007A2F36">
        <w:rPr>
          <w:rFonts w:eastAsia="Arial" w:cs="Arial"/>
          <w:sz w:val="20"/>
          <w:szCs w:val="20"/>
        </w:rPr>
        <w:t xml:space="preserve"> – </w:t>
      </w:r>
      <w:r w:rsidRPr="00625F0D">
        <w:rPr>
          <w:rFonts w:eastAsia="Arial" w:cs="Arial"/>
          <w:color w:val="000000" w:themeColor="text1"/>
          <w:sz w:val="20"/>
          <w:szCs w:val="20"/>
        </w:rPr>
        <w:t xml:space="preserve">Sutartis, sudaroma tarp </w:t>
      </w:r>
      <w:r w:rsidRPr="00625F0D" w:rsidR="001A3061">
        <w:rPr>
          <w:rFonts w:eastAsia="Arial" w:cs="Arial"/>
          <w:color w:val="000000" w:themeColor="text1"/>
          <w:sz w:val="20"/>
          <w:szCs w:val="20"/>
        </w:rPr>
        <w:t xml:space="preserve">Perkančiojo subjekto ir </w:t>
      </w:r>
      <w:r w:rsidRPr="00625F0D">
        <w:rPr>
          <w:rFonts w:eastAsia="Arial" w:cs="Arial"/>
          <w:color w:val="000000" w:themeColor="text1"/>
          <w:sz w:val="20"/>
          <w:szCs w:val="20"/>
        </w:rPr>
        <w:t>Tiekėjo dėl Pirkimo objekto.</w:t>
      </w:r>
    </w:p>
    <w:p w:rsidRPr="00343A19" w:rsidR="00343A19" w:rsidP="00343A19" w:rsidRDefault="00B60A06" w14:paraId="6D6F91C0" w14:textId="6B7769C1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i/>
          <w:iCs/>
          <w:color w:val="FF0000"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>Paslaugos</w:t>
      </w:r>
      <w:r w:rsidR="00F45757">
        <w:rPr>
          <w:rFonts w:eastAsia="Arial" w:cs="Arial"/>
          <w:sz w:val="20"/>
          <w:szCs w:val="20"/>
        </w:rPr>
        <w:t xml:space="preserve"> </w:t>
      </w:r>
      <w:r w:rsidRPr="007A2F36" w:rsidR="00FC1E11">
        <w:rPr>
          <w:rFonts w:eastAsia="Arial" w:cs="Arial"/>
          <w:sz w:val="20"/>
          <w:szCs w:val="20"/>
        </w:rPr>
        <w:t>–</w:t>
      </w:r>
      <w:r w:rsidR="00343A19">
        <w:rPr>
          <w:rFonts w:eastAsia="Arial" w:cs="Arial"/>
          <w:sz w:val="20"/>
          <w:szCs w:val="20"/>
        </w:rPr>
        <w:t xml:space="preserve"> </w:t>
      </w:r>
      <w:r w:rsidRPr="00343A19" w:rsidR="00343A19">
        <w:rPr>
          <w:rFonts w:cs="Arial"/>
          <w:bCs/>
          <w:sz w:val="20"/>
          <w:lang w:eastAsia="lt-LT"/>
        </w:rPr>
        <w:t xml:space="preserve">veiklos lygio duomenų ir </w:t>
      </w:r>
      <w:r w:rsidRPr="00343A19" w:rsidR="00343A19">
        <w:rPr>
          <w:rFonts w:cs="Arial"/>
          <w:sz w:val="20"/>
        </w:rPr>
        <w:t>metinio išmetamų ŠESD kiekio</w:t>
      </w:r>
      <w:r w:rsidRPr="00343A19" w:rsidR="00343A19">
        <w:rPr>
          <w:rFonts w:cs="Arial"/>
          <w:bCs/>
          <w:sz w:val="20"/>
          <w:lang w:eastAsia="lt-LT"/>
        </w:rPr>
        <w:t xml:space="preserve"> ataskaitų vertinimas ir vertinimo pažymų </w:t>
      </w:r>
      <w:r w:rsidRPr="00343A19" w:rsidR="00343A19">
        <w:rPr>
          <w:rFonts w:cs="Arial"/>
          <w:sz w:val="20"/>
        </w:rPr>
        <w:t>pateikimas</w:t>
      </w:r>
      <w:r w:rsidRPr="00343A19" w:rsidR="00343A19">
        <w:rPr>
          <w:rFonts w:cs="Arial"/>
          <w:bCs/>
          <w:sz w:val="20"/>
          <w:lang w:eastAsia="lt-LT"/>
        </w:rPr>
        <w:t xml:space="preserve"> </w:t>
      </w:r>
      <w:r w:rsidRPr="00343A19" w:rsidR="00343A19">
        <w:rPr>
          <w:rFonts w:cs="Arial"/>
          <w:sz w:val="20"/>
        </w:rPr>
        <w:t xml:space="preserve">ATL 1 sistemoje dalyvaujantiems </w:t>
      </w:r>
      <w:r w:rsidRPr="009C2EE4" w:rsidR="005B3E46">
        <w:rPr>
          <w:rFonts w:cs="Arial"/>
          <w:bCs/>
          <w:sz w:val="20"/>
          <w:szCs w:val="20"/>
        </w:rPr>
        <w:t>Perkan</w:t>
      </w:r>
      <w:r w:rsidR="005B3E46">
        <w:rPr>
          <w:rFonts w:cs="Arial"/>
          <w:bCs/>
          <w:sz w:val="20"/>
          <w:szCs w:val="20"/>
        </w:rPr>
        <w:t>čiojo</w:t>
      </w:r>
      <w:r w:rsidRPr="009C2EE4" w:rsidR="005B3E46">
        <w:rPr>
          <w:rFonts w:cs="Arial"/>
          <w:bCs/>
          <w:sz w:val="20"/>
          <w:szCs w:val="20"/>
        </w:rPr>
        <w:t xml:space="preserve"> subjekt</w:t>
      </w:r>
      <w:r w:rsidR="005B3E46">
        <w:rPr>
          <w:rFonts w:cs="Arial"/>
          <w:bCs/>
          <w:sz w:val="20"/>
          <w:szCs w:val="20"/>
        </w:rPr>
        <w:t>o</w:t>
      </w:r>
      <w:r w:rsidRPr="00343A19" w:rsidR="00343A19">
        <w:rPr>
          <w:rFonts w:cs="Arial"/>
          <w:sz w:val="20"/>
        </w:rPr>
        <w:t xml:space="preserve"> objektams </w:t>
      </w:r>
      <w:r w:rsidRPr="0077590E" w:rsidR="004A72D0">
        <w:rPr>
          <w:rFonts w:cs="Arial"/>
          <w:bCs/>
          <w:sz w:val="20"/>
          <w:szCs w:val="20"/>
        </w:rPr>
        <w:t>(</w:t>
      </w:r>
      <w:r w:rsidR="004A72D0">
        <w:rPr>
          <w:rFonts w:cs="Arial"/>
          <w:bCs/>
          <w:sz w:val="20"/>
          <w:szCs w:val="20"/>
        </w:rPr>
        <w:t>Techninės specifikacijos 3.3 p. Lentelė Nr.</w:t>
      </w:r>
      <w:r w:rsidRPr="0077590E" w:rsidR="004A72D0">
        <w:rPr>
          <w:rFonts w:cs="Arial"/>
          <w:bCs/>
          <w:sz w:val="20"/>
          <w:szCs w:val="20"/>
        </w:rPr>
        <w:t>1</w:t>
      </w:r>
      <w:r w:rsidR="004A72D0">
        <w:rPr>
          <w:rFonts w:cs="Arial"/>
          <w:bCs/>
          <w:sz w:val="20"/>
          <w:szCs w:val="20"/>
        </w:rPr>
        <w:t>)</w:t>
      </w:r>
      <w:r w:rsidR="00B927FD">
        <w:rPr>
          <w:rFonts w:cs="Arial"/>
          <w:bCs/>
          <w:sz w:val="20"/>
          <w:szCs w:val="20"/>
        </w:rPr>
        <w:t xml:space="preserve"> bei </w:t>
      </w:r>
      <w:r w:rsidRPr="00343A19" w:rsidR="00343A19">
        <w:rPr>
          <w:rFonts w:cs="Arial"/>
          <w:sz w:val="20"/>
        </w:rPr>
        <w:t xml:space="preserve">pagal Europos Parlamento ir Tarybos direktyvą 2003/87/EB bei </w:t>
      </w:r>
      <w:r w:rsidRPr="00FB038B" w:rsidR="00343A19">
        <w:rPr>
          <w:rFonts w:cs="Arial"/>
          <w:i/>
          <w:iCs/>
          <w:sz w:val="20"/>
        </w:rPr>
        <w:t xml:space="preserve">EU Union Registry </w:t>
      </w:r>
      <w:r w:rsidRPr="00343A19" w:rsidR="00343A19">
        <w:rPr>
          <w:rFonts w:cs="Arial"/>
          <w:sz w:val="20"/>
        </w:rPr>
        <w:t>informacinėje sistemoje audito metu nustatytų ŠESD kiekių įrašymą. Objekto patenkančio p</w:t>
      </w:r>
      <w:r w:rsidR="00343A19">
        <w:rPr>
          <w:rFonts w:cs="Arial"/>
          <w:sz w:val="20"/>
        </w:rPr>
        <w:t xml:space="preserve">o </w:t>
      </w:r>
      <w:r w:rsidRPr="00343A19" w:rsidR="00343A19">
        <w:rPr>
          <w:rFonts w:cs="Arial"/>
          <w:sz w:val="20"/>
        </w:rPr>
        <w:t>ATL 2 reguliuojamų subjektų ir prekybos sistema metinių ŠESD kiekio vertinimas ir vertinimo pažymos pateikimas už 2025</w:t>
      </w:r>
      <w:r w:rsidR="00B927FD">
        <w:rPr>
          <w:rFonts w:cs="Arial"/>
          <w:sz w:val="20"/>
        </w:rPr>
        <w:t>, 2026, 2027</w:t>
      </w:r>
      <w:r w:rsidRPr="00343A19" w:rsidR="00343A19">
        <w:rPr>
          <w:rFonts w:cs="Arial"/>
          <w:sz w:val="20"/>
        </w:rPr>
        <w:t xml:space="preserve"> metus, už 2026</w:t>
      </w:r>
      <w:r w:rsidR="00B927FD">
        <w:rPr>
          <w:rFonts w:cs="Arial"/>
          <w:sz w:val="20"/>
        </w:rPr>
        <w:t>, 2027</w:t>
      </w:r>
      <w:r w:rsidRPr="00343A19" w:rsidR="00343A19">
        <w:rPr>
          <w:rFonts w:cs="Arial"/>
          <w:sz w:val="20"/>
        </w:rPr>
        <w:t xml:space="preserve"> metus </w:t>
      </w:r>
      <w:r w:rsidR="00343A19">
        <w:rPr>
          <w:rFonts w:cs="Arial"/>
          <w:sz w:val="20"/>
        </w:rPr>
        <w:t>Perkan</w:t>
      </w:r>
      <w:r w:rsidR="009C2EE4">
        <w:rPr>
          <w:rFonts w:cs="Arial"/>
          <w:sz w:val="20"/>
        </w:rPr>
        <w:t>č</w:t>
      </w:r>
      <w:r w:rsidR="00343A19">
        <w:rPr>
          <w:rFonts w:cs="Arial"/>
          <w:sz w:val="20"/>
        </w:rPr>
        <w:t>iojo subjekto</w:t>
      </w:r>
      <w:r w:rsidRPr="00343A19" w:rsidR="00343A19">
        <w:rPr>
          <w:rFonts w:cs="Arial"/>
          <w:sz w:val="20"/>
        </w:rPr>
        <w:t xml:space="preserve"> įvestus ATL 2 ŠESD kiekio duomenis sąjungos registre patvirtinti</w:t>
      </w:r>
      <w:r w:rsidR="004A72D0">
        <w:rPr>
          <w:rFonts w:cs="Arial"/>
          <w:bCs/>
          <w:sz w:val="20"/>
          <w:lang w:eastAsia="lt-LT"/>
        </w:rPr>
        <w:t>.</w:t>
      </w:r>
    </w:p>
    <w:p w:rsidRPr="00343A19" w:rsidR="00343A19" w:rsidP="00343A19" w:rsidRDefault="00343A19" w14:paraId="0A58F460" w14:textId="01822410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b/>
          <w:sz w:val="20"/>
          <w:szCs w:val="20"/>
        </w:rPr>
      </w:pPr>
      <w:bookmarkStart w:name="_Hlk34729843" w:id="1"/>
      <w:r w:rsidRPr="00343A19">
        <w:rPr>
          <w:rFonts w:cs="Arial"/>
          <w:b/>
          <w:sz w:val="20"/>
        </w:rPr>
        <w:t xml:space="preserve">ŠESD </w:t>
      </w:r>
      <w:r w:rsidRPr="00343A19">
        <w:rPr>
          <w:rFonts w:cs="Arial"/>
          <w:bCs/>
          <w:sz w:val="20"/>
        </w:rPr>
        <w:t>– šiltnamio efektą sukeliančios dujos</w:t>
      </w:r>
      <w:r w:rsidR="004A72D0">
        <w:rPr>
          <w:rFonts w:cs="Arial"/>
          <w:bCs/>
          <w:sz w:val="20"/>
        </w:rPr>
        <w:t>.</w:t>
      </w:r>
    </w:p>
    <w:p w:rsidRPr="00343A19" w:rsidR="00343A19" w:rsidP="00343A19" w:rsidRDefault="00343A19" w14:paraId="43CC07E4" w14:textId="78AE2964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b/>
          <w:sz w:val="20"/>
          <w:szCs w:val="20"/>
        </w:rPr>
      </w:pPr>
      <w:r w:rsidRPr="00343A19">
        <w:rPr>
          <w:rFonts w:cs="Arial"/>
          <w:b/>
          <w:sz w:val="20"/>
        </w:rPr>
        <w:t xml:space="preserve">ATL 1 </w:t>
      </w:r>
      <w:r w:rsidRPr="00343A19">
        <w:rPr>
          <w:rFonts w:cs="Arial"/>
          <w:bCs/>
          <w:sz w:val="20"/>
        </w:rPr>
        <w:t>– šiltnamio efektą sukeliančių dujų apyvartinis taršos leidimas – administraciniu sprendimu suteikiama teisė veiklos vykdytojui per nustatytą laikotarpį išmesti į atmosferą vieną toną anglies dioksido ar anglies dioksido ekvivalentą (Pagal 2009 m. liepos 7 d. Lietuvos Respublikos klimato kaitos valdymo įstatymą Nr. XI-329)</w:t>
      </w:r>
      <w:r w:rsidR="004A72D0">
        <w:rPr>
          <w:rFonts w:cs="Arial"/>
          <w:bCs/>
          <w:sz w:val="20"/>
        </w:rPr>
        <w:t>.</w:t>
      </w:r>
    </w:p>
    <w:p w:rsidRPr="00343A19" w:rsidR="00343A19" w:rsidP="00343A19" w:rsidRDefault="00343A19" w14:paraId="73DFBF8F" w14:textId="77777777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b/>
          <w:sz w:val="20"/>
          <w:szCs w:val="20"/>
        </w:rPr>
      </w:pPr>
      <w:r w:rsidRPr="00343A19">
        <w:rPr>
          <w:rFonts w:cs="Arial"/>
          <w:b/>
          <w:sz w:val="20"/>
        </w:rPr>
        <w:t xml:space="preserve">ATL 2 </w:t>
      </w:r>
      <w:r w:rsidRPr="00343A19">
        <w:rPr>
          <w:rFonts w:cs="Arial"/>
          <w:bCs/>
          <w:sz w:val="20"/>
        </w:rPr>
        <w:t>– reguliavimas taikomas pradinėje grandyje – ne galutiniams degalų vartotojams, o asmenims, tiekiantiems kurą vartotojams ir privalantiems mokėti akcizus už energinius produktus. Reguliuojamieji subjektai – tai asmenys (išskyrus galutinius kuro naudotojus), tiekiantys kurą pastatams, kelių transportui ir papildomiems sektoriams (Pagal 2009 m. liepos 7 d. Lietuvos Respublikos klimato kaitos valdymo įstatymo Nr. XI-329 2 priedą ir 12 straipsnio 1 dalį).</w:t>
      </w:r>
    </w:p>
    <w:p w:rsidRPr="00343A19" w:rsidR="00343A19" w:rsidP="00343A19" w:rsidRDefault="00343A19" w14:paraId="397582AC" w14:textId="4C76C848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b/>
          <w:sz w:val="20"/>
          <w:szCs w:val="20"/>
        </w:rPr>
      </w:pPr>
      <w:r w:rsidRPr="00343A19">
        <w:rPr>
          <w:rFonts w:cs="Arial"/>
          <w:b/>
          <w:sz w:val="20"/>
          <w:lang w:eastAsia="lt-LT"/>
        </w:rPr>
        <w:t xml:space="preserve">Teisės aktai </w:t>
      </w:r>
      <w:r w:rsidRPr="00343A19">
        <w:rPr>
          <w:rFonts w:cs="Arial"/>
          <w:bCs/>
          <w:sz w:val="20"/>
          <w:lang w:eastAsia="lt-LT"/>
        </w:rPr>
        <w:t xml:space="preserve">– Lietuvos Respublikos aplinkos ministro 2020 m. gruodžio 4 d. įsakymas Nr. D1-739 „Dėl Šiltnamio efektą sukeliančių dujų </w:t>
      </w:r>
      <w:r w:rsidRPr="00343A19">
        <w:rPr>
          <w:rFonts w:cs="Arial"/>
          <w:bCs/>
          <w:sz w:val="20"/>
        </w:rPr>
        <w:t xml:space="preserve">apyvartinių taršos leidimų skyrimo ir prekybos jais tvarkos aprašo patvirtinimo“, 2020 m. spalio 7 d. </w:t>
      </w:r>
      <w:r w:rsidRPr="00343A19">
        <w:rPr>
          <w:rFonts w:cs="Arial"/>
          <w:bCs/>
          <w:sz w:val="20"/>
          <w:lang w:eastAsia="lt-LT"/>
        </w:rPr>
        <w:t xml:space="preserve">įsakymas Nr. D1-168 „Dėl Europos Sąjungos šiltnamio efektą sukeliančių dujų </w:t>
      </w:r>
      <w:r w:rsidRPr="00343A19">
        <w:rPr>
          <w:rFonts w:cs="Arial"/>
          <w:bCs/>
          <w:sz w:val="20"/>
        </w:rPr>
        <w:t xml:space="preserve">apyvartinių taršos leidimų prekybos sistemoje dalyvaujančių veiklos vykdytojų ir orlaivių naudotojų šiltnamio efektą sukeliančių dujų išmetimo, stebėsenos, apskaitos ir ataskaitų teikimo tvarkos aprašo patvirtinimo“ bei </w:t>
      </w:r>
      <w:bookmarkStart w:name="_Hlk171343336" w:id="2"/>
      <w:r w:rsidRPr="00343A19">
        <w:rPr>
          <w:rFonts w:cs="Arial"/>
          <w:bCs/>
          <w:sz w:val="20"/>
        </w:rPr>
        <w:t>2009 m. liepos 7 d. Lietuvos Respublikos klimato kaitos valdymo įstatymas Nr. XI-329</w:t>
      </w:r>
      <w:r w:rsidR="004A72D0">
        <w:rPr>
          <w:rFonts w:cs="Arial"/>
          <w:bCs/>
          <w:sz w:val="20"/>
        </w:rPr>
        <w:t>.</w:t>
      </w:r>
      <w:bookmarkEnd w:id="2"/>
    </w:p>
    <w:p w:rsidRPr="00343A19" w:rsidR="00343A19" w:rsidP="00343A19" w:rsidRDefault="00343A19" w14:paraId="5B61416D" w14:textId="16229A6A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b/>
          <w:sz w:val="20"/>
          <w:szCs w:val="20"/>
        </w:rPr>
      </w:pPr>
      <w:r w:rsidRPr="00343A19">
        <w:rPr>
          <w:rFonts w:cs="Arial"/>
          <w:b/>
          <w:sz w:val="20"/>
        </w:rPr>
        <w:t>Reglamentas</w:t>
      </w:r>
      <w:r w:rsidRPr="00343A19">
        <w:rPr>
          <w:rFonts w:cs="Arial"/>
          <w:bCs/>
          <w:sz w:val="20"/>
        </w:rPr>
        <w:t xml:space="preserve"> – Reglamentas (ES) 2018/2066, Reglamentas (ES) 2018/2067, Reglamentas (ES) 2019/331</w:t>
      </w:r>
      <w:r w:rsidR="004A72D0">
        <w:rPr>
          <w:rFonts w:cs="Arial"/>
          <w:bCs/>
          <w:sz w:val="20"/>
        </w:rPr>
        <w:t>.</w:t>
      </w:r>
    </w:p>
    <w:p w:rsidRPr="00343A19" w:rsidR="00343A19" w:rsidP="00343A19" w:rsidRDefault="00343A19" w14:paraId="634D9526" w14:textId="5F8DBB8F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b/>
          <w:sz w:val="20"/>
          <w:szCs w:val="20"/>
        </w:rPr>
      </w:pPr>
      <w:r w:rsidRPr="00343A19">
        <w:rPr>
          <w:rFonts w:cs="Arial"/>
          <w:b/>
          <w:sz w:val="20"/>
        </w:rPr>
        <w:t xml:space="preserve">Direktyva </w:t>
      </w:r>
      <w:r w:rsidRPr="00343A19">
        <w:rPr>
          <w:rFonts w:cs="Arial"/>
          <w:bCs/>
          <w:sz w:val="20"/>
        </w:rPr>
        <w:t>– Europos Parlamento ir Tarybos direktyva 2003/87/EB.</w:t>
      </w:r>
    </w:p>
    <w:bookmarkEnd w:id="1"/>
    <w:p w:rsidRPr="0043712E" w:rsidR="00FC1E11" w:rsidP="00C274E2" w:rsidRDefault="00FC1E11" w14:paraId="0CCC0AEE" w14:textId="77777777">
      <w:pPr>
        <w:pStyle w:val="Sraopastraipa"/>
        <w:numPr>
          <w:ilvl w:val="0"/>
          <w:numId w:val="3"/>
        </w:numPr>
        <w:pBdr>
          <w:top w:val="single" w:color="auto" w:sz="8" w:space="1"/>
          <w:bottom w:val="single" w:color="auto" w:sz="8" w:space="1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PIRKIMO OBJEKTO APIMTYS</w:t>
      </w:r>
    </w:p>
    <w:p w:rsidRPr="00106918" w:rsidR="00106918" w:rsidP="00106918" w:rsidRDefault="00A666FE" w14:paraId="5A0F58E0" w14:textId="3EE70595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i/>
          <w:iCs/>
          <w:color w:val="747474" w:themeColor="background2" w:themeShade="80"/>
          <w:sz w:val="20"/>
          <w:szCs w:val="20"/>
        </w:rPr>
      </w:pPr>
      <w:r>
        <w:rPr>
          <w:rFonts w:cs="Arial"/>
          <w:sz w:val="20"/>
        </w:rPr>
        <w:t>T</w:t>
      </w:r>
      <w:r w:rsidRPr="00106918" w:rsidR="00106918">
        <w:rPr>
          <w:rFonts w:cs="Arial"/>
          <w:sz w:val="20"/>
        </w:rPr>
        <w:t xml:space="preserve">iekėjas vertina </w:t>
      </w:r>
      <w:r w:rsidRPr="009C2EE4" w:rsidR="005B3E46">
        <w:rPr>
          <w:rFonts w:cs="Arial"/>
          <w:bCs/>
          <w:sz w:val="20"/>
          <w:szCs w:val="20"/>
        </w:rPr>
        <w:t>Perkan</w:t>
      </w:r>
      <w:r w:rsidR="005B3E46">
        <w:rPr>
          <w:rFonts w:cs="Arial"/>
          <w:bCs/>
          <w:sz w:val="20"/>
          <w:szCs w:val="20"/>
        </w:rPr>
        <w:t>čiojo</w:t>
      </w:r>
      <w:r w:rsidRPr="009C2EE4" w:rsidR="005B3E46">
        <w:rPr>
          <w:rFonts w:cs="Arial"/>
          <w:bCs/>
          <w:sz w:val="20"/>
          <w:szCs w:val="20"/>
        </w:rPr>
        <w:t xml:space="preserve"> subjekt</w:t>
      </w:r>
      <w:r w:rsidR="005B3E46">
        <w:rPr>
          <w:rFonts w:cs="Arial"/>
          <w:bCs/>
          <w:sz w:val="20"/>
          <w:szCs w:val="20"/>
        </w:rPr>
        <w:t>o</w:t>
      </w:r>
      <w:r w:rsidRPr="00106918" w:rsidR="00106918">
        <w:rPr>
          <w:rFonts w:cs="Arial"/>
          <w:sz w:val="20"/>
        </w:rPr>
        <w:t xml:space="preserve"> pateiktas veiklos lygio duomenų </w:t>
      </w:r>
      <w:r w:rsidRPr="00106918" w:rsidR="00106918">
        <w:rPr>
          <w:rFonts w:cs="Arial"/>
          <w:bCs/>
          <w:sz w:val="20"/>
          <w:lang w:eastAsia="lt-LT"/>
        </w:rPr>
        <w:t xml:space="preserve">ir </w:t>
      </w:r>
      <w:r w:rsidRPr="00106918" w:rsidR="00106918">
        <w:rPr>
          <w:rFonts w:cs="Arial"/>
          <w:sz w:val="20"/>
        </w:rPr>
        <w:t>metinio išmetamų ŠESD kiekio</w:t>
      </w:r>
      <w:r w:rsidRPr="00106918" w:rsidR="00106918">
        <w:rPr>
          <w:rFonts w:cs="Arial"/>
          <w:bCs/>
          <w:sz w:val="20"/>
          <w:lang w:eastAsia="lt-LT"/>
        </w:rPr>
        <w:t xml:space="preserve"> </w:t>
      </w:r>
      <w:r w:rsidRPr="00106918" w:rsidR="00106918">
        <w:rPr>
          <w:rFonts w:cs="Arial"/>
          <w:sz w:val="20"/>
        </w:rPr>
        <w:t xml:space="preserve">ataskaitas objektams dalyvaujantiems ATL 1 prekybos sistemoje bei turintiems kompetentingos institucijos (Aplinkos apsaugos agentūros) patvirtintą, galiojantį ŠESD monitoringo planą, ŠESD emisijos leidimą tam </w:t>
      </w:r>
      <w:r w:rsidRPr="00106918" w:rsidR="00106918">
        <w:rPr>
          <w:rFonts w:cs="Arial"/>
          <w:sz w:val="20"/>
        </w:rPr>
        <w:lastRenderedPageBreak/>
        <w:t xml:space="preserve">laikotarpiui ir visus kitus būtinus aplinkosaugos leidimus. </w:t>
      </w:r>
      <w:r>
        <w:rPr>
          <w:rFonts w:cs="Arial"/>
          <w:sz w:val="20"/>
        </w:rPr>
        <w:t>T</w:t>
      </w:r>
      <w:r w:rsidRPr="00106918" w:rsidR="00106918">
        <w:rPr>
          <w:rFonts w:cs="Arial"/>
          <w:sz w:val="20"/>
        </w:rPr>
        <w:t>iekėjas įvertina Reglamento (ES) Nr. 2018/2066 X priedo nustatytų reikalavimų atitiktį, ŠESD monitoringo plano reikalavimus ir kt.</w:t>
      </w:r>
    </w:p>
    <w:p w:rsidRPr="00612C10" w:rsidR="00C805CB" w:rsidP="00612C10" w:rsidRDefault="00106918" w14:paraId="136A2ED5" w14:textId="5A7D4479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ind w:left="0" w:firstLine="0"/>
        <w:jc w:val="both"/>
        <w:rPr>
          <w:rFonts w:eastAsia="Arial" w:cs="Arial"/>
          <w:i/>
          <w:iCs/>
          <w:color w:val="747474" w:themeColor="background2" w:themeShade="80"/>
          <w:sz w:val="20"/>
          <w:szCs w:val="20"/>
        </w:rPr>
      </w:pPr>
      <w:r w:rsidRPr="00106918">
        <w:rPr>
          <w:rFonts w:cs="Arial"/>
          <w:sz w:val="20"/>
        </w:rPr>
        <w:t xml:space="preserve">Audito metu įvertinus nustatytą ŠESD kiekį </w:t>
      </w:r>
      <w:r>
        <w:rPr>
          <w:rFonts w:cs="Arial"/>
          <w:sz w:val="20"/>
        </w:rPr>
        <w:t xml:space="preserve">ATL 1 sistemoje </w:t>
      </w:r>
      <w:r w:rsidR="00A666FE">
        <w:rPr>
          <w:rFonts w:cs="Arial"/>
          <w:sz w:val="20"/>
        </w:rPr>
        <w:t>T</w:t>
      </w:r>
      <w:r w:rsidRPr="00106918">
        <w:rPr>
          <w:rFonts w:cs="Arial"/>
          <w:sz w:val="20"/>
        </w:rPr>
        <w:t>iekėjas vertę įrašo EU Union Registry informacinėje sistemoje.</w:t>
      </w:r>
    </w:p>
    <w:p w:rsidR="00E70821" w:rsidP="00612C10" w:rsidRDefault="00684C1F" w14:paraId="25C89E94" w14:textId="55FD388C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ind w:left="0" w:firstLine="0"/>
        <w:jc w:val="both"/>
        <w:rPr>
          <w:color w:val="000000" w:themeColor="text1"/>
          <w:sz w:val="20"/>
          <w:szCs w:val="20"/>
        </w:rPr>
      </w:pPr>
      <w:r w:rsidRPr="00031D79">
        <w:rPr>
          <w:color w:val="000000" w:themeColor="text1"/>
          <w:sz w:val="20"/>
          <w:szCs w:val="20"/>
        </w:rPr>
        <w:t>Pirkimo objekto apimtys</w:t>
      </w:r>
      <w:r w:rsidRPr="00031D79" w:rsidR="003C731B">
        <w:rPr>
          <w:color w:val="000000" w:themeColor="text1"/>
          <w:sz w:val="20"/>
          <w:szCs w:val="20"/>
        </w:rPr>
        <w:t xml:space="preserve"> </w:t>
      </w:r>
      <w:r w:rsidRPr="00031D79">
        <w:rPr>
          <w:color w:val="000000" w:themeColor="text1"/>
          <w:sz w:val="20"/>
          <w:szCs w:val="20"/>
        </w:rPr>
        <w:t xml:space="preserve">nurodytos </w:t>
      </w:r>
      <w:r w:rsidR="003C70B2">
        <w:rPr>
          <w:color w:val="000000" w:themeColor="text1"/>
          <w:sz w:val="20"/>
          <w:szCs w:val="20"/>
        </w:rPr>
        <w:t>L</w:t>
      </w:r>
      <w:r w:rsidRPr="00031D79">
        <w:rPr>
          <w:color w:val="000000" w:themeColor="text1"/>
          <w:sz w:val="20"/>
          <w:szCs w:val="20"/>
        </w:rPr>
        <w:t>entelėje</w:t>
      </w:r>
      <w:r w:rsidR="003C70B2">
        <w:rPr>
          <w:color w:val="000000" w:themeColor="text1"/>
          <w:sz w:val="20"/>
          <w:szCs w:val="20"/>
        </w:rPr>
        <w:t xml:space="preserve"> Nr. 1</w:t>
      </w:r>
      <w:r w:rsidR="00E144E1">
        <w:rPr>
          <w:color w:val="000000" w:themeColor="text1"/>
          <w:sz w:val="20"/>
          <w:szCs w:val="20"/>
        </w:rPr>
        <w:t xml:space="preserve"> ir Lentelėje Nr. 2</w:t>
      </w:r>
      <w:r w:rsidRPr="00031D79">
        <w:rPr>
          <w:color w:val="000000" w:themeColor="text1"/>
          <w:sz w:val="20"/>
          <w:szCs w:val="20"/>
        </w:rPr>
        <w:t>:</w:t>
      </w:r>
    </w:p>
    <w:p w:rsidRPr="00031D79" w:rsidR="003C70B2" w:rsidP="00612C10" w:rsidRDefault="003C70B2" w14:paraId="0565689F" w14:textId="77777777">
      <w:pPr>
        <w:pStyle w:val="Sraopastraipa"/>
        <w:tabs>
          <w:tab w:val="left" w:pos="540"/>
          <w:tab w:val="left" w:pos="720"/>
        </w:tabs>
        <w:spacing w:before="60" w:after="60"/>
        <w:ind w:left="0" w:firstLine="0"/>
        <w:jc w:val="both"/>
        <w:rPr>
          <w:color w:val="000000" w:themeColor="text1"/>
          <w:sz w:val="20"/>
          <w:szCs w:val="20"/>
        </w:rPr>
      </w:pPr>
    </w:p>
    <w:p w:rsidRPr="00612C10" w:rsidR="00837229" w:rsidP="00612C10" w:rsidRDefault="00837229" w14:paraId="605241AB" w14:textId="2362FA2F">
      <w:pPr>
        <w:pStyle w:val="Sraopastraipa"/>
        <w:tabs>
          <w:tab w:val="left" w:pos="540"/>
        </w:tabs>
        <w:spacing w:before="60" w:after="60"/>
        <w:ind w:left="360" w:right="140" w:firstLine="0"/>
        <w:jc w:val="right"/>
        <w:rPr>
          <w:rFonts w:cs="Arial"/>
          <w:b/>
          <w:sz w:val="20"/>
        </w:rPr>
      </w:pPr>
      <w:r w:rsidRPr="00837229">
        <w:rPr>
          <w:rFonts w:cs="Arial"/>
          <w:b/>
          <w:color w:val="000000" w:themeColor="text1"/>
          <w:sz w:val="20"/>
          <w:szCs w:val="20"/>
        </w:rPr>
        <w:t xml:space="preserve">Lentelė Nr. 1 </w:t>
      </w:r>
      <w:r w:rsidRPr="00837229">
        <w:rPr>
          <w:rFonts w:cs="Arial"/>
          <w:b/>
          <w:sz w:val="20"/>
        </w:rPr>
        <w:t>ATL 1 sistemoje dalyvaujantys objektai</w:t>
      </w:r>
    </w:p>
    <w:tbl>
      <w:tblPr>
        <w:tblStyle w:val="Lentelstinklelis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18"/>
        <w:gridCol w:w="1428"/>
        <w:gridCol w:w="1574"/>
        <w:gridCol w:w="995"/>
        <w:gridCol w:w="599"/>
        <w:gridCol w:w="1157"/>
        <w:gridCol w:w="627"/>
        <w:gridCol w:w="1064"/>
        <w:gridCol w:w="1666"/>
      </w:tblGrid>
      <w:tr w:rsidRPr="00837229" w:rsidR="00B927FD" w:rsidTr="002C638D" w14:paraId="5A4C39FD" w14:textId="77777777">
        <w:tc>
          <w:tcPr>
            <w:tcW w:w="518" w:type="dxa"/>
            <w:vMerge w:val="restart"/>
            <w:shd w:val="clear" w:color="auto" w:fill="D9D9D9" w:themeFill="background1" w:themeFillShade="D9"/>
            <w:vAlign w:val="center"/>
          </w:tcPr>
          <w:p w:rsidRPr="002C638D" w:rsidR="00837229" w:rsidP="002C638D" w:rsidRDefault="00837229" w14:paraId="22F9FFE6" w14:textId="32D0EA48">
            <w:pPr>
              <w:tabs>
                <w:tab w:val="left" w:pos="142"/>
                <w:tab w:val="left" w:pos="284"/>
              </w:tabs>
              <w:ind w:right="-143" w:firstLine="0"/>
              <w:jc w:val="center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  <w:r w:rsidRPr="002C638D">
              <w:rPr>
                <w:rFonts w:cs="Arial"/>
                <w:b/>
                <w:bCs/>
                <w:sz w:val="20"/>
                <w:szCs w:val="20"/>
                <w:lang w:eastAsia="da-DK"/>
              </w:rPr>
              <w:t>Eil. Nr.</w:t>
            </w:r>
          </w:p>
        </w:tc>
        <w:tc>
          <w:tcPr>
            <w:tcW w:w="1428" w:type="dxa"/>
            <w:vMerge w:val="restart"/>
            <w:shd w:val="clear" w:color="auto" w:fill="D9D9D9" w:themeFill="background1" w:themeFillShade="D9"/>
            <w:vAlign w:val="center"/>
          </w:tcPr>
          <w:p w:rsidRPr="002C638D" w:rsidR="00837229" w:rsidP="002C638D" w:rsidRDefault="00837229" w14:paraId="2BEEFCCF" w14:textId="0B359DF9">
            <w:pPr>
              <w:tabs>
                <w:tab w:val="left" w:pos="142"/>
                <w:tab w:val="left" w:pos="284"/>
              </w:tabs>
              <w:ind w:right="-143" w:firstLine="0"/>
              <w:jc w:val="center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  <w:r w:rsidRPr="002C638D">
              <w:rPr>
                <w:rFonts w:cs="Arial"/>
                <w:b/>
                <w:bCs/>
                <w:sz w:val="20"/>
                <w:szCs w:val="20"/>
                <w:lang w:eastAsia="da-DK"/>
              </w:rPr>
              <w:t>Objekto pavadinimas</w:t>
            </w:r>
          </w:p>
        </w:tc>
        <w:tc>
          <w:tcPr>
            <w:tcW w:w="1574" w:type="dxa"/>
            <w:vMerge w:val="restart"/>
            <w:shd w:val="clear" w:color="auto" w:fill="D9D9D9" w:themeFill="background1" w:themeFillShade="D9"/>
            <w:vAlign w:val="center"/>
          </w:tcPr>
          <w:p w:rsidRPr="002C638D" w:rsidR="00837229" w:rsidP="002C638D" w:rsidRDefault="00837229" w14:paraId="0A6564F9" w14:textId="77777777">
            <w:pPr>
              <w:tabs>
                <w:tab w:val="left" w:pos="142"/>
                <w:tab w:val="left" w:pos="284"/>
              </w:tabs>
              <w:ind w:right="-143" w:firstLine="0"/>
              <w:jc w:val="center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  <w:r w:rsidRPr="002C638D">
              <w:rPr>
                <w:rFonts w:cs="Arial"/>
                <w:b/>
                <w:bCs/>
                <w:sz w:val="20"/>
                <w:szCs w:val="20"/>
                <w:lang w:eastAsia="da-DK"/>
              </w:rPr>
              <w:t>Adresas</w:t>
            </w:r>
          </w:p>
        </w:tc>
        <w:tc>
          <w:tcPr>
            <w:tcW w:w="995" w:type="dxa"/>
            <w:vMerge w:val="restart"/>
            <w:shd w:val="clear" w:color="auto" w:fill="D9D9D9" w:themeFill="background1" w:themeFillShade="D9"/>
            <w:vAlign w:val="center"/>
          </w:tcPr>
          <w:p w:rsidRPr="002C638D" w:rsidR="00837229" w:rsidP="002C638D" w:rsidRDefault="00837229" w14:paraId="6EDF5AC7" w14:textId="77777777">
            <w:pPr>
              <w:tabs>
                <w:tab w:val="left" w:pos="142"/>
                <w:tab w:val="left" w:pos="284"/>
              </w:tabs>
              <w:ind w:right="-143" w:firstLine="0"/>
              <w:jc w:val="center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  <w:r w:rsidRPr="002C638D">
              <w:rPr>
                <w:rFonts w:cs="Arial"/>
                <w:b/>
                <w:bCs/>
                <w:sz w:val="20"/>
                <w:szCs w:val="20"/>
                <w:lang w:eastAsia="da-DK"/>
              </w:rPr>
              <w:t>Leidimo numeris</w:t>
            </w:r>
          </w:p>
        </w:tc>
        <w:tc>
          <w:tcPr>
            <w:tcW w:w="1756" w:type="dxa"/>
            <w:gridSpan w:val="2"/>
            <w:shd w:val="clear" w:color="auto" w:fill="D9D9D9" w:themeFill="background1" w:themeFillShade="D9"/>
            <w:vAlign w:val="center"/>
          </w:tcPr>
          <w:p w:rsidRPr="002C638D" w:rsidR="00837229" w:rsidP="002C638D" w:rsidRDefault="00837229" w14:paraId="09AA7896" w14:textId="77777777">
            <w:pPr>
              <w:tabs>
                <w:tab w:val="left" w:pos="142"/>
                <w:tab w:val="left" w:pos="284"/>
              </w:tabs>
              <w:ind w:right="-143" w:firstLine="0"/>
              <w:jc w:val="center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  <w:r w:rsidRPr="002C638D">
              <w:rPr>
                <w:rFonts w:cs="Arial"/>
                <w:b/>
                <w:bCs/>
                <w:sz w:val="20"/>
                <w:szCs w:val="20"/>
                <w:lang w:eastAsia="da-DK"/>
              </w:rPr>
              <w:t>Veiklos lygio ataskaita</w:t>
            </w:r>
          </w:p>
        </w:tc>
        <w:tc>
          <w:tcPr>
            <w:tcW w:w="1691" w:type="dxa"/>
            <w:gridSpan w:val="2"/>
            <w:shd w:val="clear" w:color="auto" w:fill="D9D9D9" w:themeFill="background1" w:themeFillShade="D9"/>
            <w:vAlign w:val="center"/>
          </w:tcPr>
          <w:p w:rsidRPr="002C638D" w:rsidR="00837229" w:rsidP="002C638D" w:rsidRDefault="00837229" w14:paraId="6BE0C25E" w14:textId="77777777">
            <w:pPr>
              <w:tabs>
                <w:tab w:val="left" w:pos="142"/>
                <w:tab w:val="left" w:pos="284"/>
              </w:tabs>
              <w:ind w:right="-143" w:firstLine="0"/>
              <w:jc w:val="center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  <w:r w:rsidRPr="002C638D">
              <w:rPr>
                <w:rFonts w:cs="Arial"/>
                <w:b/>
                <w:bCs/>
                <w:sz w:val="20"/>
                <w:szCs w:val="20"/>
                <w:lang w:eastAsia="da-DK"/>
              </w:rPr>
              <w:t>ŠESD ataskaita</w:t>
            </w:r>
          </w:p>
        </w:tc>
        <w:tc>
          <w:tcPr>
            <w:tcW w:w="1666" w:type="dxa"/>
            <w:vMerge w:val="restart"/>
            <w:shd w:val="clear" w:color="auto" w:fill="D9D9D9" w:themeFill="background1" w:themeFillShade="D9"/>
            <w:vAlign w:val="center"/>
          </w:tcPr>
          <w:p w:rsidRPr="002C638D" w:rsidR="00837229" w:rsidP="002C638D" w:rsidRDefault="00837229" w14:paraId="288D92FA" w14:textId="7A236065">
            <w:pPr>
              <w:tabs>
                <w:tab w:val="left" w:pos="142"/>
                <w:tab w:val="left" w:pos="284"/>
              </w:tabs>
              <w:ind w:right="-143" w:firstLine="0"/>
              <w:jc w:val="center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  <w:r w:rsidRPr="002C638D">
              <w:rPr>
                <w:rFonts w:cs="Arial"/>
                <w:b/>
                <w:bCs/>
                <w:sz w:val="20"/>
                <w:szCs w:val="20"/>
                <w:lang w:eastAsia="da-DK"/>
              </w:rPr>
              <w:t>Objekto dalyvavimas 2026</w:t>
            </w:r>
            <w:r w:rsidRPr="002C638D" w:rsidR="00B63C6D">
              <w:rPr>
                <w:rFonts w:cs="Arial"/>
                <w:b/>
                <w:bCs/>
                <w:sz w:val="20"/>
                <w:szCs w:val="20"/>
                <w:lang w:eastAsia="da-DK"/>
              </w:rPr>
              <w:t>–</w:t>
            </w:r>
            <w:r w:rsidRPr="002C638D">
              <w:rPr>
                <w:rFonts w:cs="Arial"/>
                <w:b/>
                <w:bCs/>
                <w:sz w:val="20"/>
                <w:szCs w:val="20"/>
                <w:lang w:eastAsia="da-DK"/>
              </w:rPr>
              <w:t>2030 metų ATL 1 laikotarpyje</w:t>
            </w:r>
          </w:p>
        </w:tc>
      </w:tr>
      <w:tr w:rsidRPr="00837229" w:rsidR="00B927FD" w:rsidTr="002C638D" w14:paraId="0DE5B1EB" w14:textId="77777777">
        <w:tc>
          <w:tcPr>
            <w:tcW w:w="518" w:type="dxa"/>
            <w:vMerge/>
            <w:vAlign w:val="center"/>
          </w:tcPr>
          <w:p w:rsidRPr="00837229" w:rsidR="00837229" w:rsidP="002C638D" w:rsidRDefault="00837229" w14:paraId="45BD847C" w14:textId="77777777">
            <w:pPr>
              <w:tabs>
                <w:tab w:val="left" w:pos="142"/>
                <w:tab w:val="left" w:pos="284"/>
              </w:tabs>
              <w:ind w:right="-143" w:firstLine="0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1428" w:type="dxa"/>
            <w:vMerge/>
            <w:vAlign w:val="center"/>
          </w:tcPr>
          <w:p w:rsidRPr="00837229" w:rsidR="00837229" w:rsidP="002C638D" w:rsidRDefault="00837229" w14:paraId="39598F74" w14:textId="7E48B10F">
            <w:pPr>
              <w:tabs>
                <w:tab w:val="left" w:pos="142"/>
                <w:tab w:val="left" w:pos="284"/>
              </w:tabs>
              <w:ind w:right="-143" w:firstLine="0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1574" w:type="dxa"/>
            <w:vMerge/>
            <w:vAlign w:val="center"/>
          </w:tcPr>
          <w:p w:rsidRPr="00837229" w:rsidR="00837229" w:rsidP="002C638D" w:rsidRDefault="00837229" w14:paraId="3BE1283D" w14:textId="77777777">
            <w:pPr>
              <w:tabs>
                <w:tab w:val="left" w:pos="142"/>
                <w:tab w:val="left" w:pos="284"/>
              </w:tabs>
              <w:ind w:right="-143" w:firstLine="0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995" w:type="dxa"/>
            <w:vMerge/>
            <w:vAlign w:val="center"/>
          </w:tcPr>
          <w:p w:rsidRPr="00837229" w:rsidR="00837229" w:rsidP="002C638D" w:rsidRDefault="00837229" w14:paraId="47D1707F" w14:textId="77777777">
            <w:pPr>
              <w:tabs>
                <w:tab w:val="left" w:pos="142"/>
                <w:tab w:val="left" w:pos="284"/>
              </w:tabs>
              <w:ind w:right="-143" w:firstLine="0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  <w:vAlign w:val="center"/>
          </w:tcPr>
          <w:p w:rsidRPr="002C638D" w:rsidR="00837229" w:rsidP="002C638D" w:rsidRDefault="00837229" w14:paraId="48D584CA" w14:textId="77777777">
            <w:pPr>
              <w:tabs>
                <w:tab w:val="left" w:pos="142"/>
                <w:tab w:val="left" w:pos="284"/>
              </w:tabs>
              <w:ind w:right="-143" w:hanging="110"/>
              <w:jc w:val="center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  <w:r w:rsidRPr="002C638D">
              <w:rPr>
                <w:rFonts w:cs="Arial"/>
                <w:b/>
                <w:bCs/>
                <w:sz w:val="20"/>
                <w:szCs w:val="20"/>
                <w:lang w:eastAsia="da-DK"/>
              </w:rPr>
              <w:t>2025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</w:tcPr>
          <w:p w:rsidRPr="002C638D" w:rsidR="00837229" w:rsidP="002C638D" w:rsidRDefault="00837229" w14:paraId="42540C41" w14:textId="4E8BD9AB">
            <w:pPr>
              <w:tabs>
                <w:tab w:val="left" w:pos="142"/>
                <w:tab w:val="left" w:pos="284"/>
              </w:tabs>
              <w:ind w:right="-143" w:hanging="75"/>
              <w:jc w:val="center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  <w:r w:rsidRPr="002C638D">
              <w:rPr>
                <w:rFonts w:cs="Arial"/>
                <w:b/>
                <w:bCs/>
                <w:sz w:val="20"/>
                <w:szCs w:val="20"/>
                <w:lang w:eastAsia="da-DK"/>
              </w:rPr>
              <w:t>2026</w:t>
            </w:r>
            <w:r w:rsidRPr="002C638D" w:rsidR="00B927FD">
              <w:rPr>
                <w:rFonts w:cs="Arial"/>
                <w:b/>
                <w:bCs/>
                <w:sz w:val="20"/>
                <w:szCs w:val="20"/>
                <w:lang w:eastAsia="da-DK"/>
              </w:rPr>
              <w:t>/2027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Pr="002C638D" w:rsidR="00837229" w:rsidP="002C638D" w:rsidRDefault="00837229" w14:paraId="2D66EF68" w14:textId="77777777">
            <w:pPr>
              <w:tabs>
                <w:tab w:val="left" w:pos="142"/>
                <w:tab w:val="left" w:pos="284"/>
              </w:tabs>
              <w:ind w:right="-143" w:hanging="53"/>
              <w:jc w:val="center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  <w:r w:rsidRPr="002C638D">
              <w:rPr>
                <w:rFonts w:cs="Arial"/>
                <w:b/>
                <w:bCs/>
                <w:sz w:val="20"/>
                <w:szCs w:val="20"/>
                <w:lang w:eastAsia="da-DK"/>
              </w:rPr>
              <w:t>2025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:rsidRPr="002C638D" w:rsidR="00837229" w:rsidP="002C638D" w:rsidRDefault="00837229" w14:paraId="60FB41CB" w14:textId="427E4DA6">
            <w:pPr>
              <w:tabs>
                <w:tab w:val="left" w:pos="142"/>
                <w:tab w:val="left" w:pos="284"/>
              </w:tabs>
              <w:ind w:right="-143" w:hanging="184"/>
              <w:jc w:val="center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  <w:r w:rsidRPr="002C638D">
              <w:rPr>
                <w:rFonts w:cs="Arial"/>
                <w:b/>
                <w:bCs/>
                <w:sz w:val="20"/>
                <w:szCs w:val="20"/>
                <w:lang w:eastAsia="da-DK"/>
              </w:rPr>
              <w:t>2026</w:t>
            </w:r>
            <w:r w:rsidRPr="002C638D" w:rsidR="00B927FD">
              <w:rPr>
                <w:rFonts w:cs="Arial"/>
                <w:b/>
                <w:bCs/>
                <w:sz w:val="20"/>
                <w:szCs w:val="20"/>
                <w:lang w:eastAsia="da-DK"/>
              </w:rPr>
              <w:t>/2027</w:t>
            </w:r>
          </w:p>
        </w:tc>
        <w:tc>
          <w:tcPr>
            <w:tcW w:w="1666" w:type="dxa"/>
            <w:vMerge/>
            <w:vAlign w:val="center"/>
          </w:tcPr>
          <w:p w:rsidRPr="00837229" w:rsidR="00837229" w:rsidP="002C638D" w:rsidRDefault="00837229" w14:paraId="221800DC" w14:textId="77777777">
            <w:pPr>
              <w:tabs>
                <w:tab w:val="left" w:pos="142"/>
                <w:tab w:val="left" w:pos="284"/>
              </w:tabs>
              <w:ind w:right="-143" w:firstLine="0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  <w:tr w:rsidRPr="00837229" w:rsidR="00B927FD" w:rsidTr="002C638D" w14:paraId="249C12D8" w14:textId="77777777">
        <w:tc>
          <w:tcPr>
            <w:tcW w:w="518" w:type="dxa"/>
            <w:vAlign w:val="center"/>
          </w:tcPr>
          <w:p w:rsidRPr="00837229" w:rsidR="00837229" w:rsidP="002C638D" w:rsidRDefault="00837229" w14:paraId="1828413A" w14:textId="07C329F2">
            <w:pPr>
              <w:tabs>
                <w:tab w:val="left" w:pos="142"/>
                <w:tab w:val="left" w:pos="284"/>
              </w:tabs>
              <w:ind w:right="-143" w:firstLine="0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>
              <w:rPr>
                <w:rFonts w:cs="Arial"/>
                <w:sz w:val="20"/>
                <w:szCs w:val="20"/>
                <w:lang w:eastAsia="da-DK"/>
              </w:rPr>
              <w:t>1.</w:t>
            </w:r>
          </w:p>
        </w:tc>
        <w:tc>
          <w:tcPr>
            <w:tcW w:w="1428" w:type="dxa"/>
            <w:vAlign w:val="center"/>
          </w:tcPr>
          <w:p w:rsidRPr="00837229" w:rsidR="00837229" w:rsidP="002C638D" w:rsidRDefault="00837229" w14:paraId="3FE74E7A" w14:textId="7F77208A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Petrašiūnų elektrinė</w:t>
            </w:r>
          </w:p>
        </w:tc>
        <w:tc>
          <w:tcPr>
            <w:tcW w:w="1574" w:type="dxa"/>
            <w:vAlign w:val="center"/>
          </w:tcPr>
          <w:p w:rsidRPr="00837229" w:rsidR="00837229" w:rsidP="002C638D" w:rsidRDefault="00837229" w14:paraId="27BA6A73" w14:textId="77777777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Jėgainės g. 12 C, Kaunas</w:t>
            </w:r>
          </w:p>
        </w:tc>
        <w:tc>
          <w:tcPr>
            <w:tcW w:w="995" w:type="dxa"/>
            <w:vAlign w:val="center"/>
          </w:tcPr>
          <w:p w:rsidRPr="00837229" w:rsidR="00837229" w:rsidP="002C638D" w:rsidRDefault="00837229" w14:paraId="3592863C" w14:textId="77777777">
            <w:pPr>
              <w:tabs>
                <w:tab w:val="left" w:pos="142"/>
                <w:tab w:val="left" w:pos="284"/>
              </w:tabs>
              <w:ind w:right="-52" w:firstLine="0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T-K.4-2/2015</w:t>
            </w:r>
          </w:p>
        </w:tc>
        <w:tc>
          <w:tcPr>
            <w:tcW w:w="599" w:type="dxa"/>
            <w:vAlign w:val="center"/>
          </w:tcPr>
          <w:p w:rsidRPr="00837229" w:rsidR="00837229" w:rsidP="002C638D" w:rsidRDefault="00837229" w14:paraId="51347813" w14:textId="77777777">
            <w:pPr>
              <w:tabs>
                <w:tab w:val="left" w:pos="142"/>
                <w:tab w:val="left" w:pos="284"/>
              </w:tabs>
              <w:ind w:right="-143" w:hanging="110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Taip</w:t>
            </w:r>
          </w:p>
        </w:tc>
        <w:tc>
          <w:tcPr>
            <w:tcW w:w="1157" w:type="dxa"/>
            <w:vAlign w:val="center"/>
          </w:tcPr>
          <w:p w:rsidRPr="00837229" w:rsidR="00837229" w:rsidP="002C638D" w:rsidRDefault="00837229" w14:paraId="64EF474B" w14:textId="77777777">
            <w:pPr>
              <w:tabs>
                <w:tab w:val="left" w:pos="142"/>
                <w:tab w:val="left" w:pos="284"/>
              </w:tabs>
              <w:ind w:right="-143" w:hanging="75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Taip</w:t>
            </w:r>
          </w:p>
        </w:tc>
        <w:tc>
          <w:tcPr>
            <w:tcW w:w="627" w:type="dxa"/>
            <w:vAlign w:val="center"/>
          </w:tcPr>
          <w:p w:rsidRPr="00837229" w:rsidR="00837229" w:rsidP="002C638D" w:rsidRDefault="00837229" w14:paraId="4A8EF2A5" w14:textId="77777777">
            <w:pPr>
              <w:tabs>
                <w:tab w:val="left" w:pos="142"/>
                <w:tab w:val="left" w:pos="284"/>
              </w:tabs>
              <w:ind w:right="-143" w:hanging="53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Taip</w:t>
            </w:r>
          </w:p>
        </w:tc>
        <w:tc>
          <w:tcPr>
            <w:tcW w:w="1064" w:type="dxa"/>
            <w:vAlign w:val="center"/>
          </w:tcPr>
          <w:p w:rsidRPr="00837229" w:rsidR="00837229" w:rsidP="002C638D" w:rsidRDefault="00837229" w14:paraId="68FF7B15" w14:textId="77777777">
            <w:pPr>
              <w:tabs>
                <w:tab w:val="left" w:pos="142"/>
                <w:tab w:val="left" w:pos="284"/>
              </w:tabs>
              <w:ind w:right="-143" w:hanging="42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Taip</w:t>
            </w:r>
          </w:p>
        </w:tc>
        <w:tc>
          <w:tcPr>
            <w:tcW w:w="1666" w:type="dxa"/>
            <w:vAlign w:val="center"/>
          </w:tcPr>
          <w:p w:rsidRPr="00837229" w:rsidR="00837229" w:rsidP="002C638D" w:rsidRDefault="00837229" w14:paraId="2C21B7FC" w14:textId="77777777">
            <w:pPr>
              <w:tabs>
                <w:tab w:val="left" w:pos="142"/>
                <w:tab w:val="left" w:pos="284"/>
              </w:tabs>
              <w:ind w:right="-143" w:hanging="174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Taip</w:t>
            </w:r>
          </w:p>
        </w:tc>
      </w:tr>
      <w:tr w:rsidRPr="00837229" w:rsidR="00B927FD" w:rsidTr="002C638D" w14:paraId="40C8E9D6" w14:textId="77777777">
        <w:tc>
          <w:tcPr>
            <w:tcW w:w="518" w:type="dxa"/>
            <w:vAlign w:val="center"/>
          </w:tcPr>
          <w:p w:rsidRPr="00837229" w:rsidR="00837229" w:rsidP="002C638D" w:rsidRDefault="00837229" w14:paraId="0E8DA356" w14:textId="24D48370">
            <w:pPr>
              <w:tabs>
                <w:tab w:val="left" w:pos="142"/>
                <w:tab w:val="left" w:pos="284"/>
              </w:tabs>
              <w:ind w:right="-143" w:firstLine="0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>
              <w:rPr>
                <w:rFonts w:cs="Arial"/>
                <w:sz w:val="20"/>
                <w:szCs w:val="20"/>
                <w:lang w:eastAsia="da-DK"/>
              </w:rPr>
              <w:t>2.</w:t>
            </w:r>
          </w:p>
        </w:tc>
        <w:tc>
          <w:tcPr>
            <w:tcW w:w="1428" w:type="dxa"/>
            <w:vAlign w:val="center"/>
          </w:tcPr>
          <w:p w:rsidRPr="00837229" w:rsidR="00837229" w:rsidP="002C638D" w:rsidRDefault="00837229" w14:paraId="128BA936" w14:textId="23E11FCC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Pergalės katilinė</w:t>
            </w:r>
          </w:p>
        </w:tc>
        <w:tc>
          <w:tcPr>
            <w:tcW w:w="1574" w:type="dxa"/>
            <w:vAlign w:val="center"/>
          </w:tcPr>
          <w:p w:rsidRPr="00837229" w:rsidR="00837229" w:rsidP="002C638D" w:rsidRDefault="00837229" w14:paraId="12E72DB3" w14:textId="77777777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Karo ligoninės g. 31, Kaunas</w:t>
            </w:r>
          </w:p>
        </w:tc>
        <w:tc>
          <w:tcPr>
            <w:tcW w:w="995" w:type="dxa"/>
            <w:vAlign w:val="center"/>
          </w:tcPr>
          <w:p w:rsidRPr="00837229" w:rsidR="00837229" w:rsidP="002C638D" w:rsidRDefault="00837229" w14:paraId="49D0DE87" w14:textId="77777777">
            <w:pPr>
              <w:tabs>
                <w:tab w:val="left" w:pos="142"/>
                <w:tab w:val="left" w:pos="284"/>
              </w:tabs>
              <w:ind w:right="-52" w:firstLine="0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T-K.4-21/2018</w:t>
            </w:r>
          </w:p>
        </w:tc>
        <w:tc>
          <w:tcPr>
            <w:tcW w:w="599" w:type="dxa"/>
            <w:vAlign w:val="center"/>
          </w:tcPr>
          <w:p w:rsidRPr="00837229" w:rsidR="00837229" w:rsidP="002C638D" w:rsidRDefault="00837229" w14:paraId="6CF5CB37" w14:textId="77777777">
            <w:pPr>
              <w:tabs>
                <w:tab w:val="left" w:pos="142"/>
                <w:tab w:val="left" w:pos="284"/>
              </w:tabs>
              <w:ind w:right="-143" w:hanging="110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Taip</w:t>
            </w:r>
          </w:p>
        </w:tc>
        <w:tc>
          <w:tcPr>
            <w:tcW w:w="1157" w:type="dxa"/>
            <w:vAlign w:val="center"/>
          </w:tcPr>
          <w:p w:rsidRPr="00837229" w:rsidR="00837229" w:rsidP="002C638D" w:rsidRDefault="00837229" w14:paraId="2C81E595" w14:textId="77777777">
            <w:pPr>
              <w:tabs>
                <w:tab w:val="left" w:pos="142"/>
                <w:tab w:val="left" w:pos="284"/>
              </w:tabs>
              <w:ind w:right="-143" w:hanging="75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Taip</w:t>
            </w:r>
          </w:p>
        </w:tc>
        <w:tc>
          <w:tcPr>
            <w:tcW w:w="627" w:type="dxa"/>
            <w:vAlign w:val="center"/>
          </w:tcPr>
          <w:p w:rsidRPr="00837229" w:rsidR="00837229" w:rsidP="002C638D" w:rsidRDefault="00837229" w14:paraId="0E514E7D" w14:textId="77777777">
            <w:pPr>
              <w:tabs>
                <w:tab w:val="left" w:pos="142"/>
                <w:tab w:val="left" w:pos="284"/>
              </w:tabs>
              <w:ind w:right="-143" w:hanging="53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Taip</w:t>
            </w:r>
          </w:p>
        </w:tc>
        <w:tc>
          <w:tcPr>
            <w:tcW w:w="1064" w:type="dxa"/>
            <w:vAlign w:val="center"/>
          </w:tcPr>
          <w:p w:rsidRPr="00837229" w:rsidR="00837229" w:rsidP="002C638D" w:rsidRDefault="00837229" w14:paraId="603CBE37" w14:textId="77777777">
            <w:pPr>
              <w:tabs>
                <w:tab w:val="left" w:pos="142"/>
                <w:tab w:val="left" w:pos="284"/>
              </w:tabs>
              <w:ind w:right="-143" w:hanging="42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Taip</w:t>
            </w:r>
          </w:p>
        </w:tc>
        <w:tc>
          <w:tcPr>
            <w:tcW w:w="1666" w:type="dxa"/>
            <w:vAlign w:val="center"/>
          </w:tcPr>
          <w:p w:rsidRPr="00837229" w:rsidR="00837229" w:rsidP="002C638D" w:rsidRDefault="00837229" w14:paraId="155A35A6" w14:textId="77777777">
            <w:pPr>
              <w:tabs>
                <w:tab w:val="left" w:pos="142"/>
                <w:tab w:val="left" w:pos="284"/>
              </w:tabs>
              <w:ind w:right="-143" w:hanging="174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Taip</w:t>
            </w:r>
          </w:p>
        </w:tc>
      </w:tr>
      <w:tr w:rsidRPr="00837229" w:rsidR="00B927FD" w:rsidTr="002C638D" w14:paraId="2389EC3C" w14:textId="77777777">
        <w:tc>
          <w:tcPr>
            <w:tcW w:w="518" w:type="dxa"/>
            <w:vAlign w:val="center"/>
          </w:tcPr>
          <w:p w:rsidRPr="00837229" w:rsidR="00837229" w:rsidP="002C638D" w:rsidRDefault="00837229" w14:paraId="1FE181E4" w14:textId="4ABF3802">
            <w:pPr>
              <w:tabs>
                <w:tab w:val="left" w:pos="142"/>
                <w:tab w:val="left" w:pos="284"/>
              </w:tabs>
              <w:ind w:right="-143" w:firstLine="0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>
              <w:rPr>
                <w:rFonts w:cs="Arial"/>
                <w:sz w:val="20"/>
                <w:szCs w:val="20"/>
                <w:lang w:eastAsia="da-DK"/>
              </w:rPr>
              <w:t>3.</w:t>
            </w:r>
          </w:p>
        </w:tc>
        <w:tc>
          <w:tcPr>
            <w:tcW w:w="1428" w:type="dxa"/>
            <w:vAlign w:val="center"/>
          </w:tcPr>
          <w:p w:rsidRPr="00837229" w:rsidR="00837229" w:rsidP="002C638D" w:rsidRDefault="00837229" w14:paraId="76BF89FC" w14:textId="66B3EEEA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Šilko katilinė</w:t>
            </w:r>
          </w:p>
        </w:tc>
        <w:tc>
          <w:tcPr>
            <w:tcW w:w="1574" w:type="dxa"/>
            <w:vAlign w:val="center"/>
          </w:tcPr>
          <w:p w:rsidRPr="00837229" w:rsidR="00837229" w:rsidP="002C638D" w:rsidRDefault="00837229" w14:paraId="2D1D812F" w14:textId="77777777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Varnių g. 48, Kaunas</w:t>
            </w:r>
          </w:p>
        </w:tc>
        <w:tc>
          <w:tcPr>
            <w:tcW w:w="995" w:type="dxa"/>
            <w:vAlign w:val="center"/>
          </w:tcPr>
          <w:p w:rsidRPr="00837229" w:rsidR="00837229" w:rsidP="002C638D" w:rsidRDefault="00837229" w14:paraId="5FF1ACA2" w14:textId="77777777">
            <w:pPr>
              <w:tabs>
                <w:tab w:val="left" w:pos="142"/>
                <w:tab w:val="left" w:pos="284"/>
              </w:tabs>
              <w:ind w:right="-52" w:firstLine="0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TL-K.4-22/2015</w:t>
            </w:r>
          </w:p>
        </w:tc>
        <w:tc>
          <w:tcPr>
            <w:tcW w:w="599" w:type="dxa"/>
            <w:vAlign w:val="center"/>
          </w:tcPr>
          <w:p w:rsidRPr="00837229" w:rsidR="00837229" w:rsidP="002C638D" w:rsidRDefault="00837229" w14:paraId="5578A468" w14:textId="77777777">
            <w:pPr>
              <w:tabs>
                <w:tab w:val="left" w:pos="142"/>
                <w:tab w:val="left" w:pos="284"/>
              </w:tabs>
              <w:ind w:right="-143" w:hanging="110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Taip</w:t>
            </w:r>
          </w:p>
        </w:tc>
        <w:tc>
          <w:tcPr>
            <w:tcW w:w="1157" w:type="dxa"/>
            <w:vAlign w:val="center"/>
          </w:tcPr>
          <w:p w:rsidRPr="00837229" w:rsidR="00837229" w:rsidP="002C638D" w:rsidRDefault="00837229" w14:paraId="104816A8" w14:textId="77777777">
            <w:pPr>
              <w:tabs>
                <w:tab w:val="left" w:pos="142"/>
                <w:tab w:val="left" w:pos="284"/>
              </w:tabs>
              <w:ind w:right="-143" w:hanging="75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Taip</w:t>
            </w:r>
          </w:p>
        </w:tc>
        <w:tc>
          <w:tcPr>
            <w:tcW w:w="627" w:type="dxa"/>
            <w:vAlign w:val="center"/>
          </w:tcPr>
          <w:p w:rsidRPr="00837229" w:rsidR="00837229" w:rsidP="002C638D" w:rsidRDefault="00837229" w14:paraId="3899DB96" w14:textId="77777777">
            <w:pPr>
              <w:tabs>
                <w:tab w:val="left" w:pos="142"/>
                <w:tab w:val="left" w:pos="284"/>
              </w:tabs>
              <w:ind w:right="-143" w:hanging="53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Taip</w:t>
            </w:r>
          </w:p>
        </w:tc>
        <w:tc>
          <w:tcPr>
            <w:tcW w:w="1064" w:type="dxa"/>
            <w:vAlign w:val="center"/>
          </w:tcPr>
          <w:p w:rsidRPr="00837229" w:rsidR="00837229" w:rsidP="002C638D" w:rsidRDefault="00837229" w14:paraId="0189D7F2" w14:textId="77777777">
            <w:pPr>
              <w:tabs>
                <w:tab w:val="left" w:pos="142"/>
                <w:tab w:val="left" w:pos="284"/>
              </w:tabs>
              <w:ind w:right="-143" w:hanging="42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Taip</w:t>
            </w:r>
          </w:p>
        </w:tc>
        <w:tc>
          <w:tcPr>
            <w:tcW w:w="1666" w:type="dxa"/>
            <w:vAlign w:val="center"/>
          </w:tcPr>
          <w:p w:rsidRPr="00837229" w:rsidR="00837229" w:rsidP="002C638D" w:rsidRDefault="00837229" w14:paraId="202E1936" w14:textId="77777777">
            <w:pPr>
              <w:tabs>
                <w:tab w:val="left" w:pos="142"/>
                <w:tab w:val="left" w:pos="284"/>
              </w:tabs>
              <w:ind w:right="-143" w:hanging="174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Taip</w:t>
            </w:r>
          </w:p>
        </w:tc>
      </w:tr>
      <w:tr w:rsidRPr="00837229" w:rsidR="00B927FD" w:rsidTr="002C638D" w14:paraId="3E579284" w14:textId="77777777">
        <w:tc>
          <w:tcPr>
            <w:tcW w:w="518" w:type="dxa"/>
            <w:vAlign w:val="center"/>
          </w:tcPr>
          <w:p w:rsidRPr="00837229" w:rsidR="00673CBC" w:rsidP="002C638D" w:rsidRDefault="00673CBC" w14:paraId="1FFEB096" w14:textId="3C4C0095">
            <w:pPr>
              <w:tabs>
                <w:tab w:val="left" w:pos="142"/>
                <w:tab w:val="left" w:pos="284"/>
              </w:tabs>
              <w:ind w:right="-143" w:firstLine="0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>
              <w:rPr>
                <w:rFonts w:cs="Arial"/>
                <w:sz w:val="20"/>
                <w:szCs w:val="20"/>
                <w:lang w:eastAsia="da-DK"/>
              </w:rPr>
              <w:t>4.</w:t>
            </w:r>
          </w:p>
        </w:tc>
        <w:tc>
          <w:tcPr>
            <w:tcW w:w="1428" w:type="dxa"/>
            <w:vAlign w:val="center"/>
          </w:tcPr>
          <w:p w:rsidRPr="00837229" w:rsidR="00673CBC" w:rsidP="002C638D" w:rsidRDefault="00673CBC" w14:paraId="7D3880F0" w14:textId="368ED142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Garliavos katilinė</w:t>
            </w:r>
          </w:p>
        </w:tc>
        <w:tc>
          <w:tcPr>
            <w:tcW w:w="1574" w:type="dxa"/>
            <w:vAlign w:val="center"/>
          </w:tcPr>
          <w:p w:rsidRPr="00837229" w:rsidR="00673CBC" w:rsidP="002C638D" w:rsidRDefault="00673CBC" w14:paraId="7BB77626" w14:textId="77777777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S. Lozoraičio g. 17A, Garliava</w:t>
            </w:r>
          </w:p>
        </w:tc>
        <w:tc>
          <w:tcPr>
            <w:tcW w:w="995" w:type="dxa"/>
            <w:vAlign w:val="center"/>
          </w:tcPr>
          <w:p w:rsidRPr="00837229" w:rsidR="00673CBC" w:rsidP="002C638D" w:rsidRDefault="00673CBC" w14:paraId="483C9B3F" w14:textId="77777777">
            <w:pPr>
              <w:tabs>
                <w:tab w:val="left" w:pos="142"/>
                <w:tab w:val="left" w:pos="284"/>
              </w:tabs>
              <w:ind w:right="-52" w:firstLine="0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TL-K.5-7/2015</w:t>
            </w:r>
          </w:p>
        </w:tc>
        <w:tc>
          <w:tcPr>
            <w:tcW w:w="599" w:type="dxa"/>
            <w:vAlign w:val="center"/>
          </w:tcPr>
          <w:p w:rsidRPr="00837229" w:rsidR="00673CBC" w:rsidP="002C638D" w:rsidRDefault="00673CBC" w14:paraId="581C9B13" w14:textId="0E00B60B">
            <w:pPr>
              <w:tabs>
                <w:tab w:val="left" w:pos="142"/>
                <w:tab w:val="left" w:pos="284"/>
              </w:tabs>
              <w:ind w:right="-143" w:hanging="110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Ne</w:t>
            </w:r>
          </w:p>
        </w:tc>
        <w:tc>
          <w:tcPr>
            <w:tcW w:w="1157" w:type="dxa"/>
            <w:vAlign w:val="center"/>
          </w:tcPr>
          <w:p w:rsidRPr="00837229" w:rsidR="00673CBC" w:rsidP="002C638D" w:rsidRDefault="00673CBC" w14:paraId="5C7603EA" w14:textId="77777777">
            <w:pPr>
              <w:tabs>
                <w:tab w:val="left" w:pos="142"/>
                <w:tab w:val="left" w:pos="284"/>
              </w:tabs>
              <w:ind w:right="-143" w:hanging="75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Ne</w:t>
            </w:r>
          </w:p>
        </w:tc>
        <w:tc>
          <w:tcPr>
            <w:tcW w:w="627" w:type="dxa"/>
            <w:vAlign w:val="center"/>
          </w:tcPr>
          <w:p w:rsidRPr="00837229" w:rsidR="00673CBC" w:rsidP="002C638D" w:rsidRDefault="00673CBC" w14:paraId="368103F2" w14:textId="77777777">
            <w:pPr>
              <w:tabs>
                <w:tab w:val="left" w:pos="142"/>
                <w:tab w:val="left" w:pos="284"/>
              </w:tabs>
              <w:ind w:right="-143" w:hanging="53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Taip</w:t>
            </w:r>
          </w:p>
        </w:tc>
        <w:tc>
          <w:tcPr>
            <w:tcW w:w="1064" w:type="dxa"/>
            <w:vAlign w:val="center"/>
          </w:tcPr>
          <w:p w:rsidRPr="00837229" w:rsidR="00673CBC" w:rsidP="002C638D" w:rsidRDefault="00673CBC" w14:paraId="0E812FE3" w14:textId="77777777">
            <w:pPr>
              <w:tabs>
                <w:tab w:val="left" w:pos="142"/>
                <w:tab w:val="left" w:pos="284"/>
              </w:tabs>
              <w:ind w:right="-143" w:hanging="42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Ne</w:t>
            </w:r>
          </w:p>
        </w:tc>
        <w:tc>
          <w:tcPr>
            <w:tcW w:w="1666" w:type="dxa"/>
            <w:vAlign w:val="center"/>
          </w:tcPr>
          <w:p w:rsidRPr="00837229" w:rsidR="00673CBC" w:rsidP="002C638D" w:rsidRDefault="00673CBC" w14:paraId="0D16CA32" w14:textId="77777777">
            <w:pPr>
              <w:tabs>
                <w:tab w:val="left" w:pos="142"/>
                <w:tab w:val="left" w:pos="284"/>
              </w:tabs>
              <w:ind w:right="-143" w:hanging="174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Ne</w:t>
            </w:r>
          </w:p>
        </w:tc>
      </w:tr>
      <w:tr w:rsidRPr="00837229" w:rsidR="00B927FD" w:rsidTr="002C638D" w14:paraId="1BB5D0A0" w14:textId="77777777">
        <w:tc>
          <w:tcPr>
            <w:tcW w:w="518" w:type="dxa"/>
            <w:vAlign w:val="center"/>
          </w:tcPr>
          <w:p w:rsidRPr="00837229" w:rsidR="00673CBC" w:rsidP="002C638D" w:rsidRDefault="00673CBC" w14:paraId="0EF8A1BE" w14:textId="5DAFCCAD">
            <w:pPr>
              <w:tabs>
                <w:tab w:val="left" w:pos="142"/>
                <w:tab w:val="left" w:pos="284"/>
              </w:tabs>
              <w:ind w:right="-143" w:firstLine="0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>
              <w:rPr>
                <w:rFonts w:cs="Arial"/>
                <w:sz w:val="20"/>
                <w:szCs w:val="20"/>
                <w:lang w:eastAsia="da-DK"/>
              </w:rPr>
              <w:t>5.</w:t>
            </w:r>
          </w:p>
        </w:tc>
        <w:tc>
          <w:tcPr>
            <w:tcW w:w="1428" w:type="dxa"/>
            <w:vAlign w:val="center"/>
          </w:tcPr>
          <w:p w:rsidRPr="00837229" w:rsidR="00673CBC" w:rsidP="002C638D" w:rsidRDefault="00673CBC" w14:paraId="409CAE31" w14:textId="7FD0F9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Jurbarko katilinė</w:t>
            </w:r>
          </w:p>
        </w:tc>
        <w:tc>
          <w:tcPr>
            <w:tcW w:w="1574" w:type="dxa"/>
            <w:vAlign w:val="center"/>
          </w:tcPr>
          <w:p w:rsidRPr="00837229" w:rsidR="00673CBC" w:rsidP="002C638D" w:rsidRDefault="00673CBC" w14:paraId="55D35847" w14:textId="77777777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V. Kudirkos g. 33, Jurbarkas</w:t>
            </w:r>
          </w:p>
        </w:tc>
        <w:tc>
          <w:tcPr>
            <w:tcW w:w="995" w:type="dxa"/>
            <w:vAlign w:val="center"/>
          </w:tcPr>
          <w:p w:rsidRPr="00837229" w:rsidR="00673CBC" w:rsidP="002C638D" w:rsidRDefault="00673CBC" w14:paraId="27EE8AC3" w14:textId="77777777">
            <w:pPr>
              <w:tabs>
                <w:tab w:val="left" w:pos="142"/>
                <w:tab w:val="left" w:pos="284"/>
              </w:tabs>
              <w:ind w:right="-52" w:firstLine="0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TL-K.2-3/2015</w:t>
            </w:r>
          </w:p>
        </w:tc>
        <w:tc>
          <w:tcPr>
            <w:tcW w:w="599" w:type="dxa"/>
            <w:vAlign w:val="center"/>
          </w:tcPr>
          <w:p w:rsidRPr="00837229" w:rsidR="00673CBC" w:rsidP="002C638D" w:rsidRDefault="00673CBC" w14:paraId="054E350F" w14:textId="62AE49A4">
            <w:pPr>
              <w:tabs>
                <w:tab w:val="left" w:pos="142"/>
                <w:tab w:val="left" w:pos="284"/>
              </w:tabs>
              <w:ind w:right="-143" w:hanging="110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Ne</w:t>
            </w:r>
          </w:p>
        </w:tc>
        <w:tc>
          <w:tcPr>
            <w:tcW w:w="1157" w:type="dxa"/>
            <w:vAlign w:val="center"/>
          </w:tcPr>
          <w:p w:rsidRPr="00837229" w:rsidR="00673CBC" w:rsidP="002C638D" w:rsidRDefault="00673CBC" w14:paraId="2456283D" w14:textId="77777777">
            <w:pPr>
              <w:tabs>
                <w:tab w:val="left" w:pos="142"/>
                <w:tab w:val="left" w:pos="284"/>
              </w:tabs>
              <w:ind w:right="-143" w:hanging="75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Ne</w:t>
            </w:r>
          </w:p>
        </w:tc>
        <w:tc>
          <w:tcPr>
            <w:tcW w:w="627" w:type="dxa"/>
            <w:vAlign w:val="center"/>
          </w:tcPr>
          <w:p w:rsidRPr="00837229" w:rsidR="00673CBC" w:rsidP="002C638D" w:rsidRDefault="00673CBC" w14:paraId="185270F2" w14:textId="77777777">
            <w:pPr>
              <w:tabs>
                <w:tab w:val="left" w:pos="142"/>
                <w:tab w:val="left" w:pos="284"/>
              </w:tabs>
              <w:ind w:right="-143" w:hanging="53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Taip</w:t>
            </w:r>
          </w:p>
        </w:tc>
        <w:tc>
          <w:tcPr>
            <w:tcW w:w="1064" w:type="dxa"/>
            <w:vAlign w:val="center"/>
          </w:tcPr>
          <w:p w:rsidRPr="00837229" w:rsidR="00673CBC" w:rsidP="002C638D" w:rsidRDefault="00673CBC" w14:paraId="2DC3C404" w14:textId="77777777">
            <w:pPr>
              <w:tabs>
                <w:tab w:val="left" w:pos="142"/>
                <w:tab w:val="left" w:pos="284"/>
              </w:tabs>
              <w:ind w:right="-143" w:hanging="42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Ne</w:t>
            </w:r>
          </w:p>
        </w:tc>
        <w:tc>
          <w:tcPr>
            <w:tcW w:w="1666" w:type="dxa"/>
            <w:vAlign w:val="center"/>
          </w:tcPr>
          <w:p w:rsidRPr="00837229" w:rsidR="00673CBC" w:rsidP="002C638D" w:rsidRDefault="00673CBC" w14:paraId="4A438799" w14:textId="77777777">
            <w:pPr>
              <w:tabs>
                <w:tab w:val="left" w:pos="142"/>
                <w:tab w:val="left" w:pos="284"/>
              </w:tabs>
              <w:ind w:right="-143" w:hanging="174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Ne</w:t>
            </w:r>
          </w:p>
        </w:tc>
      </w:tr>
    </w:tbl>
    <w:p w:rsidR="006E656A" w:rsidP="006E656A" w:rsidRDefault="006E656A" w14:paraId="726CA174" w14:textId="77777777">
      <w:pPr>
        <w:spacing w:before="60" w:after="60"/>
        <w:ind w:firstLine="0"/>
        <w:jc w:val="both"/>
        <w:rPr>
          <w:rFonts w:eastAsia="Arial" w:cs="Arial"/>
          <w:i/>
          <w:iCs/>
          <w:color w:val="FF0000"/>
          <w:sz w:val="20"/>
          <w:szCs w:val="20"/>
        </w:rPr>
      </w:pPr>
    </w:p>
    <w:p w:rsidRPr="008B0F3F" w:rsidR="006E656A" w:rsidP="006E656A" w:rsidRDefault="006E656A" w14:paraId="6FF4400F" w14:textId="2922E5D3">
      <w:pPr>
        <w:pStyle w:val="Sraopastraipa"/>
        <w:tabs>
          <w:tab w:val="left" w:pos="540"/>
        </w:tabs>
        <w:spacing w:before="60" w:after="60"/>
        <w:ind w:left="360" w:right="-994" w:firstLine="0"/>
        <w:jc w:val="right"/>
        <w:rPr>
          <w:rFonts w:cs="Arial"/>
          <w:b/>
          <w:color w:val="FF0000"/>
          <w:sz w:val="20"/>
          <w:szCs w:val="20"/>
        </w:rPr>
      </w:pPr>
      <w:r w:rsidRPr="008B0F3F">
        <w:rPr>
          <w:rFonts w:cs="Arial"/>
          <w:b/>
          <w:color w:val="000000" w:themeColor="text1"/>
          <w:sz w:val="20"/>
          <w:szCs w:val="20"/>
        </w:rPr>
        <w:t xml:space="preserve">Lentelė Nr. </w:t>
      </w:r>
      <w:r>
        <w:rPr>
          <w:rFonts w:cs="Arial"/>
          <w:b/>
          <w:color w:val="000000" w:themeColor="text1"/>
          <w:sz w:val="20"/>
          <w:szCs w:val="20"/>
        </w:rPr>
        <w:t>2</w:t>
      </w:r>
      <w:r>
        <w:rPr>
          <w:sz w:val="20"/>
          <w:szCs w:val="20"/>
        </w:rPr>
        <w:tab/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624"/>
        <w:gridCol w:w="5580"/>
        <w:gridCol w:w="1712"/>
        <w:gridCol w:w="1712"/>
      </w:tblGrid>
      <w:tr w:rsidR="008A5D4B" w:rsidTr="002C638D" w14:paraId="4E24CD2E" w14:textId="42E56019">
        <w:tc>
          <w:tcPr>
            <w:tcW w:w="324" w:type="pct"/>
            <w:shd w:val="clear" w:color="auto" w:fill="D9D9D9" w:themeFill="background1" w:themeFillShade="D9"/>
            <w:vAlign w:val="center"/>
          </w:tcPr>
          <w:p w:rsidRPr="00D72BB0" w:rsidR="008A5D4B" w:rsidP="006C2293" w:rsidRDefault="008A5D4B" w14:paraId="084A6D13" w14:textId="77777777">
            <w:pPr>
              <w:tabs>
                <w:tab w:val="left" w:pos="567"/>
              </w:tabs>
              <w:autoSpaceDE w:val="0"/>
              <w:autoSpaceDN w:val="0"/>
              <w:adjustRightInd w:val="0"/>
              <w:ind w:left="29" w:hanging="29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72BB0">
              <w:rPr>
                <w:rFonts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2898" w:type="pct"/>
            <w:shd w:val="clear" w:color="auto" w:fill="D9D9D9" w:themeFill="background1" w:themeFillShade="D9"/>
            <w:vAlign w:val="center"/>
          </w:tcPr>
          <w:p w:rsidRPr="00D72BB0" w:rsidR="008A5D4B" w:rsidP="006C2293" w:rsidRDefault="008A5D4B" w14:paraId="2A471B7D" w14:textId="77777777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72BB0">
              <w:rPr>
                <w:rFonts w:cs="Arial"/>
                <w:b/>
                <w:bCs/>
                <w:sz w:val="20"/>
                <w:szCs w:val="20"/>
              </w:rPr>
              <w:t>Pirkimo objektas</w:t>
            </w:r>
          </w:p>
        </w:tc>
        <w:tc>
          <w:tcPr>
            <w:tcW w:w="889" w:type="pct"/>
            <w:shd w:val="clear" w:color="auto" w:fill="D9D9D9" w:themeFill="background1" w:themeFillShade="D9"/>
            <w:vAlign w:val="center"/>
          </w:tcPr>
          <w:p w:rsidRPr="00D72BB0" w:rsidR="008A5D4B" w:rsidP="008A5D4B" w:rsidRDefault="008A5D4B" w14:paraId="04F65CFC" w14:textId="785480DF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Kiekis</w:t>
            </w:r>
          </w:p>
        </w:tc>
        <w:tc>
          <w:tcPr>
            <w:tcW w:w="889" w:type="pct"/>
            <w:shd w:val="clear" w:color="auto" w:fill="D9D9D9" w:themeFill="background1" w:themeFillShade="D9"/>
            <w:vAlign w:val="center"/>
          </w:tcPr>
          <w:p w:rsidRPr="00BB4C78" w:rsidR="008A5D4B" w:rsidDel="008A5D4B" w:rsidP="008A5D4B" w:rsidRDefault="0043613D" w14:paraId="74A46BF5" w14:textId="5F089D27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Mato vnt.</w:t>
            </w:r>
          </w:p>
        </w:tc>
      </w:tr>
      <w:tr w:rsidR="008A5D4B" w:rsidTr="00B927FD" w14:paraId="11B71E04" w14:textId="1BD0A501">
        <w:tc>
          <w:tcPr>
            <w:tcW w:w="324" w:type="pct"/>
            <w:vAlign w:val="center"/>
          </w:tcPr>
          <w:p w:rsidRPr="00D72BB0" w:rsidR="008A5D4B" w:rsidP="006C2293" w:rsidRDefault="008A5D4B" w14:paraId="74E04C27" w14:textId="77777777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 w:rsidRPr="00D72BB0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2898" w:type="pct"/>
            <w:vAlign w:val="center"/>
          </w:tcPr>
          <w:p w:rsidRPr="00582BC6" w:rsidR="008A5D4B" w:rsidP="006C2293" w:rsidRDefault="008A5D4B" w14:paraId="5BD66A54" w14:textId="7B59086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582BC6">
              <w:rPr>
                <w:rFonts w:cs="Arial"/>
                <w:sz w:val="20"/>
                <w:szCs w:val="20"/>
                <w:lang w:val="en-US"/>
              </w:rPr>
              <w:t>ŠESD ataskaita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00582BC6">
              <w:rPr>
                <w:rFonts w:cs="Arial"/>
                <w:sz w:val="20"/>
                <w:szCs w:val="20"/>
                <w:lang w:val="en-US"/>
              </w:rPr>
              <w:t>už 2025 metus</w:t>
            </w:r>
          </w:p>
        </w:tc>
        <w:tc>
          <w:tcPr>
            <w:tcW w:w="889" w:type="pct"/>
            <w:vAlign w:val="center"/>
          </w:tcPr>
          <w:p w:rsidRPr="00582BC6" w:rsidR="008A5D4B" w:rsidP="006C2293" w:rsidRDefault="0043613D" w14:paraId="4BBA0396" w14:textId="5B792838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="002C638D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889" w:type="pct"/>
          </w:tcPr>
          <w:p w:rsidRPr="00582BC6" w:rsidR="008A5D4B" w:rsidP="006C2293" w:rsidRDefault="0043613D" w14:paraId="2E56DA6D" w14:textId="0963D68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vnt.</w:t>
            </w:r>
          </w:p>
        </w:tc>
      </w:tr>
      <w:tr w:rsidR="0043613D" w:rsidTr="00B927FD" w14:paraId="38726874" w14:textId="7D8D53F9">
        <w:tc>
          <w:tcPr>
            <w:tcW w:w="324" w:type="pct"/>
            <w:vAlign w:val="center"/>
          </w:tcPr>
          <w:p w:rsidRPr="00D72BB0" w:rsidR="0043613D" w:rsidP="0043613D" w:rsidRDefault="0043613D" w14:paraId="390746DC" w14:textId="77777777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 w:rsidRPr="00D72BB0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2898" w:type="pct"/>
            <w:vAlign w:val="center"/>
          </w:tcPr>
          <w:p w:rsidRPr="00582BC6" w:rsidR="0043613D" w:rsidP="0043613D" w:rsidRDefault="0043613D" w14:paraId="673643BB" w14:textId="7E1F3049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</w:rPr>
            </w:pPr>
            <w:r w:rsidRPr="00582BC6">
              <w:rPr>
                <w:rFonts w:cs="Arial"/>
                <w:sz w:val="20"/>
                <w:szCs w:val="20"/>
                <w:lang w:val="en-US"/>
              </w:rPr>
              <w:t>Veiklos lygio ataskaita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00582BC6">
              <w:rPr>
                <w:rFonts w:cs="Arial"/>
                <w:sz w:val="20"/>
                <w:szCs w:val="20"/>
                <w:lang w:val="en-US"/>
              </w:rPr>
              <w:t>už 2025 metus</w:t>
            </w:r>
          </w:p>
        </w:tc>
        <w:tc>
          <w:tcPr>
            <w:tcW w:w="889" w:type="pct"/>
            <w:vAlign w:val="center"/>
          </w:tcPr>
          <w:p w:rsidRPr="00582BC6" w:rsidR="0043613D" w:rsidP="0043613D" w:rsidRDefault="0043613D" w14:paraId="27D146A9" w14:textId="5208CB80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="002C638D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889" w:type="pct"/>
          </w:tcPr>
          <w:p w:rsidRPr="00582BC6" w:rsidR="0043613D" w:rsidP="0043613D" w:rsidRDefault="0043613D" w14:paraId="31DB65FA" w14:textId="418D6A6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D16796">
              <w:rPr>
                <w:rFonts w:cs="Arial"/>
                <w:sz w:val="20"/>
                <w:szCs w:val="20"/>
              </w:rPr>
              <w:t>vnt.</w:t>
            </w:r>
          </w:p>
        </w:tc>
      </w:tr>
      <w:tr w:rsidR="0043613D" w:rsidTr="00B927FD" w14:paraId="0ED2F839" w14:textId="352A13F1">
        <w:tc>
          <w:tcPr>
            <w:tcW w:w="324" w:type="pct"/>
            <w:vAlign w:val="center"/>
          </w:tcPr>
          <w:p w:rsidRPr="00D72BB0" w:rsidR="0043613D" w:rsidP="0043613D" w:rsidRDefault="0043613D" w14:paraId="181E0A93" w14:textId="77777777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 w:rsidRPr="00D72BB0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2898" w:type="pct"/>
            <w:vAlign w:val="center"/>
          </w:tcPr>
          <w:p w:rsidRPr="00BB4C78" w:rsidR="0043613D" w:rsidP="0043613D" w:rsidRDefault="0043613D" w14:paraId="53887A79" w14:textId="1C946558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color w:val="747474" w:themeColor="background2" w:themeShade="80"/>
                <w:sz w:val="20"/>
                <w:szCs w:val="20"/>
              </w:rPr>
            </w:pPr>
            <w:r w:rsidRPr="00582BC6">
              <w:rPr>
                <w:rFonts w:cs="Arial"/>
                <w:sz w:val="20"/>
                <w:szCs w:val="20"/>
                <w:lang w:val="en-US"/>
              </w:rPr>
              <w:t>ŠESD ataskaita už 202</w:t>
            </w:r>
            <w:r>
              <w:rPr>
                <w:rFonts w:cs="Arial"/>
                <w:sz w:val="20"/>
                <w:szCs w:val="20"/>
                <w:lang w:val="en-US"/>
              </w:rPr>
              <w:t>6</w:t>
            </w:r>
            <w:r w:rsidRPr="00582BC6">
              <w:rPr>
                <w:rFonts w:cs="Arial"/>
                <w:sz w:val="20"/>
                <w:szCs w:val="20"/>
                <w:lang w:val="en-US"/>
              </w:rPr>
              <w:t xml:space="preserve"> metus</w:t>
            </w:r>
          </w:p>
        </w:tc>
        <w:tc>
          <w:tcPr>
            <w:tcW w:w="889" w:type="pct"/>
            <w:vAlign w:val="center"/>
          </w:tcPr>
          <w:p w:rsidRPr="00D72BB0" w:rsidR="0043613D" w:rsidP="0043613D" w:rsidRDefault="0043613D" w14:paraId="35CF6254" w14:textId="3673E191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="002C638D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889" w:type="pct"/>
          </w:tcPr>
          <w:p w:rsidR="0043613D" w:rsidP="0043613D" w:rsidRDefault="0043613D" w14:paraId="2A4BC3DE" w14:textId="69383A86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D16796">
              <w:rPr>
                <w:rFonts w:cs="Arial"/>
                <w:sz w:val="20"/>
                <w:szCs w:val="20"/>
              </w:rPr>
              <w:t>vnt.</w:t>
            </w:r>
          </w:p>
        </w:tc>
      </w:tr>
      <w:tr w:rsidR="0043613D" w:rsidTr="00B927FD" w14:paraId="03A20BB5" w14:textId="5C4BCBC6">
        <w:tc>
          <w:tcPr>
            <w:tcW w:w="324" w:type="pct"/>
            <w:vAlign w:val="center"/>
          </w:tcPr>
          <w:p w:rsidRPr="00D72BB0" w:rsidR="0043613D" w:rsidP="0043613D" w:rsidRDefault="0043613D" w14:paraId="4E894938" w14:textId="77777777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 w:rsidRPr="00D72BB0"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2898" w:type="pct"/>
            <w:vAlign w:val="center"/>
          </w:tcPr>
          <w:p w:rsidRPr="00BB4C78" w:rsidR="0043613D" w:rsidP="0043613D" w:rsidRDefault="0043613D" w14:paraId="03CAD120" w14:textId="3B9F7C5F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color w:val="747474" w:themeColor="background2" w:themeShade="80"/>
                <w:sz w:val="20"/>
                <w:szCs w:val="20"/>
              </w:rPr>
            </w:pPr>
            <w:r w:rsidRPr="00582BC6">
              <w:rPr>
                <w:rFonts w:cs="Arial"/>
                <w:sz w:val="20"/>
                <w:szCs w:val="20"/>
                <w:lang w:val="en-US"/>
              </w:rPr>
              <w:t>Veiklos lygio ataskaita už 202</w:t>
            </w:r>
            <w:r>
              <w:rPr>
                <w:rFonts w:cs="Arial"/>
                <w:sz w:val="20"/>
                <w:szCs w:val="20"/>
                <w:lang w:val="en-US"/>
              </w:rPr>
              <w:t>6</w:t>
            </w:r>
            <w:r w:rsidRPr="00582BC6">
              <w:rPr>
                <w:rFonts w:cs="Arial"/>
                <w:sz w:val="20"/>
                <w:szCs w:val="20"/>
                <w:lang w:val="en-US"/>
              </w:rPr>
              <w:t xml:space="preserve"> metus</w:t>
            </w:r>
          </w:p>
        </w:tc>
        <w:tc>
          <w:tcPr>
            <w:tcW w:w="889" w:type="pct"/>
            <w:vAlign w:val="center"/>
          </w:tcPr>
          <w:p w:rsidRPr="00D72BB0" w:rsidR="0043613D" w:rsidP="0043613D" w:rsidRDefault="0043613D" w14:paraId="16C55BB2" w14:textId="16A13904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="002C638D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889" w:type="pct"/>
          </w:tcPr>
          <w:p w:rsidRPr="00582BC6" w:rsidR="0043613D" w:rsidP="0043613D" w:rsidRDefault="0043613D" w14:paraId="62D549DD" w14:textId="2D2A14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D16796">
              <w:rPr>
                <w:rFonts w:cs="Arial"/>
                <w:sz w:val="20"/>
                <w:szCs w:val="20"/>
              </w:rPr>
              <w:t>vnt.</w:t>
            </w:r>
          </w:p>
        </w:tc>
      </w:tr>
      <w:tr w:rsidR="00B927FD" w:rsidTr="00B927FD" w14:paraId="7DAAC76F" w14:textId="77777777">
        <w:tc>
          <w:tcPr>
            <w:tcW w:w="324" w:type="pct"/>
            <w:vAlign w:val="center"/>
          </w:tcPr>
          <w:p w:rsidRPr="00D72BB0" w:rsidR="00B927FD" w:rsidP="00B927FD" w:rsidRDefault="00B927FD" w14:paraId="18071AEF" w14:textId="17D53A4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2898" w:type="pct"/>
            <w:vAlign w:val="center"/>
          </w:tcPr>
          <w:p w:rsidRPr="00582BC6" w:rsidR="00B927FD" w:rsidP="00B927FD" w:rsidRDefault="00B927FD" w14:paraId="63A10F8D" w14:textId="3DC76626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582BC6">
              <w:rPr>
                <w:rFonts w:cs="Arial"/>
                <w:sz w:val="20"/>
                <w:szCs w:val="20"/>
                <w:lang w:val="en-US"/>
              </w:rPr>
              <w:t>ŠESD ataskaita už 202</w:t>
            </w:r>
            <w:r>
              <w:rPr>
                <w:rFonts w:cs="Arial"/>
                <w:sz w:val="20"/>
                <w:szCs w:val="20"/>
                <w:lang w:val="en-US"/>
              </w:rPr>
              <w:t>7</w:t>
            </w:r>
            <w:r w:rsidRPr="00582BC6">
              <w:rPr>
                <w:rFonts w:cs="Arial"/>
                <w:sz w:val="20"/>
                <w:szCs w:val="20"/>
                <w:lang w:val="en-US"/>
              </w:rPr>
              <w:t xml:space="preserve"> metus</w:t>
            </w:r>
          </w:p>
        </w:tc>
        <w:tc>
          <w:tcPr>
            <w:tcW w:w="889" w:type="pct"/>
            <w:vAlign w:val="center"/>
          </w:tcPr>
          <w:p w:rsidR="00B927FD" w:rsidP="00B927FD" w:rsidRDefault="00B927FD" w14:paraId="34DE6E10" w14:textId="421510E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="002C638D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889" w:type="pct"/>
          </w:tcPr>
          <w:p w:rsidRPr="00D16796" w:rsidR="00B927FD" w:rsidP="00B927FD" w:rsidRDefault="00B927FD" w14:paraId="54312D7C" w14:textId="47EE504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D16796">
              <w:rPr>
                <w:rFonts w:cs="Arial"/>
                <w:sz w:val="20"/>
                <w:szCs w:val="20"/>
              </w:rPr>
              <w:t>vnt.</w:t>
            </w:r>
          </w:p>
        </w:tc>
      </w:tr>
      <w:tr w:rsidR="00B927FD" w:rsidTr="00B927FD" w14:paraId="1451558F" w14:textId="77777777">
        <w:tc>
          <w:tcPr>
            <w:tcW w:w="324" w:type="pct"/>
            <w:vAlign w:val="center"/>
          </w:tcPr>
          <w:p w:rsidRPr="00D72BB0" w:rsidR="00B927FD" w:rsidP="00B927FD" w:rsidRDefault="00B927FD" w14:paraId="6C2624B7" w14:textId="6DE01973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2898" w:type="pct"/>
            <w:vAlign w:val="center"/>
          </w:tcPr>
          <w:p w:rsidRPr="00582BC6" w:rsidR="00B927FD" w:rsidP="00B927FD" w:rsidRDefault="00B927FD" w14:paraId="0E5B7C7D" w14:textId="03C89BF6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582BC6">
              <w:rPr>
                <w:rFonts w:cs="Arial"/>
                <w:sz w:val="20"/>
                <w:szCs w:val="20"/>
                <w:lang w:val="en-US"/>
              </w:rPr>
              <w:t>Veiklos lygio ataskaita už 202</w:t>
            </w:r>
            <w:r>
              <w:rPr>
                <w:rFonts w:cs="Arial"/>
                <w:sz w:val="20"/>
                <w:szCs w:val="20"/>
                <w:lang w:val="en-US"/>
              </w:rPr>
              <w:t>7</w:t>
            </w:r>
            <w:r w:rsidRPr="00582BC6">
              <w:rPr>
                <w:rFonts w:cs="Arial"/>
                <w:sz w:val="20"/>
                <w:szCs w:val="20"/>
                <w:lang w:val="en-US"/>
              </w:rPr>
              <w:t xml:space="preserve"> metus</w:t>
            </w:r>
          </w:p>
        </w:tc>
        <w:tc>
          <w:tcPr>
            <w:tcW w:w="889" w:type="pct"/>
            <w:vAlign w:val="center"/>
          </w:tcPr>
          <w:p w:rsidR="00B927FD" w:rsidP="00B927FD" w:rsidRDefault="00B927FD" w14:paraId="66C39290" w14:textId="3D36BF45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="002C638D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889" w:type="pct"/>
          </w:tcPr>
          <w:p w:rsidRPr="00D16796" w:rsidR="00B927FD" w:rsidP="00B927FD" w:rsidRDefault="00B927FD" w14:paraId="77DA7F44" w14:textId="2854D8DF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D16796">
              <w:rPr>
                <w:rFonts w:cs="Arial"/>
                <w:sz w:val="20"/>
                <w:szCs w:val="20"/>
              </w:rPr>
              <w:t>vnt.</w:t>
            </w:r>
          </w:p>
        </w:tc>
      </w:tr>
      <w:tr w:rsidR="0043613D" w:rsidTr="00B927FD" w14:paraId="5D95F175" w14:textId="2CB5C93D">
        <w:tc>
          <w:tcPr>
            <w:tcW w:w="324" w:type="pct"/>
            <w:vAlign w:val="center"/>
          </w:tcPr>
          <w:p w:rsidRPr="00D72BB0" w:rsidR="0043613D" w:rsidP="0043613D" w:rsidRDefault="00B927FD" w14:paraId="7AA7C81C" w14:textId="6DE853D7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</w:t>
            </w:r>
          </w:p>
        </w:tc>
        <w:tc>
          <w:tcPr>
            <w:tcW w:w="2898" w:type="pct"/>
            <w:vAlign w:val="center"/>
          </w:tcPr>
          <w:p w:rsidRPr="00BB4C78" w:rsidR="0043613D" w:rsidP="0043613D" w:rsidRDefault="0043613D" w14:paraId="11B4E491" w14:textId="62346935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color w:val="747474" w:themeColor="background2" w:themeShade="80"/>
                <w:sz w:val="20"/>
                <w:szCs w:val="20"/>
              </w:rPr>
            </w:pPr>
            <w:r w:rsidRPr="00582BC6">
              <w:rPr>
                <w:rFonts w:cs="Arial"/>
                <w:sz w:val="20"/>
                <w:szCs w:val="20"/>
              </w:rPr>
              <w:t>ATL 2 sistemos ataskaita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82BC6">
              <w:rPr>
                <w:rFonts w:cs="Arial"/>
                <w:sz w:val="20"/>
                <w:szCs w:val="20"/>
                <w:lang w:val="en-US"/>
              </w:rPr>
              <w:t>už 202</w:t>
            </w:r>
            <w:r>
              <w:rPr>
                <w:rFonts w:cs="Arial"/>
                <w:sz w:val="20"/>
                <w:szCs w:val="20"/>
                <w:lang w:val="en-US"/>
              </w:rPr>
              <w:t>5</w:t>
            </w:r>
            <w:r w:rsidRPr="00582BC6">
              <w:rPr>
                <w:rFonts w:cs="Arial"/>
                <w:sz w:val="20"/>
                <w:szCs w:val="20"/>
                <w:lang w:val="en-US"/>
              </w:rPr>
              <w:t xml:space="preserve"> metus</w:t>
            </w:r>
          </w:p>
        </w:tc>
        <w:tc>
          <w:tcPr>
            <w:tcW w:w="889" w:type="pct"/>
            <w:vAlign w:val="center"/>
          </w:tcPr>
          <w:p w:rsidRPr="00582BC6" w:rsidR="0043613D" w:rsidP="0043613D" w:rsidRDefault="0043613D" w14:paraId="63B15508" w14:textId="5CE0DDCD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2C638D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889" w:type="pct"/>
          </w:tcPr>
          <w:p w:rsidR="0043613D" w:rsidP="0043613D" w:rsidRDefault="0043613D" w14:paraId="54F5EB9F" w14:textId="42651D54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D16796">
              <w:rPr>
                <w:rFonts w:cs="Arial"/>
                <w:sz w:val="20"/>
                <w:szCs w:val="20"/>
              </w:rPr>
              <w:t>vnt.</w:t>
            </w:r>
          </w:p>
        </w:tc>
      </w:tr>
      <w:tr w:rsidR="00B927FD" w:rsidTr="00B927FD" w14:paraId="139F9987" w14:textId="25518B6A">
        <w:tc>
          <w:tcPr>
            <w:tcW w:w="324" w:type="pct"/>
            <w:vAlign w:val="center"/>
          </w:tcPr>
          <w:p w:rsidRPr="00D72BB0" w:rsidR="00B927FD" w:rsidP="00B927FD" w:rsidRDefault="00B927FD" w14:paraId="21CE441B" w14:textId="5A2C1E2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</w:t>
            </w:r>
          </w:p>
        </w:tc>
        <w:tc>
          <w:tcPr>
            <w:tcW w:w="2898" w:type="pct"/>
            <w:vAlign w:val="center"/>
          </w:tcPr>
          <w:p w:rsidRPr="00582BC6" w:rsidR="00B927FD" w:rsidP="00B927FD" w:rsidRDefault="00B927FD" w14:paraId="01177F80" w14:textId="1B5FD64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</w:rPr>
            </w:pPr>
            <w:r w:rsidRPr="00582BC6">
              <w:rPr>
                <w:rFonts w:cs="Arial"/>
                <w:sz w:val="20"/>
                <w:szCs w:val="20"/>
              </w:rPr>
              <w:t>ATL 2 sistemos ataskaita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82BC6">
              <w:rPr>
                <w:rFonts w:cs="Arial"/>
                <w:sz w:val="20"/>
                <w:szCs w:val="20"/>
                <w:lang w:val="en-US"/>
              </w:rPr>
              <w:t>už 202</w:t>
            </w:r>
            <w:r>
              <w:rPr>
                <w:rFonts w:cs="Arial"/>
                <w:sz w:val="20"/>
                <w:szCs w:val="20"/>
                <w:lang w:val="en-US"/>
              </w:rPr>
              <w:t>6</w:t>
            </w:r>
            <w:r w:rsidRPr="00582BC6">
              <w:rPr>
                <w:rFonts w:cs="Arial"/>
                <w:sz w:val="20"/>
                <w:szCs w:val="20"/>
                <w:lang w:val="en-US"/>
              </w:rPr>
              <w:t xml:space="preserve"> metus</w:t>
            </w:r>
          </w:p>
        </w:tc>
        <w:tc>
          <w:tcPr>
            <w:tcW w:w="889" w:type="pct"/>
            <w:vAlign w:val="center"/>
          </w:tcPr>
          <w:p w:rsidR="00B927FD" w:rsidP="00B927FD" w:rsidRDefault="00B927FD" w14:paraId="7D83141C" w14:textId="23C21861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172D4D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889" w:type="pct"/>
          </w:tcPr>
          <w:p w:rsidR="00B927FD" w:rsidP="00B927FD" w:rsidRDefault="00B927FD" w14:paraId="445E2672" w14:textId="3C2300FF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D16796">
              <w:rPr>
                <w:rFonts w:cs="Arial"/>
                <w:sz w:val="20"/>
                <w:szCs w:val="20"/>
              </w:rPr>
              <w:t>vnt.</w:t>
            </w:r>
          </w:p>
        </w:tc>
      </w:tr>
      <w:tr w:rsidR="00B927FD" w:rsidTr="00B927FD" w14:paraId="0A44C820" w14:textId="77777777">
        <w:tc>
          <w:tcPr>
            <w:tcW w:w="324" w:type="pct"/>
            <w:vAlign w:val="center"/>
          </w:tcPr>
          <w:p w:rsidR="00B927FD" w:rsidP="00B927FD" w:rsidRDefault="00B927FD" w14:paraId="156279F8" w14:textId="0ABC7F34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9.</w:t>
            </w:r>
          </w:p>
        </w:tc>
        <w:tc>
          <w:tcPr>
            <w:tcW w:w="2898" w:type="pct"/>
            <w:vAlign w:val="center"/>
          </w:tcPr>
          <w:p w:rsidRPr="00582BC6" w:rsidR="00B927FD" w:rsidP="00B927FD" w:rsidRDefault="00B927FD" w14:paraId="7DEDEA18" w14:textId="44561CA7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</w:rPr>
            </w:pPr>
            <w:r w:rsidRPr="00582BC6">
              <w:rPr>
                <w:rFonts w:cs="Arial"/>
                <w:sz w:val="20"/>
                <w:szCs w:val="20"/>
              </w:rPr>
              <w:t>ATL 2 sistemos ataskaita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82BC6">
              <w:rPr>
                <w:rFonts w:cs="Arial"/>
                <w:sz w:val="20"/>
                <w:szCs w:val="20"/>
                <w:lang w:val="en-US"/>
              </w:rPr>
              <w:t>už 202</w:t>
            </w:r>
            <w:r>
              <w:rPr>
                <w:rFonts w:cs="Arial"/>
                <w:sz w:val="20"/>
                <w:szCs w:val="20"/>
                <w:lang w:val="en-US"/>
              </w:rPr>
              <w:t>7</w:t>
            </w:r>
            <w:r w:rsidRPr="00582BC6">
              <w:rPr>
                <w:rFonts w:cs="Arial"/>
                <w:sz w:val="20"/>
                <w:szCs w:val="20"/>
                <w:lang w:val="en-US"/>
              </w:rPr>
              <w:t xml:space="preserve"> metus</w:t>
            </w:r>
          </w:p>
        </w:tc>
        <w:tc>
          <w:tcPr>
            <w:tcW w:w="889" w:type="pct"/>
            <w:vAlign w:val="center"/>
          </w:tcPr>
          <w:p w:rsidR="00B927FD" w:rsidP="00B927FD" w:rsidRDefault="00B927FD" w14:paraId="2B3A941B" w14:textId="682E1575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172D4D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889" w:type="pct"/>
          </w:tcPr>
          <w:p w:rsidRPr="00D16796" w:rsidR="00B927FD" w:rsidP="00B927FD" w:rsidRDefault="00B927FD" w14:paraId="01508D2E" w14:textId="7D4D9E38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D16796">
              <w:rPr>
                <w:rFonts w:cs="Arial"/>
                <w:sz w:val="20"/>
                <w:szCs w:val="20"/>
              </w:rPr>
              <w:t>vnt.</w:t>
            </w:r>
          </w:p>
        </w:tc>
      </w:tr>
    </w:tbl>
    <w:p w:rsidRPr="00547F2B" w:rsidR="00631D5B" w:rsidP="00631D5B" w:rsidRDefault="00631D5B" w14:paraId="68FBC7FB" w14:textId="77777777">
      <w:pPr>
        <w:spacing w:before="60" w:after="60"/>
        <w:ind w:firstLine="0"/>
        <w:jc w:val="both"/>
        <w:rPr>
          <w:rFonts w:cs="Arial"/>
          <w:i/>
          <w:sz w:val="18"/>
          <w:szCs w:val="18"/>
        </w:rPr>
      </w:pPr>
      <w:r w:rsidRPr="005154A1">
        <w:rPr>
          <w:rFonts w:cs="Arial"/>
          <w:i/>
        </w:rPr>
        <w:t>*</w:t>
      </w:r>
      <w:r>
        <w:rPr>
          <w:rFonts w:cs="Arial"/>
          <w:i/>
          <w:sz w:val="18"/>
          <w:szCs w:val="18"/>
        </w:rPr>
        <w:t>Perkantysis subjektas</w:t>
      </w:r>
      <w:r w:rsidRPr="00684C1F">
        <w:rPr>
          <w:rFonts w:cs="Arial"/>
          <w:i/>
          <w:color w:val="FF0000"/>
          <w:sz w:val="18"/>
          <w:szCs w:val="18"/>
        </w:rPr>
        <w:t xml:space="preserve"> </w:t>
      </w:r>
      <w:r w:rsidRPr="005154A1">
        <w:rPr>
          <w:rFonts w:cs="Arial"/>
          <w:i/>
          <w:sz w:val="18"/>
          <w:szCs w:val="18"/>
        </w:rPr>
        <w:t>Sutarties galiojimo laikotarpiu</w:t>
      </w:r>
      <w:r>
        <w:rPr>
          <w:rFonts w:cs="Arial"/>
          <w:i/>
          <w:sz w:val="18"/>
          <w:szCs w:val="18"/>
        </w:rPr>
        <w:t xml:space="preserve"> įsipareigoja išpirkti visą nurodytą kiekį.</w:t>
      </w:r>
    </w:p>
    <w:p w:rsidRPr="0043712E" w:rsidR="00FC1E11" w:rsidP="005517EC" w:rsidRDefault="00FC1E11" w14:paraId="5A3D873C" w14:textId="77777777">
      <w:pPr>
        <w:pStyle w:val="Sraopastraipa"/>
        <w:numPr>
          <w:ilvl w:val="0"/>
          <w:numId w:val="3"/>
        </w:numPr>
        <w:pBdr>
          <w:top w:val="single" w:color="auto" w:sz="4" w:space="1"/>
          <w:bottom w:val="single" w:color="auto" w:sz="4" w:space="1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bookmarkStart w:name="_Hlk34730466" w:id="3"/>
      <w:r w:rsidRPr="0043712E">
        <w:rPr>
          <w:rFonts w:eastAsia="Arial" w:cs="Arial"/>
          <w:b/>
          <w:bCs/>
          <w:sz w:val="20"/>
          <w:szCs w:val="20"/>
        </w:rPr>
        <w:t>SUTARTINIŲ ĮSIPAREIGOJIMŲ VYKDYMO VIETA</w:t>
      </w:r>
      <w:bookmarkEnd w:id="3"/>
    </w:p>
    <w:p w:rsidRPr="00E144E1" w:rsidR="003D3BD3" w:rsidP="003D3BD3" w:rsidRDefault="00AF04E7" w14:paraId="2C45C78F" w14:textId="2EAD9C8B">
      <w:pPr>
        <w:pStyle w:val="Sraopastraipa"/>
        <w:numPr>
          <w:ilvl w:val="1"/>
          <w:numId w:val="3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i/>
          <w:color w:val="747474" w:themeColor="background2" w:themeShade="80"/>
          <w:sz w:val="20"/>
          <w:szCs w:val="20"/>
        </w:rPr>
      </w:pPr>
      <w:r>
        <w:rPr>
          <w:rFonts w:cs="Arial"/>
          <w:bCs/>
          <w:iCs/>
          <w:sz w:val="20"/>
          <w:szCs w:val="20"/>
        </w:rPr>
        <w:t>Paslaugų teikimo</w:t>
      </w:r>
      <w:r w:rsidR="00FC1E11">
        <w:rPr>
          <w:rFonts w:cs="Arial"/>
          <w:bCs/>
          <w:iCs/>
          <w:sz w:val="20"/>
          <w:szCs w:val="20"/>
        </w:rPr>
        <w:t xml:space="preserve"> vietos</w:t>
      </w:r>
      <w:r w:rsidR="00106918">
        <w:rPr>
          <w:rFonts w:cs="Arial"/>
          <w:bCs/>
          <w:iCs/>
          <w:sz w:val="20"/>
          <w:szCs w:val="20"/>
        </w:rPr>
        <w:t>: nurodyt</w:t>
      </w:r>
      <w:r w:rsidR="00E144E1">
        <w:rPr>
          <w:rFonts w:cs="Arial"/>
          <w:bCs/>
          <w:iCs/>
          <w:sz w:val="20"/>
          <w:szCs w:val="20"/>
        </w:rPr>
        <w:t>a Techninės specifikacijos 3.3 p.</w:t>
      </w:r>
      <w:r w:rsidR="00106918">
        <w:rPr>
          <w:rFonts w:cs="Arial"/>
          <w:bCs/>
          <w:iCs/>
          <w:sz w:val="20"/>
          <w:szCs w:val="20"/>
        </w:rPr>
        <w:t xml:space="preserve"> </w:t>
      </w:r>
      <w:r w:rsidR="00E144E1">
        <w:rPr>
          <w:rFonts w:cs="Arial"/>
          <w:bCs/>
          <w:iCs/>
          <w:sz w:val="20"/>
          <w:szCs w:val="20"/>
        </w:rPr>
        <w:t>L</w:t>
      </w:r>
      <w:r w:rsidR="00106918">
        <w:rPr>
          <w:rFonts w:cs="Arial"/>
          <w:bCs/>
          <w:iCs/>
          <w:sz w:val="20"/>
          <w:szCs w:val="20"/>
        </w:rPr>
        <w:t>entelė</w:t>
      </w:r>
      <w:r w:rsidR="00E144E1">
        <w:rPr>
          <w:rFonts w:cs="Arial"/>
          <w:bCs/>
          <w:iCs/>
          <w:sz w:val="20"/>
          <w:szCs w:val="20"/>
        </w:rPr>
        <w:t>je</w:t>
      </w:r>
      <w:r w:rsidR="00106918">
        <w:rPr>
          <w:rFonts w:cs="Arial"/>
          <w:bCs/>
          <w:iCs/>
          <w:sz w:val="20"/>
          <w:szCs w:val="20"/>
        </w:rPr>
        <w:t xml:space="preserve"> Nr. 1.</w:t>
      </w:r>
    </w:p>
    <w:p w:rsidRPr="0043712E" w:rsidR="00FC1E11" w:rsidP="005517EC" w:rsidRDefault="00FC1E11" w14:paraId="3154293D" w14:textId="77777777">
      <w:pPr>
        <w:pStyle w:val="Sraopastraipa"/>
        <w:numPr>
          <w:ilvl w:val="0"/>
          <w:numId w:val="3"/>
        </w:numPr>
        <w:pBdr>
          <w:top w:val="single" w:color="auto" w:sz="4" w:space="1"/>
          <w:bottom w:val="single" w:color="auto" w:sz="4" w:space="1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REIKALAVIMAI PIRKIMO OBJEKTUI</w:t>
      </w:r>
    </w:p>
    <w:p w:rsidRPr="009A292A" w:rsidR="00203486" w:rsidP="000E31DC" w:rsidRDefault="00203486" w14:paraId="4624187B" w14:textId="555B5F5B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eastAsia="Calibri" w:cs="Times New Roman"/>
          <w:sz w:val="20"/>
          <w:szCs w:val="20"/>
        </w:rPr>
      </w:pPr>
      <w:r w:rsidRPr="009A292A">
        <w:rPr>
          <w:rFonts w:eastAsia="Calibri" w:cs="Times New Roman"/>
          <w:sz w:val="20"/>
          <w:szCs w:val="20"/>
        </w:rPr>
        <w:t>Į Paslaugų kainą turi būti įskaičiuotos visos Tiekėjo patiriamos išlaidos, atvykimas į Perkančiojo subjekto patalpas</w:t>
      </w:r>
      <w:r w:rsidRPr="009A292A" w:rsidR="00C365EC">
        <w:rPr>
          <w:rFonts w:eastAsia="Calibri" w:cs="Times New Roman"/>
          <w:sz w:val="20"/>
          <w:szCs w:val="20"/>
        </w:rPr>
        <w:t xml:space="preserve"> </w:t>
      </w:r>
      <w:r w:rsidR="0005235A">
        <w:rPr>
          <w:rFonts w:eastAsia="Calibri" w:cs="Times New Roman"/>
          <w:sz w:val="20"/>
          <w:szCs w:val="20"/>
        </w:rPr>
        <w:t>ir kitos su Paslaugų teikimu susijusios sąnaudos.</w:t>
      </w:r>
    </w:p>
    <w:p w:rsidRPr="00106918" w:rsidR="00106918" w:rsidP="00106918" w:rsidRDefault="00A666FE" w14:paraId="03F68BF3" w14:textId="5093CE96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b/>
          <w:bCs/>
          <w:i/>
          <w:iCs/>
          <w:color w:val="747474" w:themeColor="background2" w:themeShade="80"/>
          <w:sz w:val="20"/>
          <w:szCs w:val="20"/>
        </w:rPr>
      </w:pPr>
      <w:r>
        <w:rPr>
          <w:rFonts w:cs="Arial"/>
          <w:sz w:val="20"/>
        </w:rPr>
        <w:t>T</w:t>
      </w:r>
      <w:r w:rsidRPr="00106918" w:rsidR="00106918">
        <w:rPr>
          <w:rFonts w:cs="Arial"/>
          <w:sz w:val="20"/>
        </w:rPr>
        <w:t>iekėjas vertinimo pažymas rengia pagal naujausių teisės aktų bei reglamentų nustatytus reikalavimus.</w:t>
      </w:r>
    </w:p>
    <w:p w:rsidRPr="00F873AF" w:rsidR="00106918" w:rsidP="00F873AF" w:rsidRDefault="00106918" w14:paraId="200948EA" w14:textId="147B32F3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b/>
          <w:bCs/>
          <w:i/>
          <w:iCs/>
          <w:color w:val="747474" w:themeColor="background2" w:themeShade="80"/>
          <w:sz w:val="20"/>
          <w:szCs w:val="20"/>
        </w:rPr>
      </w:pPr>
      <w:r w:rsidRPr="00106918">
        <w:rPr>
          <w:rFonts w:cs="Arial"/>
          <w:sz w:val="20"/>
        </w:rPr>
        <w:t>Paslauga yra atlikta, gavus iš Aplinkos apsaugos agentūros patvirtinimą dėl vertinimo pažymų tinkamumo.</w:t>
      </w:r>
    </w:p>
    <w:p w:rsidRPr="0043712E" w:rsidR="00FC1E11" w:rsidP="005517EC" w:rsidRDefault="00FC1E11" w14:paraId="50C8CD79" w14:textId="0B1C23C7">
      <w:pPr>
        <w:pStyle w:val="Sraopastraipa"/>
        <w:numPr>
          <w:ilvl w:val="0"/>
          <w:numId w:val="5"/>
        </w:numPr>
        <w:pBdr>
          <w:top w:val="single" w:color="auto" w:sz="4" w:space="1"/>
          <w:bottom w:val="single" w:color="auto" w:sz="4" w:space="1"/>
        </w:pBdr>
        <w:shd w:val="clear" w:color="auto" w:fill="EDEDED"/>
        <w:tabs>
          <w:tab w:val="left" w:pos="284"/>
          <w:tab w:val="left" w:pos="360"/>
        </w:tabs>
        <w:spacing w:before="120" w:after="120"/>
        <w:ind w:hanging="720"/>
        <w:contextualSpacing w:val="0"/>
        <w:jc w:val="both"/>
        <w:rPr>
          <w:rStyle w:val="Laukeliai"/>
          <w:rFonts w:eastAsia="Arial" w:cs="Arial"/>
          <w:b/>
          <w:bCs/>
          <w:szCs w:val="20"/>
        </w:rPr>
      </w:pPr>
      <w:r w:rsidRPr="0043712E">
        <w:rPr>
          <w:rStyle w:val="Laukeliai"/>
          <w:rFonts w:eastAsia="Arial" w:cs="Arial"/>
          <w:b/>
          <w:bCs/>
          <w:szCs w:val="20"/>
        </w:rPr>
        <w:t>P</w:t>
      </w:r>
      <w:r w:rsidR="00437B26">
        <w:rPr>
          <w:rStyle w:val="Laukeliai"/>
          <w:rFonts w:eastAsia="Arial" w:cs="Arial"/>
          <w:b/>
          <w:bCs/>
          <w:szCs w:val="20"/>
        </w:rPr>
        <w:t xml:space="preserve">ASLAUGŲ TEIKIMO </w:t>
      </w:r>
      <w:r w:rsidRPr="0043712E">
        <w:rPr>
          <w:rStyle w:val="Laukeliai"/>
          <w:rFonts w:eastAsia="Arial" w:cs="Arial"/>
          <w:b/>
          <w:bCs/>
          <w:szCs w:val="20"/>
        </w:rPr>
        <w:t xml:space="preserve">TVARKA IR TERMINAI </w:t>
      </w:r>
    </w:p>
    <w:p w:rsidRPr="00106918" w:rsidR="00106918" w:rsidP="00E541CB" w:rsidRDefault="009C2EE4" w14:paraId="2B893CB8" w14:textId="2D65FE40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cs="Arial"/>
          <w:b/>
          <w:bCs/>
          <w:i/>
          <w:iCs/>
          <w:color w:val="747474" w:themeColor="background2" w:themeShade="80"/>
          <w:sz w:val="20"/>
          <w:szCs w:val="20"/>
        </w:rPr>
      </w:pPr>
      <w:r w:rsidRPr="009C2EE4">
        <w:rPr>
          <w:rFonts w:cs="Arial"/>
          <w:sz w:val="20"/>
        </w:rPr>
        <w:t>Perkantysis subjektas</w:t>
      </w:r>
      <w:r w:rsidRPr="00106918" w:rsidR="00106918">
        <w:rPr>
          <w:rFonts w:cs="Arial"/>
          <w:sz w:val="20"/>
        </w:rPr>
        <w:t xml:space="preserve"> </w:t>
      </w:r>
      <w:r w:rsidR="00F873AF">
        <w:rPr>
          <w:rFonts w:cs="Arial"/>
          <w:sz w:val="20"/>
        </w:rPr>
        <w:t>U</w:t>
      </w:r>
      <w:r w:rsidRPr="00106918" w:rsidR="00106918">
        <w:rPr>
          <w:rFonts w:cs="Arial"/>
          <w:sz w:val="20"/>
        </w:rPr>
        <w:t xml:space="preserve">žsakymą ir visus reikiamus duomenis vertinimui </w:t>
      </w:r>
      <w:r w:rsidR="00A666FE">
        <w:rPr>
          <w:rFonts w:cs="Arial"/>
          <w:sz w:val="20"/>
        </w:rPr>
        <w:t>T</w:t>
      </w:r>
      <w:r w:rsidRPr="00106918" w:rsidR="00106918">
        <w:rPr>
          <w:rFonts w:cs="Arial"/>
          <w:sz w:val="20"/>
        </w:rPr>
        <w:t xml:space="preserve">iekėjui pateikia elektroniniu paštu. </w:t>
      </w:r>
    </w:p>
    <w:p w:rsidR="00106918" w:rsidP="00106918" w:rsidRDefault="005B3E46" w14:paraId="17A99B83" w14:textId="75CB09C2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cs="Arial"/>
          <w:b/>
          <w:bCs/>
          <w:i/>
          <w:iCs/>
          <w:color w:val="747474" w:themeColor="background2" w:themeShade="80"/>
          <w:sz w:val="20"/>
          <w:szCs w:val="20"/>
        </w:rPr>
      </w:pPr>
      <w:r w:rsidRPr="009C2EE4">
        <w:rPr>
          <w:rFonts w:cs="Arial"/>
          <w:bCs/>
          <w:sz w:val="20"/>
          <w:szCs w:val="20"/>
        </w:rPr>
        <w:t>Perkan</w:t>
      </w:r>
      <w:r>
        <w:rPr>
          <w:rFonts w:cs="Arial"/>
          <w:bCs/>
          <w:sz w:val="20"/>
          <w:szCs w:val="20"/>
        </w:rPr>
        <w:t>čiojo</w:t>
      </w:r>
      <w:r w:rsidRPr="009C2EE4">
        <w:rPr>
          <w:rFonts w:cs="Arial"/>
          <w:bCs/>
          <w:sz w:val="20"/>
          <w:szCs w:val="20"/>
        </w:rPr>
        <w:t xml:space="preserve"> subjekt</w:t>
      </w:r>
      <w:r>
        <w:rPr>
          <w:rFonts w:cs="Arial"/>
          <w:bCs/>
          <w:sz w:val="20"/>
          <w:szCs w:val="20"/>
        </w:rPr>
        <w:t>o</w:t>
      </w:r>
      <w:r w:rsidRPr="00106918" w:rsidR="00106918">
        <w:rPr>
          <w:rFonts w:cs="Arial"/>
          <w:sz w:val="20"/>
        </w:rPr>
        <w:t xml:space="preserve"> pateiktos ATL 1 ataskaitos turi būti įvertintos </w:t>
      </w:r>
      <w:r w:rsidR="00A666FE">
        <w:rPr>
          <w:rFonts w:cs="Arial"/>
          <w:sz w:val="20"/>
        </w:rPr>
        <w:t>T</w:t>
      </w:r>
      <w:r w:rsidRPr="00106918" w:rsidR="00106918">
        <w:rPr>
          <w:rFonts w:cs="Arial"/>
          <w:sz w:val="20"/>
        </w:rPr>
        <w:t>iekėjo už 2025 m. iki 2026 metų kovo 27 d., už 2026 m. iki 2027 metų kovo 29 d.</w:t>
      </w:r>
      <w:r w:rsidR="00B927FD">
        <w:rPr>
          <w:rFonts w:cs="Arial"/>
          <w:sz w:val="20"/>
        </w:rPr>
        <w:t>,</w:t>
      </w:r>
      <w:r w:rsidRPr="00B927FD" w:rsidR="00B927FD">
        <w:rPr>
          <w:rFonts w:cs="Arial"/>
          <w:sz w:val="20"/>
        </w:rPr>
        <w:t xml:space="preserve"> </w:t>
      </w:r>
      <w:r w:rsidRPr="00106918" w:rsidR="00B927FD">
        <w:rPr>
          <w:rFonts w:cs="Arial"/>
          <w:sz w:val="20"/>
        </w:rPr>
        <w:t>už 202</w:t>
      </w:r>
      <w:r w:rsidR="00B927FD">
        <w:rPr>
          <w:rFonts w:cs="Arial"/>
          <w:sz w:val="20"/>
        </w:rPr>
        <w:t>7</w:t>
      </w:r>
      <w:r w:rsidRPr="00106918" w:rsidR="00B927FD">
        <w:rPr>
          <w:rFonts w:cs="Arial"/>
          <w:sz w:val="20"/>
        </w:rPr>
        <w:t xml:space="preserve"> m. iki 202</w:t>
      </w:r>
      <w:r w:rsidR="00B927FD">
        <w:rPr>
          <w:rFonts w:cs="Arial"/>
          <w:sz w:val="20"/>
        </w:rPr>
        <w:t>8</w:t>
      </w:r>
      <w:r w:rsidRPr="00106918" w:rsidR="00B927FD">
        <w:rPr>
          <w:rFonts w:cs="Arial"/>
          <w:sz w:val="20"/>
        </w:rPr>
        <w:t xml:space="preserve"> metų kovo 29 d.</w:t>
      </w:r>
    </w:p>
    <w:p w:rsidRPr="009A292A" w:rsidR="00B927FD" w:rsidP="00B927FD" w:rsidRDefault="005B3E46" w14:paraId="29088F21" w14:textId="4DCF068D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cs="Arial"/>
          <w:b/>
          <w:bCs/>
          <w:i/>
          <w:iCs/>
          <w:color w:val="747474" w:themeColor="background2" w:themeShade="80"/>
          <w:sz w:val="20"/>
          <w:szCs w:val="20"/>
        </w:rPr>
      </w:pPr>
      <w:r w:rsidRPr="009C2EE4">
        <w:rPr>
          <w:rFonts w:cs="Arial"/>
          <w:bCs/>
          <w:sz w:val="20"/>
          <w:szCs w:val="20"/>
        </w:rPr>
        <w:t>Perkan</w:t>
      </w:r>
      <w:r>
        <w:rPr>
          <w:rFonts w:cs="Arial"/>
          <w:bCs/>
          <w:sz w:val="20"/>
          <w:szCs w:val="20"/>
        </w:rPr>
        <w:t>čiojo</w:t>
      </w:r>
      <w:r w:rsidRPr="009C2EE4">
        <w:rPr>
          <w:rFonts w:cs="Arial"/>
          <w:bCs/>
          <w:sz w:val="20"/>
          <w:szCs w:val="20"/>
        </w:rPr>
        <w:t xml:space="preserve"> subjekt</w:t>
      </w:r>
      <w:r>
        <w:rPr>
          <w:rFonts w:cs="Arial"/>
          <w:bCs/>
          <w:sz w:val="20"/>
          <w:szCs w:val="20"/>
        </w:rPr>
        <w:t>o</w:t>
      </w:r>
      <w:r w:rsidRPr="00106918" w:rsidR="00106918">
        <w:rPr>
          <w:rFonts w:cs="Arial"/>
          <w:sz w:val="20"/>
        </w:rPr>
        <w:t xml:space="preserve"> pateikta ATL 2 ataskaita turi būti įvertinta </w:t>
      </w:r>
      <w:r w:rsidR="00A666FE">
        <w:rPr>
          <w:rFonts w:cs="Arial"/>
          <w:sz w:val="20"/>
        </w:rPr>
        <w:t>T</w:t>
      </w:r>
      <w:r w:rsidRPr="00106918" w:rsidR="00106918">
        <w:rPr>
          <w:rFonts w:cs="Arial"/>
          <w:sz w:val="20"/>
        </w:rPr>
        <w:t>iekėjo už 2025 m. iki 2026 metų balandžio 28 d., už 2026 m. iki 2027 metų balandžio 28 d.</w:t>
      </w:r>
      <w:r w:rsidR="00B927FD">
        <w:rPr>
          <w:rFonts w:cs="Arial"/>
          <w:sz w:val="20"/>
        </w:rPr>
        <w:t xml:space="preserve">, </w:t>
      </w:r>
      <w:r w:rsidRPr="00106918" w:rsidR="00B927FD">
        <w:rPr>
          <w:rFonts w:cs="Arial"/>
          <w:sz w:val="20"/>
        </w:rPr>
        <w:t>už 202</w:t>
      </w:r>
      <w:r w:rsidR="00B927FD">
        <w:rPr>
          <w:rFonts w:cs="Arial"/>
          <w:sz w:val="20"/>
        </w:rPr>
        <w:t>7</w:t>
      </w:r>
      <w:r w:rsidRPr="00106918" w:rsidR="00B927FD">
        <w:rPr>
          <w:rFonts w:cs="Arial"/>
          <w:sz w:val="20"/>
        </w:rPr>
        <w:t xml:space="preserve"> m. iki 202</w:t>
      </w:r>
      <w:r w:rsidR="00B927FD">
        <w:rPr>
          <w:rFonts w:cs="Arial"/>
          <w:sz w:val="20"/>
        </w:rPr>
        <w:t>8</w:t>
      </w:r>
      <w:r w:rsidRPr="00106918" w:rsidR="00B927FD">
        <w:rPr>
          <w:rFonts w:cs="Arial"/>
          <w:sz w:val="20"/>
        </w:rPr>
        <w:t xml:space="preserve"> metų balandžio 2</w:t>
      </w:r>
      <w:r w:rsidR="00B927FD">
        <w:rPr>
          <w:rFonts w:cs="Arial"/>
          <w:sz w:val="20"/>
        </w:rPr>
        <w:t>6</w:t>
      </w:r>
      <w:r w:rsidRPr="00106918" w:rsidR="00B927FD">
        <w:rPr>
          <w:rFonts w:cs="Arial"/>
          <w:sz w:val="20"/>
        </w:rPr>
        <w:t xml:space="preserve"> d.</w:t>
      </w:r>
    </w:p>
    <w:p w:rsidRPr="00106918" w:rsidR="009A292A" w:rsidP="00106918" w:rsidRDefault="009A292A" w14:paraId="551B06B0" w14:textId="1DFDB2E3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Style w:val="Laukeliai"/>
          <w:rFonts w:cs="Arial"/>
          <w:b/>
          <w:bCs/>
          <w:i/>
          <w:iCs/>
          <w:color w:val="747474" w:themeColor="background2" w:themeShade="80"/>
          <w:szCs w:val="20"/>
        </w:rPr>
      </w:pPr>
      <w:r>
        <w:rPr>
          <w:rFonts w:cs="Arial"/>
          <w:bCs/>
          <w:sz w:val="20"/>
          <w:szCs w:val="20"/>
        </w:rPr>
        <w:t>Į</w:t>
      </w:r>
      <w:r w:rsidRPr="0077590E">
        <w:rPr>
          <w:rFonts w:cs="Arial"/>
          <w:bCs/>
          <w:sz w:val="20"/>
          <w:szCs w:val="20"/>
        </w:rPr>
        <w:t>rašyti</w:t>
      </w:r>
      <w:r>
        <w:rPr>
          <w:rFonts w:cs="Arial"/>
          <w:bCs/>
          <w:sz w:val="20"/>
          <w:szCs w:val="20"/>
        </w:rPr>
        <w:t xml:space="preserve"> į</w:t>
      </w:r>
      <w:r w:rsidRPr="0077590E">
        <w:rPr>
          <w:rFonts w:cs="Arial"/>
          <w:bCs/>
          <w:sz w:val="20"/>
          <w:szCs w:val="20"/>
        </w:rPr>
        <w:t xml:space="preserve"> </w:t>
      </w:r>
      <w:r w:rsidRPr="000A4C10">
        <w:rPr>
          <w:rFonts w:cs="Arial"/>
          <w:bCs/>
          <w:i/>
          <w:iCs/>
          <w:sz w:val="20"/>
          <w:szCs w:val="20"/>
        </w:rPr>
        <w:t>EU Union Registry</w:t>
      </w:r>
      <w:r w:rsidRPr="0077590E">
        <w:rPr>
          <w:rFonts w:cs="Arial"/>
          <w:bCs/>
          <w:sz w:val="20"/>
          <w:szCs w:val="20"/>
        </w:rPr>
        <w:t xml:space="preserve"> informacin</w:t>
      </w:r>
      <w:r>
        <w:rPr>
          <w:rFonts w:cs="Arial"/>
          <w:bCs/>
          <w:sz w:val="20"/>
          <w:szCs w:val="20"/>
        </w:rPr>
        <w:t>ę</w:t>
      </w:r>
      <w:r w:rsidRPr="0077590E">
        <w:rPr>
          <w:rFonts w:cs="Arial"/>
          <w:bCs/>
          <w:sz w:val="20"/>
          <w:szCs w:val="20"/>
        </w:rPr>
        <w:t xml:space="preserve"> sistem</w:t>
      </w:r>
      <w:r>
        <w:rPr>
          <w:rFonts w:cs="Arial"/>
          <w:bCs/>
          <w:sz w:val="20"/>
          <w:szCs w:val="20"/>
        </w:rPr>
        <w:t>ą</w:t>
      </w:r>
      <w:r w:rsidRPr="0077590E">
        <w:rPr>
          <w:rFonts w:cs="Arial"/>
          <w:bCs/>
          <w:sz w:val="20"/>
          <w:szCs w:val="20"/>
        </w:rPr>
        <w:t xml:space="preserve"> audito metu nustatytus ŠESD kiekius (už 2025</w:t>
      </w:r>
      <w:r w:rsidR="00B927FD">
        <w:rPr>
          <w:rFonts w:cs="Arial"/>
          <w:bCs/>
          <w:sz w:val="20"/>
          <w:szCs w:val="20"/>
        </w:rPr>
        <w:t>, 2026, 2027</w:t>
      </w:r>
      <w:r>
        <w:rPr>
          <w:rFonts w:cs="Arial"/>
          <w:bCs/>
          <w:sz w:val="20"/>
          <w:szCs w:val="20"/>
        </w:rPr>
        <w:t xml:space="preserve"> (ATL 1)</w:t>
      </w:r>
      <w:r w:rsidRPr="0077590E">
        <w:rPr>
          <w:rFonts w:cs="Arial"/>
          <w:bCs/>
          <w:sz w:val="20"/>
          <w:szCs w:val="20"/>
        </w:rPr>
        <w:t>, 2026</w:t>
      </w:r>
      <w:r w:rsidR="00B927FD">
        <w:rPr>
          <w:rFonts w:cs="Arial"/>
          <w:bCs/>
          <w:sz w:val="20"/>
          <w:szCs w:val="20"/>
        </w:rPr>
        <w:t>, 2027</w:t>
      </w:r>
      <w:r w:rsidRPr="0077590E">
        <w:rPr>
          <w:rFonts w:cs="Arial"/>
          <w:bCs/>
          <w:sz w:val="20"/>
          <w:szCs w:val="20"/>
        </w:rPr>
        <w:t xml:space="preserve"> metus</w:t>
      </w:r>
      <w:r>
        <w:rPr>
          <w:rFonts w:cs="Arial"/>
          <w:bCs/>
          <w:sz w:val="20"/>
          <w:szCs w:val="20"/>
        </w:rPr>
        <w:t xml:space="preserve"> (ATL 2)</w:t>
      </w:r>
      <w:r w:rsidRPr="0077590E">
        <w:rPr>
          <w:rFonts w:cs="Arial"/>
          <w:bCs/>
          <w:sz w:val="20"/>
          <w:szCs w:val="20"/>
        </w:rPr>
        <w:t>).</w:t>
      </w:r>
    </w:p>
    <w:p w:rsidRPr="0043712E" w:rsidR="00FC1E11" w:rsidP="002509BE" w:rsidRDefault="00FC1E11" w14:paraId="2D0F3C4E" w14:textId="77777777">
      <w:pPr>
        <w:pStyle w:val="Sraopastraipa"/>
        <w:numPr>
          <w:ilvl w:val="0"/>
          <w:numId w:val="6"/>
        </w:numPr>
        <w:pBdr>
          <w:top w:val="single" w:color="auto" w:sz="4" w:space="1"/>
          <w:bottom w:val="single" w:color="auto" w:sz="4" w:space="1"/>
        </w:pBdr>
        <w:shd w:val="clear" w:color="auto" w:fill="EDEDED"/>
        <w:tabs>
          <w:tab w:val="left" w:pos="360"/>
        </w:tabs>
        <w:spacing w:before="120" w:after="120"/>
        <w:ind w:hanging="720"/>
        <w:contextualSpacing w:val="0"/>
        <w:jc w:val="both"/>
        <w:rPr>
          <w:rStyle w:val="Laukeliai"/>
          <w:rFonts w:eastAsia="Arial" w:cs="Arial"/>
          <w:b/>
          <w:bCs/>
          <w:szCs w:val="20"/>
        </w:rPr>
      </w:pPr>
      <w:r w:rsidRPr="0043712E">
        <w:rPr>
          <w:rStyle w:val="Laukeliai"/>
          <w:rFonts w:eastAsia="Arial" w:cs="Arial"/>
          <w:b/>
          <w:bCs/>
          <w:szCs w:val="20"/>
        </w:rPr>
        <w:t>KOKYBĖ IR TRŪKUMŲ ŠALINIMAS</w:t>
      </w:r>
    </w:p>
    <w:p w:rsidRPr="00106918" w:rsidR="00777BB7" w:rsidP="00777BB7" w:rsidRDefault="00CC6A75" w14:paraId="4AA11102" w14:textId="263CF86E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Style w:val="Laukeliai"/>
          <w:rFonts w:cs="Arial"/>
          <w:szCs w:val="20"/>
        </w:rPr>
      </w:pPr>
      <w:bookmarkStart w:name="_Hlk129609943" w:id="4"/>
      <w:r w:rsidRPr="00106918">
        <w:rPr>
          <w:rStyle w:val="Laukeliai"/>
          <w:rFonts w:cs="Arial"/>
          <w:szCs w:val="20"/>
        </w:rPr>
        <w:lastRenderedPageBreak/>
        <w:t>Paslaugų</w:t>
      </w:r>
      <w:r w:rsidRPr="00106918" w:rsidR="00EB0D32">
        <w:rPr>
          <w:rStyle w:val="Laukeliai"/>
          <w:rFonts w:cs="Arial"/>
          <w:szCs w:val="20"/>
        </w:rPr>
        <w:t xml:space="preserve"> ir (ar) Paslaugų rezultato trūkumais laikomi neatitikimai Techninės specifikacijos reikalavimams</w:t>
      </w:r>
      <w:r w:rsidRPr="00106918" w:rsidR="002B1A96">
        <w:rPr>
          <w:rStyle w:val="Laukeliai"/>
          <w:rFonts w:cs="Arial"/>
          <w:szCs w:val="20"/>
        </w:rPr>
        <w:t xml:space="preserve"> ir teisės aktams, reglamentuojantiems Paslaugų kokybę.</w:t>
      </w:r>
    </w:p>
    <w:p w:rsidRPr="00106918" w:rsidR="00E66F60" w:rsidP="00FF1D36" w:rsidRDefault="004D7D92" w14:paraId="05F86D2B" w14:textId="31A59389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Style w:val="Laukeliai"/>
          <w:rFonts w:cs="Arial"/>
          <w:szCs w:val="20"/>
        </w:rPr>
      </w:pPr>
      <w:r w:rsidRPr="00106918">
        <w:rPr>
          <w:rStyle w:val="Laukeliai"/>
          <w:rFonts w:cs="Arial"/>
          <w:szCs w:val="20"/>
        </w:rPr>
        <w:t>Perkantysis subj</w:t>
      </w:r>
      <w:r w:rsidRPr="00106918" w:rsidR="00D3754B">
        <w:rPr>
          <w:rStyle w:val="Laukeliai"/>
          <w:rFonts w:cs="Arial"/>
          <w:szCs w:val="20"/>
        </w:rPr>
        <w:t>ektas</w:t>
      </w:r>
      <w:r w:rsidRPr="00106918" w:rsidR="00FF1D36">
        <w:rPr>
          <w:rStyle w:val="Laukeliai"/>
          <w:rFonts w:cs="Arial"/>
          <w:szCs w:val="20"/>
        </w:rPr>
        <w:t xml:space="preserve"> turi teisę kreiptis į </w:t>
      </w:r>
      <w:r w:rsidRPr="00106918" w:rsidR="00D3754B">
        <w:rPr>
          <w:rStyle w:val="Laukeliai"/>
          <w:rFonts w:cs="Arial"/>
          <w:szCs w:val="20"/>
        </w:rPr>
        <w:t>Tiekėją</w:t>
      </w:r>
      <w:r w:rsidRPr="00106918" w:rsidR="00FF1D36">
        <w:rPr>
          <w:rStyle w:val="Laukeliai"/>
          <w:rFonts w:cs="Arial"/>
          <w:szCs w:val="20"/>
        </w:rPr>
        <w:t xml:space="preserve"> dėl Paslaugų ir (ar) Paslaugų rezultato trūkumų pašalinimo ne vėliau kaip per </w:t>
      </w:r>
      <w:r w:rsidRPr="00106918" w:rsidR="00D3754B">
        <w:rPr>
          <w:rStyle w:val="Laukeliai"/>
          <w:rFonts w:cs="Arial"/>
          <w:szCs w:val="20"/>
        </w:rPr>
        <w:t xml:space="preserve">5 </w:t>
      </w:r>
      <w:r w:rsidRPr="00106918" w:rsidR="00FF1D36">
        <w:rPr>
          <w:rStyle w:val="Laukeliai"/>
          <w:rFonts w:cs="Arial"/>
          <w:szCs w:val="20"/>
        </w:rPr>
        <w:t>(</w:t>
      </w:r>
      <w:r w:rsidRPr="00106918" w:rsidR="00D3754B">
        <w:rPr>
          <w:rStyle w:val="Laukeliai"/>
          <w:rFonts w:cs="Arial"/>
          <w:szCs w:val="20"/>
        </w:rPr>
        <w:t>penkias</w:t>
      </w:r>
      <w:r w:rsidRPr="00106918" w:rsidR="00FF1D36">
        <w:rPr>
          <w:rStyle w:val="Laukeliai"/>
          <w:rFonts w:cs="Arial"/>
          <w:szCs w:val="20"/>
        </w:rPr>
        <w:t xml:space="preserve">) </w:t>
      </w:r>
      <w:r w:rsidRPr="00106918" w:rsidR="004A1F56">
        <w:rPr>
          <w:rStyle w:val="Laukeliai"/>
          <w:rFonts w:cs="Arial"/>
          <w:szCs w:val="20"/>
        </w:rPr>
        <w:t xml:space="preserve">darbo </w:t>
      </w:r>
      <w:r w:rsidRPr="00106918" w:rsidR="00FF1D36">
        <w:rPr>
          <w:rStyle w:val="Laukeliai"/>
          <w:rFonts w:cs="Arial"/>
          <w:szCs w:val="20"/>
        </w:rPr>
        <w:t>dien</w:t>
      </w:r>
      <w:r w:rsidRPr="00106918" w:rsidR="00D3754B">
        <w:rPr>
          <w:rStyle w:val="Laukeliai"/>
          <w:rFonts w:cs="Arial"/>
          <w:szCs w:val="20"/>
        </w:rPr>
        <w:t>as</w:t>
      </w:r>
      <w:r w:rsidRPr="00106918" w:rsidR="00FF1D36">
        <w:rPr>
          <w:rStyle w:val="Laukeliai"/>
          <w:rFonts w:cs="Arial"/>
          <w:szCs w:val="20"/>
        </w:rPr>
        <w:t xml:space="preserve"> nuo trūkumų užfiksavimo dienos.</w:t>
      </w:r>
    </w:p>
    <w:p w:rsidRPr="00106918" w:rsidR="00FF1D36" w:rsidP="00FF1D36" w:rsidRDefault="00D3754B" w14:paraId="170C5E7B" w14:textId="0A02F202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Style w:val="Laukeliai"/>
          <w:rFonts w:cs="Arial"/>
          <w:szCs w:val="20"/>
        </w:rPr>
      </w:pPr>
      <w:r w:rsidRPr="00106918">
        <w:rPr>
          <w:rFonts w:cs="Arial"/>
          <w:sz w:val="20"/>
          <w:szCs w:val="20"/>
        </w:rPr>
        <w:t>Perkančiojo subjekto</w:t>
      </w:r>
      <w:r w:rsidRPr="00106918" w:rsidR="00FF1D36">
        <w:rPr>
          <w:rFonts w:cs="Arial"/>
          <w:sz w:val="20"/>
          <w:szCs w:val="20"/>
        </w:rPr>
        <w:t xml:space="preserve"> nustatytiems Paslaugų rezultato trūkumams šalinti nustatomas </w:t>
      </w:r>
      <w:r w:rsidRPr="00106918">
        <w:rPr>
          <w:rFonts w:cs="Arial"/>
          <w:sz w:val="20"/>
          <w:szCs w:val="20"/>
        </w:rPr>
        <w:t>10</w:t>
      </w:r>
      <w:r w:rsidRPr="00106918" w:rsidR="00FF1D36">
        <w:rPr>
          <w:rFonts w:cs="Arial"/>
          <w:sz w:val="20"/>
          <w:szCs w:val="20"/>
        </w:rPr>
        <w:t xml:space="preserve"> (</w:t>
      </w:r>
      <w:r w:rsidRPr="00106918">
        <w:rPr>
          <w:rFonts w:cs="Arial"/>
          <w:sz w:val="20"/>
          <w:szCs w:val="20"/>
        </w:rPr>
        <w:t>dienų</w:t>
      </w:r>
      <w:r w:rsidRPr="00106918" w:rsidR="00FF1D36">
        <w:rPr>
          <w:rFonts w:cs="Arial"/>
          <w:sz w:val="20"/>
          <w:szCs w:val="20"/>
        </w:rPr>
        <w:t xml:space="preserve">) </w:t>
      </w:r>
      <w:r w:rsidRPr="00106918" w:rsidR="004A1F56">
        <w:rPr>
          <w:rFonts w:cs="Arial"/>
          <w:sz w:val="20"/>
          <w:szCs w:val="20"/>
        </w:rPr>
        <w:t>darbo</w:t>
      </w:r>
      <w:r w:rsidRPr="00106918" w:rsidR="00D95DF8">
        <w:rPr>
          <w:rFonts w:cs="Arial"/>
          <w:sz w:val="20"/>
          <w:szCs w:val="20"/>
        </w:rPr>
        <w:t xml:space="preserve"> </w:t>
      </w:r>
      <w:r w:rsidRPr="00106918" w:rsidR="00FF1D36">
        <w:rPr>
          <w:rFonts w:cs="Arial"/>
          <w:sz w:val="20"/>
          <w:szCs w:val="20"/>
        </w:rPr>
        <w:t>dien</w:t>
      </w:r>
      <w:r w:rsidRPr="00106918">
        <w:rPr>
          <w:rFonts w:cs="Arial"/>
          <w:sz w:val="20"/>
          <w:szCs w:val="20"/>
        </w:rPr>
        <w:t>ų</w:t>
      </w:r>
      <w:r w:rsidRPr="00106918" w:rsidR="00FF1D36">
        <w:rPr>
          <w:rFonts w:cs="Arial"/>
          <w:sz w:val="20"/>
          <w:szCs w:val="20"/>
        </w:rPr>
        <w:t xml:space="preserve"> terminas.</w:t>
      </w:r>
    </w:p>
    <w:p w:rsidRPr="00106918" w:rsidR="00164D00" w:rsidP="00777BB7" w:rsidRDefault="005B6317" w14:paraId="7A943B4B" w14:textId="087A1EF1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106918">
        <w:rPr>
          <w:rFonts w:cs="Arial"/>
          <w:bCs/>
          <w:sz w:val="20"/>
          <w:szCs w:val="20"/>
        </w:rPr>
        <w:t>Tiekėjui tenkanti atsakomybė už P</w:t>
      </w:r>
      <w:r w:rsidRPr="00106918" w:rsidR="006F4495">
        <w:rPr>
          <w:rFonts w:cs="Arial"/>
          <w:bCs/>
          <w:sz w:val="20"/>
          <w:szCs w:val="20"/>
        </w:rPr>
        <w:t>aslaugų</w:t>
      </w:r>
      <w:r w:rsidRPr="00106918">
        <w:rPr>
          <w:rFonts w:cs="Arial"/>
          <w:bCs/>
          <w:sz w:val="20"/>
          <w:szCs w:val="20"/>
        </w:rPr>
        <w:t xml:space="preserve"> kokybę ir trūkumų šalinimą nurodyta </w:t>
      </w:r>
      <w:r w:rsidR="00565F11">
        <w:rPr>
          <w:rFonts w:cs="Arial"/>
          <w:bCs/>
          <w:sz w:val="20"/>
          <w:szCs w:val="20"/>
        </w:rPr>
        <w:t>S</w:t>
      </w:r>
      <w:r w:rsidRPr="00106918" w:rsidR="000C0DE4">
        <w:rPr>
          <w:rFonts w:cs="Arial"/>
          <w:bCs/>
          <w:sz w:val="20"/>
          <w:szCs w:val="20"/>
        </w:rPr>
        <w:t>utarties bendrosios dalies</w:t>
      </w:r>
      <w:r w:rsidRPr="00106918" w:rsidR="00A04434">
        <w:rPr>
          <w:rFonts w:cs="Arial"/>
          <w:bCs/>
          <w:sz w:val="20"/>
          <w:szCs w:val="20"/>
        </w:rPr>
        <w:t xml:space="preserve"> </w:t>
      </w:r>
      <w:r w:rsidRPr="00106918" w:rsidR="00A24F69">
        <w:rPr>
          <w:rFonts w:cs="Arial"/>
          <w:bCs/>
          <w:sz w:val="20"/>
          <w:szCs w:val="20"/>
        </w:rPr>
        <w:t>6</w:t>
      </w:r>
      <w:r w:rsidRPr="00106918" w:rsidR="00A04434">
        <w:rPr>
          <w:rFonts w:cs="Arial"/>
          <w:bCs/>
          <w:sz w:val="20"/>
          <w:szCs w:val="20"/>
        </w:rPr>
        <w:t xml:space="preserve"> dalyje. </w:t>
      </w:r>
    </w:p>
    <w:bookmarkEnd w:id="0"/>
    <w:bookmarkEnd w:id="4"/>
    <w:p w:rsidRPr="0043712E" w:rsidR="00FC1E11" w:rsidP="00A70A30" w:rsidRDefault="00FC1E11" w14:paraId="7046E646" w14:textId="2DEB2AFE">
      <w:pPr>
        <w:pStyle w:val="Sraopastraipa"/>
        <w:numPr>
          <w:ilvl w:val="0"/>
          <w:numId w:val="6"/>
        </w:numPr>
        <w:pBdr>
          <w:top w:val="single" w:color="auto" w:sz="4" w:space="1"/>
          <w:bottom w:val="single" w:color="auto" w:sz="4" w:space="1"/>
        </w:pBdr>
        <w:shd w:val="clear" w:color="auto" w:fill="EDEDED"/>
        <w:tabs>
          <w:tab w:val="left" w:pos="360"/>
        </w:tabs>
        <w:spacing w:before="120" w:after="120"/>
        <w:ind w:hanging="720"/>
        <w:contextualSpacing w:val="0"/>
        <w:jc w:val="both"/>
        <w:rPr>
          <w:rStyle w:val="Laukeliai"/>
          <w:rFonts w:eastAsia="Arial" w:cs="Arial"/>
          <w:b/>
          <w:bCs/>
          <w:szCs w:val="20"/>
        </w:rPr>
      </w:pPr>
      <w:r w:rsidRPr="0043712E">
        <w:rPr>
          <w:rStyle w:val="Laukeliai"/>
          <w:rFonts w:eastAsia="Arial" w:cs="Arial"/>
          <w:b/>
          <w:bCs/>
          <w:szCs w:val="20"/>
        </w:rPr>
        <w:t xml:space="preserve">KARTU SU </w:t>
      </w:r>
      <w:r w:rsidR="00F55F91">
        <w:rPr>
          <w:rStyle w:val="Laukeliai"/>
          <w:rFonts w:eastAsia="Arial" w:cs="Arial"/>
          <w:b/>
          <w:bCs/>
          <w:szCs w:val="20"/>
        </w:rPr>
        <w:t xml:space="preserve">TEIKIAMOMIS PASLAUGOMIS </w:t>
      </w:r>
      <w:r w:rsidRPr="0043712E">
        <w:rPr>
          <w:rStyle w:val="Laukeliai"/>
          <w:rFonts w:eastAsia="Arial" w:cs="Arial"/>
          <w:b/>
          <w:bCs/>
          <w:szCs w:val="20"/>
        </w:rPr>
        <w:t>PATEIKIAMI DOKUMENTAI</w:t>
      </w:r>
    </w:p>
    <w:p w:rsidRPr="00106918" w:rsidR="00E83809" w:rsidP="001671F3" w:rsidRDefault="00FC1E11" w14:paraId="7752C36B" w14:textId="74BE39C5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709" w:hanging="720"/>
        <w:jc w:val="both"/>
        <w:rPr>
          <w:rStyle w:val="Laukeliai"/>
          <w:rFonts w:cs="Arial"/>
          <w:iCs/>
          <w:szCs w:val="20"/>
        </w:rPr>
      </w:pPr>
      <w:r w:rsidRPr="00106918">
        <w:rPr>
          <w:rStyle w:val="Laukeliai"/>
          <w:rFonts w:cs="Arial"/>
          <w:iCs/>
          <w:szCs w:val="20"/>
        </w:rPr>
        <w:t>P</w:t>
      </w:r>
      <w:r w:rsidRPr="00106918" w:rsidR="00F55F91">
        <w:rPr>
          <w:rStyle w:val="Laukeliai"/>
          <w:rFonts w:cs="Arial"/>
          <w:iCs/>
          <w:szCs w:val="20"/>
        </w:rPr>
        <w:t>as</w:t>
      </w:r>
      <w:r w:rsidRPr="00106918" w:rsidR="00A71D56">
        <w:rPr>
          <w:rStyle w:val="Laukeliai"/>
          <w:rFonts w:cs="Arial"/>
          <w:iCs/>
          <w:szCs w:val="20"/>
        </w:rPr>
        <w:t>laugų</w:t>
      </w:r>
      <w:r w:rsidRPr="00106918">
        <w:rPr>
          <w:rStyle w:val="Laukeliai"/>
          <w:rFonts w:cs="Arial"/>
          <w:iCs/>
          <w:szCs w:val="20"/>
        </w:rPr>
        <w:t xml:space="preserve"> priėmimo</w:t>
      </w:r>
      <w:r w:rsidRPr="00106918" w:rsidR="006177E9">
        <w:rPr>
          <w:rStyle w:val="Laukeliai"/>
          <w:rFonts w:cs="Arial"/>
          <w:iCs/>
          <w:szCs w:val="20"/>
        </w:rPr>
        <w:t>–</w:t>
      </w:r>
      <w:r w:rsidRPr="00106918">
        <w:rPr>
          <w:rStyle w:val="Laukeliai"/>
          <w:rFonts w:cs="Arial"/>
          <w:iCs/>
          <w:szCs w:val="20"/>
        </w:rPr>
        <w:t>perdavimo aktai.</w:t>
      </w:r>
    </w:p>
    <w:p w:rsidRPr="00106918" w:rsidR="00164D00" w:rsidP="001671F3" w:rsidRDefault="00106918" w14:paraId="1C861AA4" w14:textId="3CD7AF12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709" w:hanging="720"/>
        <w:jc w:val="both"/>
        <w:rPr>
          <w:rFonts w:cs="Arial"/>
          <w:iCs/>
          <w:sz w:val="20"/>
          <w:szCs w:val="20"/>
        </w:rPr>
      </w:pPr>
      <w:r w:rsidRPr="00106918">
        <w:rPr>
          <w:rStyle w:val="Laukeliai"/>
          <w:rFonts w:cs="Arial"/>
          <w:iCs/>
          <w:szCs w:val="20"/>
        </w:rPr>
        <w:t>Vertinimo pažymos</w:t>
      </w:r>
      <w:r w:rsidR="000A4C10">
        <w:rPr>
          <w:rStyle w:val="Laukeliai"/>
          <w:rFonts w:cs="Arial"/>
          <w:iCs/>
          <w:szCs w:val="20"/>
        </w:rPr>
        <w:t>.</w:t>
      </w:r>
    </w:p>
    <w:sectPr w:rsidRPr="00106918" w:rsidR="00164D00" w:rsidSect="005517EC">
      <w:headerReference w:type="default" r:id="rId9"/>
      <w:footerReference w:type="default" r:id="rId10"/>
      <w:headerReference w:type="first" r:id="rId11"/>
      <w:footerReference w:type="first" r:id="rId12"/>
      <w:pgSz w:w="11906" w:h="16838" w:orient="portrait" w:code="9"/>
      <w:pgMar w:top="1418" w:right="1134" w:bottom="1134" w:left="1134" w:header="425" w:footer="544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1DF6" w:rsidP="002D3D62" w:rsidRDefault="00EE1DF6" w14:paraId="6F2643C8" w14:textId="77777777">
      <w:r>
        <w:separator/>
      </w:r>
    </w:p>
  </w:endnote>
  <w:endnote w:type="continuationSeparator" w:id="0">
    <w:p w:rsidR="00EE1DF6" w:rsidP="002D3D62" w:rsidRDefault="00EE1DF6" w14:paraId="581C2AB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8005"/>
      <w:gridCol w:w="1633"/>
    </w:tblGrid>
    <w:tr w:rsidRPr="000D4EE7" w:rsidR="00A70A30" w:rsidTr="00A70A30" w14:paraId="5EBF47FC" w14:textId="77777777">
      <w:tc>
        <w:tcPr>
          <w:tcW w:w="4153" w:type="pct"/>
        </w:tcPr>
        <w:p w:rsidRPr="000D4EE7" w:rsidR="00A70A30" w:rsidP="00A70A30" w:rsidRDefault="00A70A30" w14:paraId="71398034" w14:textId="77777777">
          <w:pPr>
            <w:pStyle w:val="Porat"/>
            <w:rPr>
              <w:rFonts w:cs="Arial"/>
              <w:sz w:val="14"/>
              <w:szCs w:val="14"/>
            </w:rPr>
          </w:pPr>
          <w:r w:rsidRPr="000D4EE7">
            <w:rPr>
              <w:rFonts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847" w:type="pct"/>
        </w:tcPr>
        <w:sdt>
          <w:sdtPr>
            <w:rPr>
              <w:rFonts w:cs="Arial"/>
              <w:sz w:val="14"/>
              <w:szCs w:val="14"/>
            </w:rPr>
            <w:id w:val="-926351958"/>
            <w:docPartObj>
              <w:docPartGallery w:val="Page Numbers (Top of Page)"/>
              <w:docPartUnique/>
            </w:docPartObj>
          </w:sdtPr>
          <w:sdtContent>
            <w:p w:rsidRPr="000D4EE7" w:rsidR="00A70A30" w:rsidP="00A70A30" w:rsidRDefault="00A70A30" w14:paraId="45F83969" w14:textId="77777777">
              <w:pPr>
                <w:pStyle w:val="Porat"/>
                <w:jc w:val="right"/>
                <w:rPr>
                  <w:rFonts w:cs="Arial"/>
                  <w:sz w:val="14"/>
                  <w:szCs w:val="14"/>
                </w:rPr>
              </w:pPr>
              <w:r w:rsidRPr="000D4EE7">
                <w:rPr>
                  <w:rFonts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1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6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:rsidR="00A70A30" w:rsidRDefault="00A70A30" w14:paraId="71083EF7" w14:textId="7777777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8080"/>
      <w:gridCol w:w="1551"/>
    </w:tblGrid>
    <w:tr w:rsidRPr="000D4EE7" w:rsidR="009167AA" w:rsidTr="00AC393B" w14:paraId="62242F11" w14:textId="77777777">
      <w:tc>
        <w:tcPr>
          <w:tcW w:w="8080" w:type="dxa"/>
        </w:tcPr>
        <w:p w:rsidRPr="000D4EE7" w:rsidR="009167AA" w:rsidP="009167AA" w:rsidRDefault="009167AA" w14:paraId="4D774AF2" w14:textId="77777777">
          <w:pPr>
            <w:pStyle w:val="Porat"/>
            <w:rPr>
              <w:rFonts w:cs="Arial"/>
              <w:sz w:val="14"/>
              <w:szCs w:val="14"/>
            </w:rPr>
          </w:pPr>
          <w:r w:rsidRPr="000D4EE7">
            <w:rPr>
              <w:rFonts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1551" w:type="dxa"/>
        </w:tcPr>
        <w:sdt>
          <w:sdtPr>
            <w:rPr>
              <w:rFonts w:cs="Arial"/>
              <w:sz w:val="14"/>
              <w:szCs w:val="14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p w:rsidRPr="000D4EE7" w:rsidR="009167AA" w:rsidP="009167AA" w:rsidRDefault="009167AA" w14:paraId="74830A04" w14:textId="77777777">
              <w:pPr>
                <w:pStyle w:val="Porat"/>
                <w:jc w:val="right"/>
                <w:rPr>
                  <w:rFonts w:cs="Arial"/>
                  <w:sz w:val="14"/>
                  <w:szCs w:val="14"/>
                </w:rPr>
              </w:pPr>
              <w:r w:rsidRPr="000D4EE7">
                <w:rPr>
                  <w:rFonts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1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6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:rsidR="009167AA" w:rsidRDefault="009167AA" w14:paraId="7CB3E29A" w14:textId="7777777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1DF6" w:rsidP="002D3D62" w:rsidRDefault="00EE1DF6" w14:paraId="17CA802B" w14:textId="77777777">
      <w:r>
        <w:separator/>
      </w:r>
    </w:p>
  </w:footnote>
  <w:footnote w:type="continuationSeparator" w:id="0">
    <w:p w:rsidR="00EE1DF6" w:rsidP="002D3D62" w:rsidRDefault="00EE1DF6" w14:paraId="7A06BEF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5517EC" w:rsidP="005517EC" w:rsidRDefault="005517EC" w14:paraId="44848E7F" w14:textId="77777777">
    <w:pPr>
      <w:pStyle w:val="Antrats"/>
      <w:ind w:firstLine="0"/>
    </w:pPr>
    <w:r>
      <w:rPr>
        <w:noProof/>
      </w:rPr>
      <w:drawing>
        <wp:inline distT="0" distB="0" distL="0" distR="0" wp14:anchorId="2C5B828B" wp14:editId="4DABD142">
          <wp:extent cx="1600200" cy="457200"/>
          <wp:effectExtent l="0" t="0" r="0" b="0"/>
          <wp:docPr id="44252308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 w:rsidRPr="00E71CF5">
      <w:rPr>
        <w:rFonts w:cs="Arial"/>
        <w:sz w:val="14"/>
        <w:szCs w:val="14"/>
      </w:rPr>
      <w:t>FO.3.4.2-1</w:t>
    </w:r>
  </w:p>
  <w:p w:rsidR="00FC1E11" w:rsidP="002D3D62" w:rsidRDefault="00FC1E11" w14:paraId="10B23A9B" w14:textId="1D223629">
    <w:pPr>
      <w:pStyle w:val="Antrats"/>
      <w:ind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FC1E11" w:rsidP="002D3D62" w:rsidRDefault="002D3D62" w14:paraId="7F774349" w14:textId="30CB9A76">
    <w:pPr>
      <w:pStyle w:val="Antrats"/>
      <w:ind w:firstLine="0"/>
    </w:pPr>
    <w:r>
      <w:rPr>
        <w:noProof/>
      </w:rPr>
      <w:drawing>
        <wp:inline distT="0" distB="0" distL="0" distR="0" wp14:anchorId="233F8DE4" wp14:editId="738E83D2">
          <wp:extent cx="1600200" cy="457200"/>
          <wp:effectExtent l="0" t="0" r="0" b="0"/>
          <wp:docPr id="2067773546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E71CF5">
      <w:tab/>
    </w:r>
    <w:r w:rsidR="00E71CF5">
      <w:tab/>
    </w:r>
    <w:r w:rsidRPr="00E71CF5" w:rsidR="00E71CF5">
      <w:rPr>
        <w:rFonts w:cs="Arial"/>
        <w:sz w:val="14"/>
        <w:szCs w:val="14"/>
      </w:rPr>
      <w:t>FO.3.4.2-1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30F1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E461CE0"/>
    <w:multiLevelType w:val="multilevel"/>
    <w:tmpl w:val="CF1AB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6674BF2"/>
    <w:multiLevelType w:val="multilevel"/>
    <w:tmpl w:val="A454C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 w:ascii="Arial" w:hAnsi="Arial" w:cs="Arial"/>
        <w:b w:val="0"/>
        <w:i w:val="0"/>
        <w:i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3D313937"/>
    <w:multiLevelType w:val="multilevel"/>
    <w:tmpl w:val="C1A44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98015C4"/>
    <w:multiLevelType w:val="multilevel"/>
    <w:tmpl w:val="CF1AB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D907C8F"/>
    <w:multiLevelType w:val="multilevel"/>
    <w:tmpl w:val="20140AA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2CD6ACD"/>
    <w:multiLevelType w:val="multilevel"/>
    <w:tmpl w:val="00AAD14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80121E1"/>
    <w:multiLevelType w:val="multilevel"/>
    <w:tmpl w:val="494AFD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D696AA1"/>
    <w:multiLevelType w:val="multilevel"/>
    <w:tmpl w:val="53823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69237963">
    <w:abstractNumId w:val="3"/>
  </w:num>
  <w:num w:numId="2" w16cid:durableId="390009096">
    <w:abstractNumId w:val="2"/>
  </w:num>
  <w:num w:numId="3" w16cid:durableId="288828410">
    <w:abstractNumId w:val="1"/>
  </w:num>
  <w:num w:numId="4" w16cid:durableId="1975020092">
    <w:abstractNumId w:val="7"/>
  </w:num>
  <w:num w:numId="5" w16cid:durableId="541359198">
    <w:abstractNumId w:val="6"/>
  </w:num>
  <w:num w:numId="6" w16cid:durableId="1317764691">
    <w:abstractNumId w:val="5"/>
  </w:num>
  <w:num w:numId="7" w16cid:durableId="610669460">
    <w:abstractNumId w:val="0"/>
  </w:num>
  <w:num w:numId="8" w16cid:durableId="4478202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18919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070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BF"/>
    <w:rsid w:val="00000535"/>
    <w:rsid w:val="00004570"/>
    <w:rsid w:val="00015FD9"/>
    <w:rsid w:val="00021E89"/>
    <w:rsid w:val="00026CE7"/>
    <w:rsid w:val="0003080C"/>
    <w:rsid w:val="00031D79"/>
    <w:rsid w:val="00041E1A"/>
    <w:rsid w:val="00051C72"/>
    <w:rsid w:val="0005235A"/>
    <w:rsid w:val="00061697"/>
    <w:rsid w:val="000831DA"/>
    <w:rsid w:val="000A4C10"/>
    <w:rsid w:val="000B23EE"/>
    <w:rsid w:val="000B2810"/>
    <w:rsid w:val="000C0DE4"/>
    <w:rsid w:val="000C3717"/>
    <w:rsid w:val="000E31DC"/>
    <w:rsid w:val="000E6F54"/>
    <w:rsid w:val="000F536D"/>
    <w:rsid w:val="00106918"/>
    <w:rsid w:val="00123A00"/>
    <w:rsid w:val="00142B95"/>
    <w:rsid w:val="00154F48"/>
    <w:rsid w:val="001552A2"/>
    <w:rsid w:val="00164D00"/>
    <w:rsid w:val="00166164"/>
    <w:rsid w:val="001671F3"/>
    <w:rsid w:val="001679E3"/>
    <w:rsid w:val="00170316"/>
    <w:rsid w:val="001716A9"/>
    <w:rsid w:val="00172D4D"/>
    <w:rsid w:val="001A3061"/>
    <w:rsid w:val="001A6475"/>
    <w:rsid w:val="001A75BB"/>
    <w:rsid w:val="001B0335"/>
    <w:rsid w:val="001B18DB"/>
    <w:rsid w:val="001C105E"/>
    <w:rsid w:val="001D5791"/>
    <w:rsid w:val="001E3258"/>
    <w:rsid w:val="001F06BF"/>
    <w:rsid w:val="001F2411"/>
    <w:rsid w:val="001F27E8"/>
    <w:rsid w:val="001F2ABD"/>
    <w:rsid w:val="001F70D7"/>
    <w:rsid w:val="001F7630"/>
    <w:rsid w:val="00202ED0"/>
    <w:rsid w:val="00203486"/>
    <w:rsid w:val="00211742"/>
    <w:rsid w:val="002224D7"/>
    <w:rsid w:val="00244D2B"/>
    <w:rsid w:val="002473B0"/>
    <w:rsid w:val="002509BE"/>
    <w:rsid w:val="00251719"/>
    <w:rsid w:val="00254842"/>
    <w:rsid w:val="0027086F"/>
    <w:rsid w:val="002775AA"/>
    <w:rsid w:val="00286880"/>
    <w:rsid w:val="002871B9"/>
    <w:rsid w:val="002875A2"/>
    <w:rsid w:val="00290FF8"/>
    <w:rsid w:val="002B1A96"/>
    <w:rsid w:val="002C5C47"/>
    <w:rsid w:val="002C638D"/>
    <w:rsid w:val="002D3D62"/>
    <w:rsid w:val="002E3735"/>
    <w:rsid w:val="002E3805"/>
    <w:rsid w:val="002F0833"/>
    <w:rsid w:val="002F5B41"/>
    <w:rsid w:val="00330B94"/>
    <w:rsid w:val="00331D62"/>
    <w:rsid w:val="00333E3C"/>
    <w:rsid w:val="00333F4D"/>
    <w:rsid w:val="00341DCE"/>
    <w:rsid w:val="00343A19"/>
    <w:rsid w:val="00356874"/>
    <w:rsid w:val="00364EB4"/>
    <w:rsid w:val="0038091B"/>
    <w:rsid w:val="00383CEA"/>
    <w:rsid w:val="00395633"/>
    <w:rsid w:val="003A017B"/>
    <w:rsid w:val="003A31B1"/>
    <w:rsid w:val="003A3BC9"/>
    <w:rsid w:val="003B09D1"/>
    <w:rsid w:val="003C4BED"/>
    <w:rsid w:val="003C5276"/>
    <w:rsid w:val="003C70B2"/>
    <w:rsid w:val="003C731B"/>
    <w:rsid w:val="003D3BD3"/>
    <w:rsid w:val="003E14F6"/>
    <w:rsid w:val="004014B8"/>
    <w:rsid w:val="00402AE3"/>
    <w:rsid w:val="0042723C"/>
    <w:rsid w:val="00431C7E"/>
    <w:rsid w:val="004351F5"/>
    <w:rsid w:val="0043613D"/>
    <w:rsid w:val="00437B26"/>
    <w:rsid w:val="00447B4E"/>
    <w:rsid w:val="00450FEB"/>
    <w:rsid w:val="00456ACE"/>
    <w:rsid w:val="0047704D"/>
    <w:rsid w:val="00484A7A"/>
    <w:rsid w:val="00487660"/>
    <w:rsid w:val="00492FF2"/>
    <w:rsid w:val="004A1F56"/>
    <w:rsid w:val="004A72D0"/>
    <w:rsid w:val="004B0F74"/>
    <w:rsid w:val="004B7029"/>
    <w:rsid w:val="004C0E80"/>
    <w:rsid w:val="004D7D92"/>
    <w:rsid w:val="004E1E8C"/>
    <w:rsid w:val="004E3BAE"/>
    <w:rsid w:val="004E6E5E"/>
    <w:rsid w:val="004E707C"/>
    <w:rsid w:val="004F3C4B"/>
    <w:rsid w:val="00502D2C"/>
    <w:rsid w:val="00505E24"/>
    <w:rsid w:val="00505F28"/>
    <w:rsid w:val="005062ED"/>
    <w:rsid w:val="00510C8F"/>
    <w:rsid w:val="00510D4C"/>
    <w:rsid w:val="00545C45"/>
    <w:rsid w:val="00545DCE"/>
    <w:rsid w:val="00547F2B"/>
    <w:rsid w:val="005505EE"/>
    <w:rsid w:val="005517EC"/>
    <w:rsid w:val="00552DEC"/>
    <w:rsid w:val="00552F98"/>
    <w:rsid w:val="0055637F"/>
    <w:rsid w:val="00565F11"/>
    <w:rsid w:val="0057152C"/>
    <w:rsid w:val="00575CA6"/>
    <w:rsid w:val="00581AA9"/>
    <w:rsid w:val="00582BC6"/>
    <w:rsid w:val="00582E0B"/>
    <w:rsid w:val="00590263"/>
    <w:rsid w:val="005B3CF7"/>
    <w:rsid w:val="005B3E46"/>
    <w:rsid w:val="005B6317"/>
    <w:rsid w:val="005C0C61"/>
    <w:rsid w:val="005C7D5B"/>
    <w:rsid w:val="005D736F"/>
    <w:rsid w:val="005E188A"/>
    <w:rsid w:val="005F6FCC"/>
    <w:rsid w:val="00612C10"/>
    <w:rsid w:val="006177E9"/>
    <w:rsid w:val="00625F0D"/>
    <w:rsid w:val="006301C7"/>
    <w:rsid w:val="00631D5B"/>
    <w:rsid w:val="00635DB4"/>
    <w:rsid w:val="0064070D"/>
    <w:rsid w:val="00650D5D"/>
    <w:rsid w:val="00655491"/>
    <w:rsid w:val="00655FF0"/>
    <w:rsid w:val="006565B6"/>
    <w:rsid w:val="00657E05"/>
    <w:rsid w:val="00670185"/>
    <w:rsid w:val="00673CBC"/>
    <w:rsid w:val="00684C1F"/>
    <w:rsid w:val="0068728A"/>
    <w:rsid w:val="006A23F9"/>
    <w:rsid w:val="006A450A"/>
    <w:rsid w:val="006B6980"/>
    <w:rsid w:val="006C5114"/>
    <w:rsid w:val="006D0EB5"/>
    <w:rsid w:val="006D48ED"/>
    <w:rsid w:val="006E656A"/>
    <w:rsid w:val="006F4495"/>
    <w:rsid w:val="00706479"/>
    <w:rsid w:val="00717867"/>
    <w:rsid w:val="0072512B"/>
    <w:rsid w:val="00742E85"/>
    <w:rsid w:val="00744A12"/>
    <w:rsid w:val="007571DA"/>
    <w:rsid w:val="00757E88"/>
    <w:rsid w:val="007713F1"/>
    <w:rsid w:val="0077590E"/>
    <w:rsid w:val="00777BB7"/>
    <w:rsid w:val="00782074"/>
    <w:rsid w:val="0078223D"/>
    <w:rsid w:val="00794E24"/>
    <w:rsid w:val="00796907"/>
    <w:rsid w:val="007A4EB7"/>
    <w:rsid w:val="007A78EC"/>
    <w:rsid w:val="007B2AA5"/>
    <w:rsid w:val="007C01FD"/>
    <w:rsid w:val="007C71D9"/>
    <w:rsid w:val="007D2195"/>
    <w:rsid w:val="007D5E3B"/>
    <w:rsid w:val="007E22FD"/>
    <w:rsid w:val="007E394A"/>
    <w:rsid w:val="007F3202"/>
    <w:rsid w:val="008025B0"/>
    <w:rsid w:val="0080613A"/>
    <w:rsid w:val="00832210"/>
    <w:rsid w:val="00837229"/>
    <w:rsid w:val="0084556B"/>
    <w:rsid w:val="00850AD8"/>
    <w:rsid w:val="0086484E"/>
    <w:rsid w:val="00873C8B"/>
    <w:rsid w:val="00884F54"/>
    <w:rsid w:val="00892C2F"/>
    <w:rsid w:val="0089651C"/>
    <w:rsid w:val="008A5D4B"/>
    <w:rsid w:val="008A6D4A"/>
    <w:rsid w:val="008A71CE"/>
    <w:rsid w:val="008B0F3F"/>
    <w:rsid w:val="008B20A8"/>
    <w:rsid w:val="008B3997"/>
    <w:rsid w:val="008B3E12"/>
    <w:rsid w:val="008B47D1"/>
    <w:rsid w:val="008B4ED0"/>
    <w:rsid w:val="008B7415"/>
    <w:rsid w:val="008C1DE3"/>
    <w:rsid w:val="008D038F"/>
    <w:rsid w:val="008D063D"/>
    <w:rsid w:val="008D5442"/>
    <w:rsid w:val="008E2D12"/>
    <w:rsid w:val="008E5B36"/>
    <w:rsid w:val="008F440B"/>
    <w:rsid w:val="008F7517"/>
    <w:rsid w:val="0091026B"/>
    <w:rsid w:val="009148F5"/>
    <w:rsid w:val="009167AA"/>
    <w:rsid w:val="00927FB1"/>
    <w:rsid w:val="00931C4D"/>
    <w:rsid w:val="00944584"/>
    <w:rsid w:val="00945CFA"/>
    <w:rsid w:val="009650CD"/>
    <w:rsid w:val="00971961"/>
    <w:rsid w:val="00972A43"/>
    <w:rsid w:val="00976CCE"/>
    <w:rsid w:val="00980A28"/>
    <w:rsid w:val="00985A94"/>
    <w:rsid w:val="009A292A"/>
    <w:rsid w:val="009C0D37"/>
    <w:rsid w:val="009C1812"/>
    <w:rsid w:val="009C2EE4"/>
    <w:rsid w:val="009D2411"/>
    <w:rsid w:val="009D253E"/>
    <w:rsid w:val="009D75D2"/>
    <w:rsid w:val="009E263B"/>
    <w:rsid w:val="009E2C77"/>
    <w:rsid w:val="009E643A"/>
    <w:rsid w:val="009E78C5"/>
    <w:rsid w:val="009F170A"/>
    <w:rsid w:val="009F214F"/>
    <w:rsid w:val="00A036A4"/>
    <w:rsid w:val="00A04434"/>
    <w:rsid w:val="00A12BF4"/>
    <w:rsid w:val="00A24F69"/>
    <w:rsid w:val="00A277E2"/>
    <w:rsid w:val="00A3078A"/>
    <w:rsid w:val="00A405B8"/>
    <w:rsid w:val="00A44E58"/>
    <w:rsid w:val="00A54B3B"/>
    <w:rsid w:val="00A56A32"/>
    <w:rsid w:val="00A666FE"/>
    <w:rsid w:val="00A70A30"/>
    <w:rsid w:val="00A71D56"/>
    <w:rsid w:val="00A769B1"/>
    <w:rsid w:val="00A76EF1"/>
    <w:rsid w:val="00A7713D"/>
    <w:rsid w:val="00A80D4A"/>
    <w:rsid w:val="00A8640A"/>
    <w:rsid w:val="00A90F89"/>
    <w:rsid w:val="00A92C3F"/>
    <w:rsid w:val="00A9367E"/>
    <w:rsid w:val="00AA3960"/>
    <w:rsid w:val="00AC393B"/>
    <w:rsid w:val="00AF04E7"/>
    <w:rsid w:val="00AF399E"/>
    <w:rsid w:val="00AF45AB"/>
    <w:rsid w:val="00AF556D"/>
    <w:rsid w:val="00AF74A3"/>
    <w:rsid w:val="00B27E57"/>
    <w:rsid w:val="00B34BB2"/>
    <w:rsid w:val="00B430EC"/>
    <w:rsid w:val="00B45ED6"/>
    <w:rsid w:val="00B4614C"/>
    <w:rsid w:val="00B50284"/>
    <w:rsid w:val="00B60A06"/>
    <w:rsid w:val="00B63239"/>
    <w:rsid w:val="00B63C6D"/>
    <w:rsid w:val="00B676D9"/>
    <w:rsid w:val="00B70432"/>
    <w:rsid w:val="00B70D8D"/>
    <w:rsid w:val="00B72545"/>
    <w:rsid w:val="00B81B8F"/>
    <w:rsid w:val="00B87C08"/>
    <w:rsid w:val="00B90FCB"/>
    <w:rsid w:val="00B927FD"/>
    <w:rsid w:val="00BA6BD8"/>
    <w:rsid w:val="00BB4C78"/>
    <w:rsid w:val="00BC2049"/>
    <w:rsid w:val="00BD1B6F"/>
    <w:rsid w:val="00BE1E04"/>
    <w:rsid w:val="00BE3300"/>
    <w:rsid w:val="00BF03B7"/>
    <w:rsid w:val="00BF31A8"/>
    <w:rsid w:val="00BF31B5"/>
    <w:rsid w:val="00BF76B0"/>
    <w:rsid w:val="00C00057"/>
    <w:rsid w:val="00C03B19"/>
    <w:rsid w:val="00C051D5"/>
    <w:rsid w:val="00C274E2"/>
    <w:rsid w:val="00C27C78"/>
    <w:rsid w:val="00C3397E"/>
    <w:rsid w:val="00C360D0"/>
    <w:rsid w:val="00C365EC"/>
    <w:rsid w:val="00C653C2"/>
    <w:rsid w:val="00C67042"/>
    <w:rsid w:val="00C70EB3"/>
    <w:rsid w:val="00C7457F"/>
    <w:rsid w:val="00C805CB"/>
    <w:rsid w:val="00C80842"/>
    <w:rsid w:val="00C81803"/>
    <w:rsid w:val="00CA325A"/>
    <w:rsid w:val="00CB4FAA"/>
    <w:rsid w:val="00CB58D7"/>
    <w:rsid w:val="00CC16C3"/>
    <w:rsid w:val="00CC6A75"/>
    <w:rsid w:val="00CD79FC"/>
    <w:rsid w:val="00CE0EA1"/>
    <w:rsid w:val="00D05DA9"/>
    <w:rsid w:val="00D11130"/>
    <w:rsid w:val="00D3754B"/>
    <w:rsid w:val="00D41F49"/>
    <w:rsid w:val="00D628F6"/>
    <w:rsid w:val="00D66579"/>
    <w:rsid w:val="00D72BB0"/>
    <w:rsid w:val="00D76C3A"/>
    <w:rsid w:val="00D820CE"/>
    <w:rsid w:val="00D843D5"/>
    <w:rsid w:val="00D95DF8"/>
    <w:rsid w:val="00DC1C55"/>
    <w:rsid w:val="00DF3C75"/>
    <w:rsid w:val="00DF7236"/>
    <w:rsid w:val="00E144E1"/>
    <w:rsid w:val="00E2345B"/>
    <w:rsid w:val="00E23B1E"/>
    <w:rsid w:val="00E2760B"/>
    <w:rsid w:val="00E42025"/>
    <w:rsid w:val="00E45265"/>
    <w:rsid w:val="00E53BFA"/>
    <w:rsid w:val="00E6481D"/>
    <w:rsid w:val="00E66F60"/>
    <w:rsid w:val="00E70821"/>
    <w:rsid w:val="00E71CF5"/>
    <w:rsid w:val="00E83809"/>
    <w:rsid w:val="00E86D12"/>
    <w:rsid w:val="00E87B79"/>
    <w:rsid w:val="00E917FA"/>
    <w:rsid w:val="00EA26D5"/>
    <w:rsid w:val="00EB0D32"/>
    <w:rsid w:val="00ED3BFD"/>
    <w:rsid w:val="00ED71CD"/>
    <w:rsid w:val="00ED7DA9"/>
    <w:rsid w:val="00EE1DF6"/>
    <w:rsid w:val="00EE4F78"/>
    <w:rsid w:val="00F0709C"/>
    <w:rsid w:val="00F177F3"/>
    <w:rsid w:val="00F21548"/>
    <w:rsid w:val="00F42C51"/>
    <w:rsid w:val="00F45757"/>
    <w:rsid w:val="00F5543A"/>
    <w:rsid w:val="00F55BCB"/>
    <w:rsid w:val="00F55F91"/>
    <w:rsid w:val="00F62940"/>
    <w:rsid w:val="00F64FDB"/>
    <w:rsid w:val="00F766B5"/>
    <w:rsid w:val="00F82EBC"/>
    <w:rsid w:val="00F873AF"/>
    <w:rsid w:val="00FA6F95"/>
    <w:rsid w:val="00FB038B"/>
    <w:rsid w:val="00FB2EF8"/>
    <w:rsid w:val="00FB5F2E"/>
    <w:rsid w:val="00FC1E11"/>
    <w:rsid w:val="00FD7B68"/>
    <w:rsid w:val="00FE2903"/>
    <w:rsid w:val="00FE6BFB"/>
    <w:rsid w:val="00FF1D36"/>
    <w:rsid w:val="6592F85A"/>
    <w:rsid w:val="7366A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41488"/>
  <w15:chartTrackingRefBased/>
  <w15:docId w15:val="{C35C7263-5703-44F7-87D2-BD4F9B50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rastasis" w:default="1">
    <w:name w:val="Normal"/>
    <w:qFormat/>
    <w:rsid w:val="00FC1E11"/>
    <w:pPr>
      <w:spacing w:after="0" w:line="240" w:lineRule="auto"/>
      <w:ind w:firstLine="357"/>
    </w:pPr>
    <w:rPr>
      <w:rFonts w:ascii="Arial" w:hAnsi="Arial"/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F06B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F06B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F0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F0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F0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F06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F06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F06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F06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character" w:styleId="Antrat1Diagrama" w:customStyle="1">
    <w:name w:val="Antraštė 1 Diagrama"/>
    <w:basedOn w:val="Numatytasispastraiposriftas"/>
    <w:link w:val="Antrat1"/>
    <w:uiPriority w:val="9"/>
    <w:rsid w:val="001F06B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Antrat2Diagrama" w:customStyle="1">
    <w:name w:val="Antraštė 2 Diagrama"/>
    <w:basedOn w:val="Numatytasispastraiposriftas"/>
    <w:link w:val="Antrat2"/>
    <w:uiPriority w:val="9"/>
    <w:semiHidden/>
    <w:rsid w:val="001F06B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Antrat3Diagrama" w:customStyle="1">
    <w:name w:val="Antraštė 3 Diagrama"/>
    <w:basedOn w:val="Numatytasispastraiposriftas"/>
    <w:link w:val="Antrat3"/>
    <w:uiPriority w:val="9"/>
    <w:semiHidden/>
    <w:rsid w:val="001F06B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Antrat4Diagrama" w:customStyle="1">
    <w:name w:val="Antraštė 4 Diagrama"/>
    <w:basedOn w:val="Numatytasispastraiposriftas"/>
    <w:link w:val="Antrat4"/>
    <w:uiPriority w:val="9"/>
    <w:semiHidden/>
    <w:rsid w:val="001F06BF"/>
    <w:rPr>
      <w:rFonts w:eastAsiaTheme="majorEastAsia" w:cstheme="majorBidi"/>
      <w:i/>
      <w:iCs/>
      <w:color w:val="0F4761" w:themeColor="accent1" w:themeShade="BF"/>
    </w:rPr>
  </w:style>
  <w:style w:type="character" w:styleId="Antrat5Diagrama" w:customStyle="1">
    <w:name w:val="Antraštė 5 Diagrama"/>
    <w:basedOn w:val="Numatytasispastraiposriftas"/>
    <w:link w:val="Antrat5"/>
    <w:uiPriority w:val="9"/>
    <w:semiHidden/>
    <w:rsid w:val="001F06BF"/>
    <w:rPr>
      <w:rFonts w:eastAsiaTheme="majorEastAsia" w:cstheme="majorBidi"/>
      <w:color w:val="0F4761" w:themeColor="accent1" w:themeShade="BF"/>
    </w:rPr>
  </w:style>
  <w:style w:type="character" w:styleId="Antrat6Diagrama" w:customStyle="1">
    <w:name w:val="Antraštė 6 Diagrama"/>
    <w:basedOn w:val="Numatytasispastraiposriftas"/>
    <w:link w:val="Antrat6"/>
    <w:uiPriority w:val="9"/>
    <w:semiHidden/>
    <w:rsid w:val="001F06BF"/>
    <w:rPr>
      <w:rFonts w:eastAsiaTheme="majorEastAsia" w:cstheme="majorBidi"/>
      <w:i/>
      <w:iCs/>
      <w:color w:val="595959" w:themeColor="text1" w:themeTint="A6"/>
    </w:rPr>
  </w:style>
  <w:style w:type="character" w:styleId="Antrat7Diagrama" w:customStyle="1">
    <w:name w:val="Antraštė 7 Diagrama"/>
    <w:basedOn w:val="Numatytasispastraiposriftas"/>
    <w:link w:val="Antrat7"/>
    <w:uiPriority w:val="9"/>
    <w:semiHidden/>
    <w:rsid w:val="001F06BF"/>
    <w:rPr>
      <w:rFonts w:eastAsiaTheme="majorEastAsia" w:cstheme="majorBidi"/>
      <w:color w:val="595959" w:themeColor="text1" w:themeTint="A6"/>
    </w:rPr>
  </w:style>
  <w:style w:type="character" w:styleId="Antrat8Diagrama" w:customStyle="1">
    <w:name w:val="Antraštė 8 Diagrama"/>
    <w:basedOn w:val="Numatytasispastraiposriftas"/>
    <w:link w:val="Antrat8"/>
    <w:uiPriority w:val="9"/>
    <w:semiHidden/>
    <w:rsid w:val="001F06BF"/>
    <w:rPr>
      <w:rFonts w:eastAsiaTheme="majorEastAsia" w:cstheme="majorBidi"/>
      <w:i/>
      <w:iCs/>
      <w:color w:val="272727" w:themeColor="text1" w:themeTint="D8"/>
    </w:rPr>
  </w:style>
  <w:style w:type="character" w:styleId="Antrat9Diagrama" w:customStyle="1">
    <w:name w:val="Antraštė 9 Diagrama"/>
    <w:basedOn w:val="Numatytasispastraiposriftas"/>
    <w:link w:val="Antrat9"/>
    <w:uiPriority w:val="9"/>
    <w:semiHidden/>
    <w:rsid w:val="001F06B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F06BF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PavadinimasDiagrama" w:customStyle="1">
    <w:name w:val="Pavadinimas Diagrama"/>
    <w:basedOn w:val="Numatytasispastraiposriftas"/>
    <w:link w:val="Pavadinimas"/>
    <w:uiPriority w:val="10"/>
    <w:rsid w:val="001F06B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F06BF"/>
    <w:pPr>
      <w:numPr>
        <w:ilvl w:val="1"/>
      </w:numPr>
      <w:ind w:firstLine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aantratDiagrama" w:customStyle="1">
    <w:name w:val="Paantraštė Diagrama"/>
    <w:basedOn w:val="Numatytasispastraiposriftas"/>
    <w:link w:val="Paantrat"/>
    <w:uiPriority w:val="11"/>
    <w:rsid w:val="001F0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F06BF"/>
    <w:pPr>
      <w:spacing w:before="160"/>
      <w:jc w:val="center"/>
    </w:pPr>
    <w:rPr>
      <w:i/>
      <w:iCs/>
      <w:color w:val="404040" w:themeColor="text1" w:themeTint="BF"/>
    </w:rPr>
  </w:style>
  <w:style w:type="character" w:styleId="CitataDiagrama" w:customStyle="1">
    <w:name w:val="Citata Diagrama"/>
    <w:basedOn w:val="Numatytasispastraiposriftas"/>
    <w:link w:val="Citata"/>
    <w:uiPriority w:val="29"/>
    <w:rsid w:val="001F06BF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1F06B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F06B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F06B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skirtacitataDiagrama" w:customStyle="1">
    <w:name w:val="Išskirta citata Diagrama"/>
    <w:basedOn w:val="Numatytasispastraiposriftas"/>
    <w:link w:val="Iskirtacitata"/>
    <w:uiPriority w:val="30"/>
    <w:rsid w:val="001F06B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F06BF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FC1E11"/>
    <w:pPr>
      <w:tabs>
        <w:tab w:val="center" w:pos="4819"/>
        <w:tab w:val="right" w:pos="9638"/>
      </w:tabs>
    </w:pPr>
  </w:style>
  <w:style w:type="character" w:styleId="PoratDiagrama" w:customStyle="1">
    <w:name w:val="Poraštė Diagrama"/>
    <w:basedOn w:val="Numatytasispastraiposriftas"/>
    <w:link w:val="Porat"/>
    <w:uiPriority w:val="99"/>
    <w:rsid w:val="00FC1E11"/>
    <w:rPr>
      <w:rFonts w:ascii="Arial" w:hAnsi="Arial"/>
      <w:kern w:val="0"/>
      <w:sz w:val="22"/>
      <w:szCs w:val="22"/>
      <w14:ligatures w14:val="none"/>
    </w:rPr>
  </w:style>
  <w:style w:type="character" w:styleId="SraopastraipaDiagrama" w:customStyle="1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FC1E11"/>
  </w:style>
  <w:style w:type="character" w:styleId="Laukeliai" w:customStyle="1">
    <w:name w:val="Laukeliai"/>
    <w:basedOn w:val="Numatytasispastraiposriftas"/>
    <w:uiPriority w:val="1"/>
    <w:qFormat/>
    <w:rsid w:val="00FC1E11"/>
    <w:rPr>
      <w:rFonts w:ascii="Arial" w:hAnsi="Arial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FC1E11"/>
    <w:pPr>
      <w:tabs>
        <w:tab w:val="center" w:pos="4819"/>
        <w:tab w:val="right" w:pos="9638"/>
      </w:tabs>
    </w:pPr>
  </w:style>
  <w:style w:type="character" w:styleId="AntratsDiagrama" w:customStyle="1">
    <w:name w:val="Antraštės Diagrama"/>
    <w:basedOn w:val="Numatytasispastraiposriftas"/>
    <w:link w:val="Antrats"/>
    <w:uiPriority w:val="99"/>
    <w:rsid w:val="00FC1E11"/>
    <w:rPr>
      <w:rFonts w:ascii="Arial" w:hAnsi="Arial"/>
      <w:kern w:val="0"/>
      <w:sz w:val="22"/>
      <w:szCs w:val="22"/>
      <w14:ligatures w14:val="none"/>
    </w:rPr>
  </w:style>
  <w:style w:type="table" w:styleId="TableGrid1" w:customStyle="1">
    <w:name w:val="Table Grid1"/>
    <w:basedOn w:val="prastojilentel"/>
    <w:next w:val="Lentelstinklelis"/>
    <w:uiPriority w:val="99"/>
    <w:rsid w:val="00FC1E11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Lentelstinklelis">
    <w:name w:val="Table Grid"/>
    <w:basedOn w:val="prastojilentel"/>
    <w:uiPriority w:val="39"/>
    <w:rsid w:val="00FC1E1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DC1C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C1C55"/>
    <w:rPr>
      <w:sz w:val="20"/>
      <w:szCs w:val="20"/>
    </w:rPr>
  </w:style>
  <w:style w:type="character" w:styleId="KomentarotekstasDiagrama" w:customStyle="1">
    <w:name w:val="Komentaro tekstas Diagrama"/>
    <w:basedOn w:val="Numatytasispastraiposriftas"/>
    <w:link w:val="Komentarotekstas"/>
    <w:uiPriority w:val="99"/>
    <w:rsid w:val="00DC1C55"/>
    <w:rPr>
      <w:rFonts w:ascii="Arial" w:hAnsi="Arial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C1C55"/>
    <w:rPr>
      <w:b/>
      <w:bCs/>
    </w:rPr>
  </w:style>
  <w:style w:type="character" w:styleId="KomentarotemaDiagrama" w:customStyle="1">
    <w:name w:val="Komentaro tema Diagrama"/>
    <w:basedOn w:val="KomentarotekstasDiagrama"/>
    <w:link w:val="Komentarotema"/>
    <w:uiPriority w:val="99"/>
    <w:semiHidden/>
    <w:rsid w:val="00DC1C55"/>
    <w:rPr>
      <w:rFonts w:ascii="Arial" w:hAnsi="Arial"/>
      <w:b/>
      <w:bCs/>
      <w:kern w:val="0"/>
      <w:sz w:val="20"/>
      <w:szCs w:val="20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C03B19"/>
    <w:rPr>
      <w:rFonts w:ascii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FB2EF8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</w:style>
  <w:style w:type="paragraph" w:styleId="Antrat21" w:customStyle="1">
    <w:name w:val="Antraštė 21"/>
    <w:basedOn w:val="prastasis"/>
    <w:qFormat/>
    <w:rsid w:val="002224D7"/>
    <w:pPr>
      <w:widowControl w:val="0"/>
      <w:shd w:val="clear" w:color="auto" w:fill="FFFFFF"/>
      <w:autoSpaceDE w:val="0"/>
      <w:autoSpaceDN w:val="0"/>
      <w:adjustRightInd w:val="0"/>
      <w:spacing w:after="360" w:line="264" w:lineRule="auto"/>
      <w:ind w:firstLine="0"/>
    </w:pPr>
    <w:rPr>
      <w:rFonts w:eastAsia="Times New Roman" w:cs="Arial"/>
      <w:b/>
      <w:bCs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343A19"/>
    <w:rPr>
      <w:color w:val="0000FF"/>
      <w:u w:val="single"/>
    </w:rPr>
  </w:style>
  <w:style w:type="table" w:styleId="Lentelstinklelis1" w:customStyle="1">
    <w:name w:val="Lentelės tinklelis1"/>
    <w:basedOn w:val="prastojilentel"/>
    <w:next w:val="Lentelstinklelis"/>
    <w:rsid w:val="00837229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lt-LT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1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apva.lrv.lt/lt/veiklos-sritys-319/sesd-registras-1762/informacija-naudotojams-2346/informacija-apie-tikrintojus-2397/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9b862a4a163984516f7178590dd73b98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d811dc55e30f2655d214290fd30e85ef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DA12A6-67EE-4E84-BED3-ED235E3C83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D1AE2D-76B1-45EB-9C6B-094394523DF0}"/>
</file>

<file path=customXml/itemProps3.xml><?xml version="1.0" encoding="utf-8"?>
<ds:datastoreItem xmlns:ds="http://schemas.openxmlformats.org/officeDocument/2006/customXml" ds:itemID="{B90E96EC-5F0A-48FA-8C3A-2CD1F58A0911}"/>
</file>

<file path=customXml/itemProps4.xml><?xml version="1.0" encoding="utf-8"?>
<ds:datastoreItem xmlns:ds="http://schemas.openxmlformats.org/officeDocument/2006/customXml" ds:itemID="{4714D79A-637B-41B3-875F-111522D3E38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Auksė Čižiūnaitė</dc:creator>
  <keywords/>
  <dc:description/>
  <lastModifiedBy>Sandra Bielinienė</lastModifiedBy>
  <revision>11</revision>
  <dcterms:created xsi:type="dcterms:W3CDTF">2025-12-08T07:31:00.0000000Z</dcterms:created>
  <dcterms:modified xsi:type="dcterms:W3CDTF">2025-12-23T07:27:49.7979189Z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0x010100A7E48C42F3660D4BA2A9B6ADE566F742</vt:lpwstr>
  </property>
  <property fmtid="{D5CDD505-2E9C-101B-9397-08002B2CF9AE}" pid="3" name="MediaServiceImageTags">
    <vt:lpwstr/>
  </property>
</Properties>
</file>