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6B5844C6"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A77CA0">
        <w:rPr>
          <w:bCs/>
          <w:sz w:val="22"/>
          <w:szCs w:val="22"/>
        </w:rPr>
        <w:t>1</w:t>
      </w:r>
      <w:r w:rsidR="00160BBE">
        <w:rPr>
          <w:bCs/>
          <w:sz w:val="22"/>
          <w:szCs w:val="22"/>
        </w:rPr>
        <w:t>1</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109C029C" w14:textId="77777777" w:rsidR="002B1A83" w:rsidRDefault="00992323" w:rsidP="00992323">
            <w:pPr>
              <w:autoSpaceDE w:val="0"/>
              <w:autoSpaceDN w:val="0"/>
              <w:adjustRightInd w:val="0"/>
              <w:jc w:val="center"/>
              <w:rPr>
                <w:rFonts w:eastAsia="TimesNewRomanPS-BoldMT"/>
                <w:b/>
                <w:bCs/>
                <w:sz w:val="22"/>
                <w:szCs w:val="22"/>
                <w14:ligatures w14:val="standardContextual"/>
              </w:rPr>
            </w:pPr>
            <w:r w:rsidRPr="00992323">
              <w:rPr>
                <w:rFonts w:eastAsia="TimesNewRomanPS-BoldMT"/>
                <w:b/>
                <w:bCs/>
                <w:sz w:val="22"/>
                <w:szCs w:val="22"/>
                <w14:ligatures w14:val="standardContextual"/>
              </w:rPr>
              <w:t>VIENKARTIN</w:t>
            </w:r>
            <w:r w:rsidR="00A77CA0">
              <w:rPr>
                <w:rFonts w:eastAsia="TimesNewRomanPS-BoldMT"/>
                <w:b/>
                <w:bCs/>
                <w:sz w:val="22"/>
                <w:szCs w:val="22"/>
                <w14:ligatures w14:val="standardContextual"/>
              </w:rPr>
              <w:t>IAI</w:t>
            </w:r>
            <w:r w:rsidRPr="00992323">
              <w:rPr>
                <w:rFonts w:eastAsia="TimesNewRomanPS-BoldMT"/>
                <w:b/>
                <w:bCs/>
                <w:sz w:val="22"/>
                <w:szCs w:val="22"/>
                <w14:ligatures w14:val="standardContextual"/>
              </w:rPr>
              <w:t xml:space="preserve"> </w:t>
            </w:r>
            <w:r w:rsidR="00A77CA0">
              <w:rPr>
                <w:rFonts w:eastAsia="TimesNewRomanPS-BoldMT"/>
                <w:b/>
                <w:bCs/>
                <w:sz w:val="22"/>
                <w:szCs w:val="22"/>
                <w14:ligatures w14:val="standardContextual"/>
              </w:rPr>
              <w:t>STERILŪS APLOTŲ RINKINIAI</w:t>
            </w:r>
            <w:r w:rsidR="002B1A83">
              <w:rPr>
                <w:rFonts w:eastAsia="TimesNewRomanPS-BoldMT"/>
                <w:b/>
                <w:bCs/>
                <w:sz w:val="22"/>
                <w:szCs w:val="22"/>
                <w14:ligatures w14:val="standardContextual"/>
              </w:rPr>
              <w:t xml:space="preserve"> </w:t>
            </w:r>
            <w:r w:rsidR="002B1A83" w:rsidRPr="002B1A83">
              <w:rPr>
                <w:rFonts w:eastAsia="TimesNewRomanPS-BoldMT"/>
                <w:b/>
                <w:bCs/>
                <w:sz w:val="22"/>
                <w:szCs w:val="22"/>
                <w14:ligatures w14:val="standardContextual"/>
              </w:rPr>
              <w:t xml:space="preserve">/ </w:t>
            </w:r>
          </w:p>
          <w:p w14:paraId="249F1FE3" w14:textId="1436AD1E" w:rsidR="00EB3BAC" w:rsidRPr="00992323" w:rsidRDefault="002B1A83" w:rsidP="00992323">
            <w:pPr>
              <w:autoSpaceDE w:val="0"/>
              <w:autoSpaceDN w:val="0"/>
              <w:adjustRightInd w:val="0"/>
              <w:jc w:val="center"/>
              <w:rPr>
                <w:rFonts w:eastAsia="TimesNewRomanPS-BoldMT"/>
                <w:b/>
                <w:bCs/>
                <w:sz w:val="22"/>
                <w:szCs w:val="22"/>
                <w14:ligatures w14:val="standardContextual"/>
              </w:rPr>
            </w:pPr>
            <w:r w:rsidRPr="002B1A83">
              <w:rPr>
                <w:b/>
                <w:bCs/>
                <w:sz w:val="22"/>
                <w:szCs w:val="22"/>
              </w:rPr>
              <w:t>VIENKARTINĖS STERILIOS MEDICININĖS PRIEMONĖS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8C5CA51" w14:textId="05B6B4EF" w:rsidR="00EB3BAC" w:rsidRPr="00EB3BAC" w:rsidRDefault="00A77CA0" w:rsidP="00EB3BAC">
            <w:pPr>
              <w:autoSpaceDE w:val="0"/>
              <w:autoSpaceDN w:val="0"/>
              <w:adjustRightInd w:val="0"/>
              <w:rPr>
                <w:sz w:val="22"/>
                <w:szCs w:val="22"/>
              </w:rPr>
            </w:pPr>
            <w:r>
              <w:rPr>
                <w:sz w:val="22"/>
                <w:szCs w:val="22"/>
              </w:rPr>
              <w:t>Anestiziologijos, intensyvios terapijos ir skausmo klinika</w:t>
            </w:r>
            <w:r w:rsidR="00992323">
              <w:rPr>
                <w:sz w:val="22"/>
                <w:szCs w:val="22"/>
              </w:rPr>
              <w:t>,</w:t>
            </w:r>
            <w:r w:rsidR="0000134A">
              <w:rPr>
                <w:sz w:val="22"/>
                <w:szCs w:val="22"/>
              </w:rPr>
              <w:t xml:space="preserve"> </w:t>
            </w:r>
            <w:r>
              <w:rPr>
                <w:sz w:val="22"/>
                <w:szCs w:val="22"/>
              </w:rPr>
              <w:t>Martyna Norutienė</w:t>
            </w:r>
            <w:r w:rsidR="001C3CC7">
              <w:rPr>
                <w:sz w:val="22"/>
                <w:szCs w:val="22"/>
              </w:rPr>
              <w:t xml:space="preserve">, </w:t>
            </w:r>
            <w:r w:rsidR="00EB3BAC" w:rsidRPr="00EB3BAC">
              <w:rPr>
                <w:sz w:val="22"/>
                <w:szCs w:val="22"/>
              </w:rPr>
              <w:t xml:space="preserve"> tel.+370</w:t>
            </w:r>
            <w:r w:rsidR="00387941">
              <w:rPr>
                <w:sz w:val="22"/>
                <w:szCs w:val="22"/>
              </w:rPr>
              <w:t xml:space="preserve"> </w:t>
            </w:r>
            <w:r w:rsidR="00EB3BAC" w:rsidRPr="00EB3BAC">
              <w:rPr>
                <w:sz w:val="22"/>
                <w:szCs w:val="22"/>
              </w:rPr>
              <w:t>4</w:t>
            </w:r>
            <w:r w:rsidR="00387941">
              <w:rPr>
                <w:sz w:val="22"/>
                <w:szCs w:val="22"/>
              </w:rPr>
              <w:t>6</w:t>
            </w:r>
            <w:r w:rsidR="0071182F">
              <w:rPr>
                <w:sz w:val="22"/>
                <w:szCs w:val="22"/>
              </w:rPr>
              <w:t>.....................</w:t>
            </w:r>
            <w:r w:rsidR="009813E6">
              <w:rPr>
                <w:sz w:val="22"/>
                <w:szCs w:val="22"/>
              </w:rPr>
              <w:t xml:space="preserve">, </w:t>
            </w:r>
            <w:r w:rsidR="00EB3BAC" w:rsidRPr="00EB3BAC">
              <w:rPr>
                <w:sz w:val="22"/>
                <w:szCs w:val="22"/>
              </w:rPr>
              <w:t xml:space="preserve">el.p. </w:t>
            </w:r>
            <w:hyperlink r:id="rId12" w:history="1">
              <w:r w:rsidRPr="00BE714F">
                <w:rPr>
                  <w:rStyle w:val="Hipersaitas"/>
                  <w:sz w:val="22"/>
                  <w:szCs w:val="22"/>
                </w:rPr>
                <w:t>m</w:t>
              </w:r>
              <w:r w:rsidRPr="00BE714F">
                <w:rPr>
                  <w:rStyle w:val="Hipersaitas"/>
                </w:rPr>
                <w:t>artyna.norutiene</w:t>
              </w:r>
              <w:r w:rsidRPr="00BE714F">
                <w:rPr>
                  <w:rStyle w:val="Hipersaitas"/>
                  <w:sz w:val="22"/>
                  <w:szCs w:val="22"/>
                </w:rPr>
                <w:t>@kul.lt</w:t>
              </w:r>
            </w:hyperlink>
          </w:p>
          <w:p w14:paraId="23128B36" w14:textId="77777777" w:rsidR="00EB3BAC" w:rsidRPr="00EB3BAC" w:rsidRDefault="00EB3BAC" w:rsidP="00EB3BAC">
            <w:pPr>
              <w:autoSpaceDE w:val="0"/>
              <w:autoSpaceDN w:val="0"/>
              <w:adjustRightInd w:val="0"/>
              <w:rPr>
                <w:sz w:val="22"/>
                <w:szCs w:val="22"/>
              </w:rPr>
            </w:pPr>
          </w:p>
          <w:p w14:paraId="46EF4A96" w14:textId="4BFC7522" w:rsidR="00EB3BAC" w:rsidRP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3" w:history="1">
              <w:r w:rsidRPr="00461577">
                <w:rPr>
                  <w:rFonts w:eastAsia="Calibri"/>
                  <w:sz w:val="22"/>
                  <w:szCs w:val="22"/>
                  <w:u w:val="single"/>
                </w:rPr>
                <w:t>@kul.lt</w:t>
              </w:r>
            </w:hyperlink>
            <w:r w:rsidRPr="00461577">
              <w:rPr>
                <w:rFonts w:eastAsia="TimesNewRomanPSMT"/>
                <w:sz w:val="22"/>
                <w:szCs w:val="22"/>
              </w:rPr>
              <w:t>;</w:t>
            </w:r>
          </w:p>
          <w:p w14:paraId="2B099FCB" w14:textId="77777777"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skyriaus vyriausioji specialistė </w:t>
            </w:r>
          </w:p>
          <w:p w14:paraId="61F9B250" w14:textId="5ABA5190" w:rsidR="007F03B7" w:rsidRPr="00F22C9B" w:rsidRDefault="001C3CC7" w:rsidP="007F03B7">
            <w:pPr>
              <w:rPr>
                <w:sz w:val="22"/>
                <w:szCs w:val="22"/>
                <w:shd w:val="clear" w:color="auto" w:fill="FFFFFF"/>
              </w:rPr>
            </w:pPr>
            <w:r>
              <w:rPr>
                <w:color w:val="000000"/>
                <w:sz w:val="22"/>
                <w:szCs w:val="22"/>
                <w:shd w:val="clear" w:color="auto" w:fill="FFFFFF"/>
              </w:rPr>
              <w:t>Diana Kuzmarskienė</w:t>
            </w:r>
            <w:r w:rsidR="00EB3BAC" w:rsidRPr="00EB3BAC">
              <w:rPr>
                <w:color w:val="000000"/>
                <w:sz w:val="22"/>
                <w:szCs w:val="22"/>
                <w:shd w:val="clear" w:color="auto" w:fill="FFFFFF"/>
              </w:rPr>
              <w:t>, tel.: +</w:t>
            </w:r>
            <w:r w:rsidR="00EB3BAC" w:rsidRPr="00EB3BAC">
              <w:rPr>
                <w:color w:val="000000"/>
                <w:sz w:val="22"/>
                <w:szCs w:val="22"/>
              </w:rPr>
              <w:t xml:space="preserve">370 </w:t>
            </w:r>
            <w:r w:rsidR="00EB3BAC" w:rsidRPr="00EB3BAC">
              <w:rPr>
                <w:color w:val="000000"/>
                <w:sz w:val="22"/>
                <w:szCs w:val="22"/>
                <w:shd w:val="clear" w:color="auto" w:fill="FFFFFF"/>
              </w:rPr>
              <w:t xml:space="preserve">46 </w:t>
            </w:r>
            <w:r>
              <w:rPr>
                <w:color w:val="000000"/>
                <w:sz w:val="22"/>
                <w:szCs w:val="22"/>
                <w:shd w:val="clear" w:color="auto" w:fill="FFFFFF"/>
              </w:rPr>
              <w:t>412908</w:t>
            </w:r>
            <w:r w:rsidR="00EB3BAC" w:rsidRPr="00EB3BAC">
              <w:rPr>
                <w:color w:val="000000"/>
                <w:sz w:val="22"/>
                <w:szCs w:val="22"/>
                <w:shd w:val="clear" w:color="auto" w:fill="FFFFFF"/>
              </w:rPr>
              <w:t xml:space="preserve">, el. paštas: </w:t>
            </w:r>
            <w:r>
              <w:rPr>
                <w:color w:val="000000"/>
                <w:sz w:val="22"/>
                <w:szCs w:val="22"/>
                <w:shd w:val="clear" w:color="auto" w:fill="FFFFFF"/>
              </w:rPr>
              <w:t>diana.kuzmarskiene</w:t>
            </w:r>
            <w:r w:rsidR="00EB3BAC"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1C4DCB31" w14:textId="0141F39F" w:rsidR="002B1A83" w:rsidRDefault="00EB3BAC" w:rsidP="00FD07D1">
            <w:pPr>
              <w:rPr>
                <w:kern w:val="2"/>
                <w:sz w:val="22"/>
                <w:szCs w:val="22"/>
              </w:rPr>
            </w:pPr>
            <w:r w:rsidRPr="00FD07D1">
              <w:rPr>
                <w:kern w:val="2"/>
                <w:sz w:val="22"/>
                <w:szCs w:val="22"/>
              </w:rPr>
              <w:t>Tiekėjas įsipareigoja Sutartyje numatytomis sąlygomis perduoti Pirkėjui Sutarties 1 priede nurodyt</w:t>
            </w:r>
            <w:r w:rsidR="00A77CA0">
              <w:rPr>
                <w:kern w:val="2"/>
                <w:sz w:val="22"/>
                <w:szCs w:val="22"/>
              </w:rPr>
              <w:t>us</w:t>
            </w:r>
            <w:r w:rsidR="002B1A83">
              <w:rPr>
                <w:kern w:val="2"/>
                <w:sz w:val="22"/>
                <w:szCs w:val="22"/>
              </w:rPr>
              <w:t>:</w:t>
            </w:r>
            <w:r w:rsidR="00A77CA0">
              <w:rPr>
                <w:kern w:val="2"/>
                <w:sz w:val="22"/>
                <w:szCs w:val="22"/>
              </w:rPr>
              <w:t xml:space="preserve"> </w:t>
            </w:r>
          </w:p>
          <w:p w14:paraId="39739AB6" w14:textId="6512AAEB" w:rsidR="00C1517E" w:rsidRPr="00C1517E" w:rsidRDefault="002B1A83" w:rsidP="002B1A83">
            <w:pPr>
              <w:rPr>
                <w:i/>
                <w:iCs/>
                <w:kern w:val="2"/>
                <w:sz w:val="22"/>
                <w:szCs w:val="22"/>
              </w:rPr>
            </w:pPr>
            <w:r w:rsidRPr="00F5376C">
              <w:rPr>
                <w:sz w:val="22"/>
                <w:szCs w:val="22"/>
              </w:rPr>
              <w:t xml:space="preserve">I pirkimo dalis </w:t>
            </w:r>
            <w:r>
              <w:rPr>
                <w:sz w:val="22"/>
                <w:szCs w:val="22"/>
              </w:rPr>
              <w:t>- V</w:t>
            </w:r>
            <w:r w:rsidR="00A77CA0">
              <w:rPr>
                <w:kern w:val="2"/>
                <w:sz w:val="22"/>
                <w:szCs w:val="22"/>
              </w:rPr>
              <w:t xml:space="preserve">ienkartinius apklotų </w:t>
            </w:r>
            <w:r w:rsidR="00A77CA0" w:rsidRPr="002B1A83">
              <w:rPr>
                <w:kern w:val="2"/>
                <w:sz w:val="22"/>
                <w:szCs w:val="22"/>
              </w:rPr>
              <w:t xml:space="preserve">rinkinius </w:t>
            </w:r>
            <w:r w:rsidR="00EB3BAC" w:rsidRPr="002B1A83">
              <w:rPr>
                <w:kern w:val="2"/>
                <w:sz w:val="22"/>
                <w:szCs w:val="22"/>
              </w:rPr>
              <w:t>(toliau – Prekės)</w:t>
            </w:r>
            <w:r w:rsidR="00FD07D1" w:rsidRPr="002B1A83">
              <w:rPr>
                <w:kern w:val="2"/>
                <w:sz w:val="22"/>
                <w:szCs w:val="22"/>
              </w:rPr>
              <w:t xml:space="preserve"> </w:t>
            </w:r>
            <w:r w:rsidR="00C1517E" w:rsidRPr="002B1A83">
              <w:rPr>
                <w:i/>
                <w:iCs/>
                <w:kern w:val="2"/>
                <w:sz w:val="22"/>
                <w:szCs w:val="22"/>
              </w:rPr>
              <w:t>ir perduoti (įdiegti) pagal panaudą</w:t>
            </w:r>
            <w:r w:rsidR="009E789A">
              <w:rPr>
                <w:i/>
                <w:iCs/>
                <w:kern w:val="2"/>
                <w:sz w:val="22"/>
                <w:szCs w:val="22"/>
              </w:rPr>
              <w:t xml:space="preserve"> </w:t>
            </w:r>
            <w:r w:rsidR="009E789A" w:rsidRPr="002B1A83">
              <w:rPr>
                <w:i/>
                <w:iCs/>
                <w:kern w:val="2"/>
                <w:sz w:val="22"/>
                <w:szCs w:val="22"/>
              </w:rPr>
              <w:t>automatizuotą</w:t>
            </w:r>
            <w:r w:rsidR="00C1517E" w:rsidRPr="002B1A83">
              <w:rPr>
                <w:i/>
                <w:iCs/>
                <w:kern w:val="2"/>
                <w:sz w:val="22"/>
                <w:szCs w:val="22"/>
              </w:rPr>
              <w:t xml:space="preserve"> prekių tiekimo valdymo sistemą</w:t>
            </w:r>
            <w:r w:rsidR="0010486A" w:rsidRPr="002B1A83">
              <w:rPr>
                <w:i/>
                <w:iCs/>
                <w:kern w:val="2"/>
                <w:sz w:val="22"/>
                <w:szCs w:val="22"/>
              </w:rPr>
              <w:t xml:space="preserve"> ir techninę įrangą </w:t>
            </w:r>
            <w:r w:rsidR="00C1517E" w:rsidRPr="002B1A83">
              <w:rPr>
                <w:rFonts w:eastAsia="TimesNewRomanPSMT"/>
                <w:i/>
                <w:iCs/>
                <w:sz w:val="22"/>
                <w:szCs w:val="22"/>
              </w:rPr>
              <w:t xml:space="preserve">(toliau Įranga).  </w:t>
            </w:r>
            <w:bookmarkStart w:id="0" w:name="_Hlk208558900"/>
            <w:r w:rsidR="00C1517E" w:rsidRPr="002B1A83">
              <w:rPr>
                <w:rFonts w:eastAsia="TimesNewRomanPSMT"/>
                <w:i/>
                <w:iCs/>
                <w:kern w:val="2"/>
                <w:sz w:val="22"/>
                <w:szCs w:val="22"/>
              </w:rPr>
              <w:t>Dėl Įrangos perdavimo Šalys sudaro atskirą Įrangos panaudos sutartį</w:t>
            </w:r>
            <w:bookmarkEnd w:id="0"/>
            <w:r w:rsidR="00C1517E" w:rsidRPr="002B1A83">
              <w:rPr>
                <w:rFonts w:eastAsia="TimesNewRomanPSMT"/>
                <w:i/>
                <w:iCs/>
                <w:kern w:val="2"/>
                <w:sz w:val="22"/>
                <w:szCs w:val="22"/>
              </w:rPr>
              <w:t>.</w:t>
            </w:r>
          </w:p>
          <w:p w14:paraId="1D983109" w14:textId="0FD440B4" w:rsidR="00C1517E" w:rsidRDefault="002B1A83" w:rsidP="00EB3BAC">
            <w:pPr>
              <w:jc w:val="both"/>
              <w:rPr>
                <w:kern w:val="2"/>
                <w:sz w:val="22"/>
                <w:szCs w:val="22"/>
              </w:rPr>
            </w:pPr>
            <w:r>
              <w:rPr>
                <w:kern w:val="2"/>
                <w:sz w:val="22"/>
                <w:szCs w:val="22"/>
              </w:rPr>
              <w:t xml:space="preserve">II pirkimo dalis - </w:t>
            </w:r>
            <w:r w:rsidRPr="005833DC">
              <w:rPr>
                <w:sz w:val="22"/>
                <w:szCs w:val="22"/>
              </w:rPr>
              <w:t>Vienkartin</w:t>
            </w:r>
            <w:r w:rsidR="009746F4">
              <w:rPr>
                <w:sz w:val="22"/>
                <w:szCs w:val="22"/>
              </w:rPr>
              <w:t>ė</w:t>
            </w:r>
            <w:r w:rsidRPr="005833DC">
              <w:rPr>
                <w:sz w:val="22"/>
                <w:szCs w:val="22"/>
              </w:rPr>
              <w:t>s sterili</w:t>
            </w:r>
            <w:r w:rsidR="009746F4">
              <w:rPr>
                <w:sz w:val="22"/>
                <w:szCs w:val="22"/>
              </w:rPr>
              <w:t>o</w:t>
            </w:r>
            <w:r w:rsidRPr="005833DC">
              <w:rPr>
                <w:sz w:val="22"/>
                <w:szCs w:val="22"/>
              </w:rPr>
              <w:t>s medicinin</w:t>
            </w:r>
            <w:r w:rsidR="009746F4">
              <w:rPr>
                <w:sz w:val="22"/>
                <w:szCs w:val="22"/>
              </w:rPr>
              <w:t>ė</w:t>
            </w:r>
            <w:r w:rsidRPr="005833DC">
              <w:rPr>
                <w:sz w:val="22"/>
                <w:szCs w:val="22"/>
              </w:rPr>
              <w:t>s priemon</w:t>
            </w:r>
            <w:r w:rsidR="009746F4">
              <w:rPr>
                <w:sz w:val="22"/>
                <w:szCs w:val="22"/>
              </w:rPr>
              <w:t>ė</w:t>
            </w:r>
            <w:r w:rsidRPr="005833DC">
              <w:rPr>
                <w:sz w:val="22"/>
                <w:szCs w:val="22"/>
              </w:rPr>
              <w:t>s</w:t>
            </w:r>
            <w:r>
              <w:rPr>
                <w:sz w:val="22"/>
                <w:szCs w:val="22"/>
              </w:rPr>
              <w:t>.</w:t>
            </w:r>
            <w:r>
              <w:rPr>
                <w:kern w:val="2"/>
                <w:sz w:val="22"/>
                <w:szCs w:val="22"/>
              </w:rPr>
              <w:t xml:space="preserve"> </w:t>
            </w:r>
          </w:p>
          <w:p w14:paraId="6A37FF17" w14:textId="77777777" w:rsidR="002B1A83" w:rsidRDefault="002B1A83" w:rsidP="00EB3BAC">
            <w:pPr>
              <w:jc w:val="both"/>
              <w:rPr>
                <w:kern w:val="2"/>
                <w:sz w:val="22"/>
                <w:szCs w:val="22"/>
              </w:rPr>
            </w:pPr>
          </w:p>
          <w:p w14:paraId="74009C55" w14:textId="14390315"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25509329" w:rsidR="00EB3BAC" w:rsidRPr="002B1A83" w:rsidRDefault="00C1517E" w:rsidP="002B1A83">
            <w:pPr>
              <w:autoSpaceDE w:val="0"/>
              <w:autoSpaceDN w:val="0"/>
              <w:adjustRightInd w:val="0"/>
              <w:rPr>
                <w:rFonts w:eastAsia="TimesNewRomanPS-BoldMT"/>
                <w:b/>
                <w:bCs/>
                <w:sz w:val="22"/>
                <w:szCs w:val="22"/>
                <w14:ligatures w14:val="standardContextual"/>
              </w:rPr>
            </w:pPr>
            <w:r w:rsidRPr="002B1A83">
              <w:rPr>
                <w:rFonts w:eastAsia="TimesNewRomanPS-BoldMT"/>
                <w:b/>
                <w:bCs/>
                <w:sz w:val="22"/>
                <w:szCs w:val="22"/>
                <w14:ligatures w14:val="standardContextual"/>
              </w:rPr>
              <w:t>Vienkartiniai sterilūs aplotų rinkiniai</w:t>
            </w:r>
            <w:r w:rsidR="002B1A83" w:rsidRPr="002B1A83">
              <w:rPr>
                <w:rFonts w:eastAsia="TimesNewRomanPS-BoldMT"/>
                <w:b/>
                <w:bCs/>
                <w:sz w:val="22"/>
                <w:szCs w:val="22"/>
                <w14:ligatures w14:val="standardContextual"/>
              </w:rPr>
              <w:t xml:space="preserve"> </w:t>
            </w:r>
            <w:r w:rsidR="002B1A83" w:rsidRPr="002B1A83">
              <w:rPr>
                <w:rFonts w:eastAsia="Calibri"/>
                <w:b/>
                <w:bCs/>
                <w:color w:val="000000" w:themeColor="text1"/>
                <w:sz w:val="22"/>
                <w:szCs w:val="22"/>
              </w:rPr>
              <w:t xml:space="preserve">kartu su </w:t>
            </w:r>
            <w:r w:rsidR="002B1A83" w:rsidRPr="002B1A83">
              <w:rPr>
                <w:b/>
                <w:bCs/>
                <w:sz w:val="22"/>
                <w:szCs w:val="22"/>
              </w:rPr>
              <w:t>prekių tiekimo valdymo automatizuota sistema</w:t>
            </w:r>
            <w:r w:rsidR="002B1A83" w:rsidRPr="002B1A83">
              <w:rPr>
                <w:rFonts w:eastAsia="Calibri"/>
                <w:b/>
                <w:bCs/>
                <w:color w:val="000000" w:themeColor="text1"/>
                <w:sz w:val="22"/>
                <w:szCs w:val="22"/>
              </w:rPr>
              <w:t xml:space="preserve"> pagal panaudą bei vienkartinės sterilios medicininės priemonės</w:t>
            </w:r>
            <w:r w:rsidR="00EB3BAC" w:rsidRPr="002B1A83">
              <w:rPr>
                <w:kern w:val="2"/>
                <w:sz w:val="22"/>
                <w:szCs w:val="22"/>
              </w:rPr>
              <w:t xml:space="preserve">, pirkimo Nr. </w:t>
            </w:r>
            <w:r w:rsidR="001C3CC7" w:rsidRPr="002B1A83">
              <w:rPr>
                <w:kern w:val="2"/>
                <w:sz w:val="22"/>
                <w:szCs w:val="22"/>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bookmarkStart w:id="1" w:name="_Hlk216974820"/>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2EFAC37E" w:rsidR="00CE0AA9" w:rsidRPr="00170148" w:rsidRDefault="007350AF" w:rsidP="00323026">
            <w:pPr>
              <w:jc w:val="both"/>
              <w:textAlignment w:val="baseline"/>
              <w:rPr>
                <w:kern w:val="2"/>
                <w:szCs w:val="24"/>
              </w:rPr>
            </w:pPr>
            <w:r w:rsidRPr="007350AF">
              <w:rPr>
                <w:kern w:val="2"/>
                <w:szCs w:val="24"/>
              </w:rPr>
              <w:t xml:space="preserve">Tiekėjas pagal </w:t>
            </w:r>
            <w:r w:rsidRPr="009D714F">
              <w:rPr>
                <w:kern w:val="2"/>
                <w:szCs w:val="24"/>
              </w:rPr>
              <w:t>atskirą užsakymą</w:t>
            </w:r>
            <w:r w:rsidR="00170148" w:rsidRPr="009D714F">
              <w:rPr>
                <w:kern w:val="2"/>
                <w:szCs w:val="24"/>
              </w:rPr>
              <w:t xml:space="preserve"> užsakytas Prekes </w:t>
            </w:r>
            <w:r w:rsidRPr="009D714F">
              <w:rPr>
                <w:kern w:val="2"/>
                <w:szCs w:val="24"/>
              </w:rPr>
              <w:t>įsipareigoja pristatyti</w:t>
            </w:r>
            <w:r w:rsidR="001C3CC7" w:rsidRPr="009D714F">
              <w:rPr>
                <w:kern w:val="2"/>
                <w:szCs w:val="24"/>
              </w:rPr>
              <w:t xml:space="preserve"> </w:t>
            </w:r>
            <w:r w:rsidR="004B2704" w:rsidRPr="009D714F">
              <w:rPr>
                <w:kern w:val="2"/>
                <w:szCs w:val="24"/>
              </w:rPr>
              <w:t>per</w:t>
            </w:r>
            <w:r w:rsidR="00170148" w:rsidRPr="009D714F">
              <w:rPr>
                <w:kern w:val="2"/>
                <w:szCs w:val="24"/>
              </w:rPr>
              <w:t xml:space="preserve"> </w:t>
            </w:r>
            <w:r w:rsidR="0071182F" w:rsidRPr="009D714F">
              <w:rPr>
                <w:kern w:val="2"/>
                <w:szCs w:val="24"/>
              </w:rPr>
              <w:t>5</w:t>
            </w:r>
            <w:r w:rsidR="00170148" w:rsidRPr="009D714F">
              <w:rPr>
                <w:kern w:val="2"/>
                <w:szCs w:val="24"/>
              </w:rPr>
              <w:t xml:space="preserve"> darbo dien</w:t>
            </w:r>
            <w:r w:rsidR="0071182F" w:rsidRPr="009D714F">
              <w:rPr>
                <w:kern w:val="2"/>
                <w:szCs w:val="24"/>
              </w:rPr>
              <w:t>as</w:t>
            </w:r>
            <w:r w:rsidR="00170148" w:rsidRPr="009D714F">
              <w:rPr>
                <w:kern w:val="2"/>
                <w:szCs w:val="24"/>
              </w:rPr>
              <w:t xml:space="preserve"> </w:t>
            </w:r>
            <w:r w:rsidRPr="009D714F">
              <w:rPr>
                <w:kern w:val="2"/>
                <w:szCs w:val="24"/>
              </w:rPr>
              <w:t xml:space="preserve">nuo užsakymo pateikimo dienos </w:t>
            </w:r>
            <w:r w:rsidR="0000134A" w:rsidRPr="009D714F">
              <w:rPr>
                <w:kern w:val="2"/>
                <w:szCs w:val="24"/>
              </w:rPr>
              <w:t xml:space="preserve">vaistinės </w:t>
            </w:r>
            <w:r w:rsidRPr="009D714F">
              <w:rPr>
                <w:kern w:val="2"/>
                <w:szCs w:val="24"/>
              </w:rPr>
              <w:t>adres</w:t>
            </w:r>
            <w:r w:rsidR="00992323" w:rsidRPr="009D714F">
              <w:rPr>
                <w:kern w:val="2"/>
                <w:szCs w:val="24"/>
              </w:rPr>
              <w:t>u</w:t>
            </w:r>
            <w:r w:rsidRPr="009D714F">
              <w:rPr>
                <w:kern w:val="2"/>
                <w:szCs w:val="24"/>
              </w:rPr>
              <w:t xml:space="preserve">: </w:t>
            </w:r>
            <w:r w:rsidR="0000134A" w:rsidRPr="009D714F">
              <w:rPr>
                <w:kern w:val="2"/>
                <w:szCs w:val="24"/>
              </w:rPr>
              <w:t>Liepojos g. 41</w:t>
            </w:r>
            <w:r w:rsidR="00AA416E" w:rsidRPr="009D714F">
              <w:rPr>
                <w:kern w:val="2"/>
                <w:szCs w:val="24"/>
              </w:rPr>
              <w:t xml:space="preserve"> ir Liepojos 45</w:t>
            </w:r>
            <w:r w:rsidR="00992323" w:rsidRPr="009D714F">
              <w:rPr>
                <w:kern w:val="2"/>
                <w:szCs w:val="24"/>
              </w:rPr>
              <w:t>,</w:t>
            </w:r>
            <w:r w:rsidRPr="009D714F">
              <w:rPr>
                <w:kern w:val="2"/>
                <w:szCs w:val="24"/>
              </w:rPr>
              <w:t xml:space="preserve"> Klaipėda, </w:t>
            </w:r>
            <w:r w:rsidRPr="009D714F">
              <w:rPr>
                <w:rFonts w:eastAsia="Calibri"/>
                <w:szCs w:val="24"/>
                <w:shd w:val="clear" w:color="auto" w:fill="FFFFFF"/>
              </w:rPr>
              <w:t>VšĮ Klaipėdos universiteto ligoninė</w:t>
            </w:r>
            <w:r w:rsidR="00F22C9B" w:rsidRPr="009D714F">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5FD3C6EA" w14:textId="39C8BFAE" w:rsidR="007D1B07" w:rsidRPr="009D714F" w:rsidRDefault="009D714F">
            <w:pPr>
              <w:rPr>
                <w:kern w:val="2"/>
                <w:sz w:val="22"/>
                <w:szCs w:val="22"/>
              </w:rPr>
            </w:pPr>
            <w:r w:rsidRPr="009D714F">
              <w:rPr>
                <w:kern w:val="2"/>
                <w:sz w:val="22"/>
                <w:szCs w:val="22"/>
              </w:rPr>
              <w:t xml:space="preserve">I dalis – Užsakymai teikiami per </w:t>
            </w:r>
            <w:r w:rsidRPr="009D714F">
              <w:rPr>
                <w:kern w:val="2"/>
                <w:sz w:val="22"/>
                <w:szCs w:val="22"/>
              </w:rPr>
              <w:t>automatizuot</w:t>
            </w:r>
            <w:r w:rsidRPr="009D714F">
              <w:rPr>
                <w:kern w:val="2"/>
                <w:sz w:val="22"/>
                <w:szCs w:val="22"/>
              </w:rPr>
              <w:t>ą</w:t>
            </w:r>
            <w:r w:rsidRPr="009D714F">
              <w:rPr>
                <w:kern w:val="2"/>
                <w:sz w:val="22"/>
                <w:szCs w:val="22"/>
              </w:rPr>
              <w:t xml:space="preserve"> </w:t>
            </w:r>
            <w:r w:rsidRPr="009D714F">
              <w:rPr>
                <w:kern w:val="2"/>
                <w:sz w:val="22"/>
                <w:szCs w:val="22"/>
              </w:rPr>
              <w:t>prekių tiekimo valdymo sistemą.</w:t>
            </w:r>
            <w:r>
              <w:rPr>
                <w:kern w:val="2"/>
                <w:sz w:val="22"/>
                <w:szCs w:val="22"/>
              </w:rPr>
              <w:t xml:space="preserve"> Sistemos veikimas nurodytas </w:t>
            </w:r>
            <w:r w:rsidRPr="007932F5">
              <w:rPr>
                <w:kern w:val="2"/>
                <w:sz w:val="22"/>
                <w:szCs w:val="22"/>
              </w:rPr>
              <w:t>Sutarties priede Nr. 1 „Techninė specifikacija“</w:t>
            </w:r>
            <w:r>
              <w:rPr>
                <w:kern w:val="2"/>
                <w:sz w:val="22"/>
                <w:szCs w:val="22"/>
              </w:rPr>
              <w:t>.</w:t>
            </w:r>
          </w:p>
          <w:p w14:paraId="4F9F0D5E" w14:textId="5B97559C" w:rsidR="00B767F3" w:rsidRPr="00EB3BAC" w:rsidRDefault="009D714F">
            <w:pPr>
              <w:rPr>
                <w:kern w:val="2"/>
                <w:sz w:val="22"/>
                <w:szCs w:val="22"/>
              </w:rPr>
            </w:pPr>
            <w:r w:rsidRPr="009D714F">
              <w:rPr>
                <w:kern w:val="2"/>
                <w:sz w:val="22"/>
                <w:szCs w:val="22"/>
              </w:rPr>
              <w:t xml:space="preserve">II dalis - </w:t>
            </w:r>
            <w:r w:rsidR="00D03C1E" w:rsidRPr="009D714F">
              <w:rPr>
                <w:kern w:val="2"/>
                <w:sz w:val="22"/>
                <w:szCs w:val="22"/>
              </w:rPr>
              <w:t>Užsakymai teikiami Tiekėjo nurodytu elektroniniu paštu ir laikomi gautais</w:t>
            </w:r>
            <w:r w:rsidR="00A12F1C" w:rsidRPr="009D714F">
              <w:rPr>
                <w:kern w:val="2"/>
                <w:sz w:val="22"/>
                <w:szCs w:val="22"/>
              </w:rPr>
              <w:t xml:space="preserve"> </w:t>
            </w:r>
            <w:r w:rsidR="001E410C" w:rsidRPr="009D714F">
              <w:rPr>
                <w:kern w:val="2"/>
                <w:sz w:val="22"/>
                <w:szCs w:val="22"/>
              </w:rPr>
              <w:t>po 24 (dvidešimt keturių valandų)</w:t>
            </w:r>
            <w:r w:rsidR="00D03C1E" w:rsidRPr="009D714F">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433BF550" w14:textId="77777777" w:rsidR="00BC285E" w:rsidRPr="00094467" w:rsidRDefault="00BC285E" w:rsidP="00BC285E">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Pr="00094467">
              <w:rPr>
                <w:kern w:val="2"/>
                <w:sz w:val="22"/>
                <w:szCs w:val="22"/>
              </w:rPr>
              <w:t xml:space="preserve">Prekių perdavimo-priėmimo aktas; </w:t>
            </w:r>
          </w:p>
          <w:p w14:paraId="2F4766A9" w14:textId="7A78372D" w:rsidR="00BC285E" w:rsidRPr="00094467" w:rsidRDefault="00BC285E" w:rsidP="00BC285E">
            <w:pPr>
              <w:jc w:val="both"/>
              <w:rPr>
                <w:sz w:val="22"/>
                <w:szCs w:val="22"/>
              </w:rPr>
            </w:pPr>
            <w:r w:rsidRPr="00094467">
              <w:rPr>
                <w:kern w:val="2"/>
                <w:sz w:val="22"/>
                <w:szCs w:val="22"/>
              </w:rPr>
              <w:t>4.5.2.</w:t>
            </w:r>
            <w:r w:rsidRPr="00094467">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094467">
              <w:rPr>
                <w:i/>
                <w:iCs/>
                <w:sz w:val="22"/>
                <w:szCs w:val="22"/>
              </w:rPr>
              <w:t>Voluntary Standard for Repulping and Recycling Corrugated Fiberboard Treated to Improve Its Performance in the Presence of Water and Water Vapor, </w:t>
            </w:r>
            <w:r w:rsidRPr="00094467">
              <w:rPr>
                <w:sz w:val="22"/>
                <w:szCs w:val="22"/>
              </w:rPr>
              <w:t>standartas</w:t>
            </w:r>
            <w:r w:rsidRPr="00094467">
              <w:rPr>
                <w:i/>
                <w:iCs/>
                <w:sz w:val="22"/>
                <w:szCs w:val="22"/>
              </w:rPr>
              <w:t> RecyClass </w:t>
            </w:r>
            <w:r w:rsidRPr="00094467">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sz w:val="22"/>
                <w:szCs w:val="22"/>
              </w:rPr>
              <w:t>;</w:t>
            </w:r>
          </w:p>
          <w:p w14:paraId="613A3AA2" w14:textId="51A86628" w:rsidR="00BC285E" w:rsidRDefault="00BC285E" w:rsidP="00BC285E">
            <w:pPr>
              <w:jc w:val="both"/>
              <w:rPr>
                <w:sz w:val="22"/>
                <w:szCs w:val="22"/>
              </w:rPr>
            </w:pPr>
            <w:r>
              <w:rPr>
                <w:sz w:val="22"/>
                <w:szCs w:val="22"/>
              </w:rPr>
              <w:t>4.5.</w:t>
            </w:r>
            <w:r w:rsidR="009D714F">
              <w:rPr>
                <w:sz w:val="22"/>
                <w:szCs w:val="22"/>
              </w:rPr>
              <w:t>3</w:t>
            </w:r>
            <w:r>
              <w:rPr>
                <w:sz w:val="22"/>
                <w:szCs w:val="22"/>
              </w:rPr>
              <w:t>.</w:t>
            </w:r>
            <w:r w:rsidRPr="007932F5">
              <w:rPr>
                <w:sz w:val="22"/>
                <w:szCs w:val="22"/>
              </w:rPr>
              <w:t xml:space="preserve">Kiti dokumentai nurodyti </w:t>
            </w:r>
            <w:r w:rsidRPr="007932F5">
              <w:rPr>
                <w:kern w:val="2"/>
                <w:sz w:val="22"/>
                <w:szCs w:val="22"/>
              </w:rPr>
              <w:t>Sutarties priede Nr. 1 „Techninė specifikacija“</w:t>
            </w:r>
            <w:r>
              <w:rPr>
                <w:kern w:val="2"/>
                <w:sz w:val="22"/>
                <w:szCs w:val="22"/>
              </w:rPr>
              <w:t>.</w:t>
            </w:r>
          </w:p>
          <w:p w14:paraId="73FFA04B" w14:textId="2413CFD0" w:rsidR="00641B5E" w:rsidRPr="00EB3BAC" w:rsidRDefault="00641B5E" w:rsidP="00516EEE">
            <w:pPr>
              <w:jc w:val="both"/>
              <w:rPr>
                <w:kern w:val="2"/>
                <w:sz w:val="22"/>
                <w:szCs w:val="22"/>
              </w:rPr>
            </w:pPr>
          </w:p>
        </w:tc>
      </w:tr>
      <w:bookmarkEnd w:id="1"/>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lastRenderedPageBreak/>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lastRenderedPageBreak/>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51470B"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lastRenderedPageBreak/>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w:t>
            </w:r>
            <w:r w:rsidRPr="00EB3BAC">
              <w:rPr>
                <w:b/>
                <w:bCs/>
                <w:kern w:val="2"/>
                <w:sz w:val="22"/>
                <w:szCs w:val="22"/>
              </w:rPr>
              <w:lastRenderedPageBreak/>
              <w:t xml:space="preserve">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lastRenderedPageBreak/>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B997329"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00C1517E">
              <w:rPr>
                <w:kern w:val="2"/>
                <w:sz w:val="22"/>
                <w:szCs w:val="22"/>
              </w:rPr>
              <w:t>.1.1.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lastRenderedPageBreak/>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lastRenderedPageBreak/>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228B6108"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CF3229">
              <w:rPr>
                <w:color w:val="000000"/>
                <w:kern w:val="2"/>
                <w:sz w:val="22"/>
                <w:szCs w:val="22"/>
              </w:rPr>
              <w:t>25</w:t>
            </w:r>
            <w:r w:rsidRPr="0000134A">
              <w:rPr>
                <w:kern w:val="2"/>
                <w:sz w:val="22"/>
                <w:szCs w:val="22"/>
              </w:rPr>
              <w:t xml:space="preserve"> mėnesiai</w:t>
            </w:r>
            <w:r w:rsidR="0000134A">
              <w:rPr>
                <w:b/>
                <w:bCs/>
                <w:kern w:val="2"/>
                <w:sz w:val="22"/>
                <w:szCs w:val="22"/>
              </w:rPr>
              <w:t xml:space="preserve"> (</w:t>
            </w:r>
            <w:r w:rsidR="00CF3229">
              <w:rPr>
                <w:b/>
                <w:bCs/>
                <w:kern w:val="2"/>
                <w:sz w:val="22"/>
                <w:szCs w:val="22"/>
              </w:rPr>
              <w:t>25</w:t>
            </w:r>
            <w:r w:rsidR="0000134A">
              <w:rPr>
                <w:b/>
                <w:bCs/>
                <w:kern w:val="2"/>
                <w:sz w:val="22"/>
                <w:szCs w:val="22"/>
              </w:rPr>
              <w:t xml:space="preserve">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2"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5B4FDC7C" w:rsidR="00641B5E" w:rsidRPr="00EB3BAC" w:rsidRDefault="00160BBE" w:rsidP="00641B5E">
            <w:pPr>
              <w:rPr>
                <w:rFonts w:eastAsia="Arial"/>
                <w:sz w:val="22"/>
                <w:szCs w:val="22"/>
              </w:rPr>
            </w:pPr>
            <w:r w:rsidRPr="00160BBE">
              <w:rPr>
                <w:kern w:val="2"/>
                <w:sz w:val="22"/>
                <w:szCs w:val="22"/>
              </w:rPr>
              <w:t xml:space="preserve">Neišpirkus viso prekių kiekio, </w:t>
            </w:r>
            <w:r w:rsidRPr="00160BBE">
              <w:rPr>
                <w:kern w:val="2"/>
                <w:sz w:val="22"/>
                <w:szCs w:val="22"/>
              </w:rPr>
              <w:t>Šalių abipusiu rašytiniu Susitarimu</w:t>
            </w:r>
            <w:r w:rsidRPr="00160BBE">
              <w:rPr>
                <w:kern w:val="2"/>
                <w:sz w:val="22"/>
                <w:szCs w:val="22"/>
              </w:rPr>
              <w:t>,</w:t>
            </w:r>
            <w:r w:rsidRPr="00160BBE">
              <w:rPr>
                <w:kern w:val="2"/>
                <w:sz w:val="22"/>
                <w:szCs w:val="22"/>
              </w:rPr>
              <w:t xml:space="preserve"> Sutartis tomis pačiomis sąlygomis nedidinant Sutarties kainos gali būti pratęsta 1 (vieną) kartą </w:t>
            </w:r>
            <w:r w:rsidRPr="00160BBE">
              <w:rPr>
                <w:kern w:val="2"/>
                <w:sz w:val="22"/>
                <w:szCs w:val="22"/>
              </w:rPr>
              <w:t>6</w:t>
            </w:r>
            <w:r w:rsidRPr="00160BBE">
              <w:rPr>
                <w:kern w:val="2"/>
                <w:sz w:val="22"/>
                <w:szCs w:val="22"/>
              </w:rPr>
              <w:t xml:space="preserve"> (</w:t>
            </w:r>
            <w:r w:rsidRPr="00160BBE">
              <w:rPr>
                <w:kern w:val="2"/>
                <w:sz w:val="22"/>
                <w:szCs w:val="22"/>
              </w:rPr>
              <w:t>šešių</w:t>
            </w:r>
            <w:r w:rsidRPr="00160BBE">
              <w:rPr>
                <w:kern w:val="2"/>
                <w:sz w:val="22"/>
                <w:szCs w:val="22"/>
              </w:rPr>
              <w:t>) mėnesių laikotarpiui</w:t>
            </w:r>
            <w:r w:rsidRPr="00160BBE">
              <w:rPr>
                <w:kern w:val="2"/>
                <w:sz w:val="22"/>
                <w:szCs w:val="22"/>
              </w:rPr>
              <w:t>.</w:t>
            </w:r>
          </w:p>
        </w:tc>
      </w:tr>
      <w:bookmarkEnd w:id="2"/>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lastRenderedPageBreak/>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1F0F"/>
    <w:rsid w:val="000D0BE4"/>
    <w:rsid w:val="000D76B6"/>
    <w:rsid w:val="000E0C48"/>
    <w:rsid w:val="000E5AE2"/>
    <w:rsid w:val="000E6BA9"/>
    <w:rsid w:val="00101D2A"/>
    <w:rsid w:val="0010486A"/>
    <w:rsid w:val="0011059D"/>
    <w:rsid w:val="00112B80"/>
    <w:rsid w:val="0011733A"/>
    <w:rsid w:val="00142858"/>
    <w:rsid w:val="001441C0"/>
    <w:rsid w:val="00144FDC"/>
    <w:rsid w:val="001470CC"/>
    <w:rsid w:val="00160BBE"/>
    <w:rsid w:val="00170148"/>
    <w:rsid w:val="00192314"/>
    <w:rsid w:val="001B2EB7"/>
    <w:rsid w:val="001C297D"/>
    <w:rsid w:val="001C3CC7"/>
    <w:rsid w:val="001D0762"/>
    <w:rsid w:val="001E410C"/>
    <w:rsid w:val="00201517"/>
    <w:rsid w:val="00202E5E"/>
    <w:rsid w:val="00206616"/>
    <w:rsid w:val="00213B60"/>
    <w:rsid w:val="00267F55"/>
    <w:rsid w:val="002764F4"/>
    <w:rsid w:val="00280D42"/>
    <w:rsid w:val="002B1A83"/>
    <w:rsid w:val="002B5DAD"/>
    <w:rsid w:val="002B685E"/>
    <w:rsid w:val="002B7C65"/>
    <w:rsid w:val="002E7DD2"/>
    <w:rsid w:val="002F0B5F"/>
    <w:rsid w:val="003066EA"/>
    <w:rsid w:val="00314A4E"/>
    <w:rsid w:val="00316580"/>
    <w:rsid w:val="00323026"/>
    <w:rsid w:val="0033497D"/>
    <w:rsid w:val="00334A85"/>
    <w:rsid w:val="0034000A"/>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4614"/>
    <w:rsid w:val="00412904"/>
    <w:rsid w:val="00412EC1"/>
    <w:rsid w:val="004225B3"/>
    <w:rsid w:val="004508F6"/>
    <w:rsid w:val="004564B0"/>
    <w:rsid w:val="00461577"/>
    <w:rsid w:val="00467759"/>
    <w:rsid w:val="00486663"/>
    <w:rsid w:val="00491CA5"/>
    <w:rsid w:val="004A1FB5"/>
    <w:rsid w:val="004B2704"/>
    <w:rsid w:val="004D51D8"/>
    <w:rsid w:val="004E4768"/>
    <w:rsid w:val="004F54D2"/>
    <w:rsid w:val="00504A6C"/>
    <w:rsid w:val="00516EEE"/>
    <w:rsid w:val="00531511"/>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D12"/>
    <w:rsid w:val="006032C3"/>
    <w:rsid w:val="00607888"/>
    <w:rsid w:val="006210E5"/>
    <w:rsid w:val="006269C0"/>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EDE"/>
    <w:rsid w:val="00785F94"/>
    <w:rsid w:val="007919E1"/>
    <w:rsid w:val="007D1B07"/>
    <w:rsid w:val="007E26F5"/>
    <w:rsid w:val="007F03B7"/>
    <w:rsid w:val="007F22F9"/>
    <w:rsid w:val="008053FE"/>
    <w:rsid w:val="00816C61"/>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746F4"/>
    <w:rsid w:val="009813E6"/>
    <w:rsid w:val="00985A59"/>
    <w:rsid w:val="00992323"/>
    <w:rsid w:val="009A15CE"/>
    <w:rsid w:val="009B5401"/>
    <w:rsid w:val="009C0E1E"/>
    <w:rsid w:val="009D50D6"/>
    <w:rsid w:val="009D714F"/>
    <w:rsid w:val="009E789A"/>
    <w:rsid w:val="009F734E"/>
    <w:rsid w:val="00A057A7"/>
    <w:rsid w:val="00A12F1C"/>
    <w:rsid w:val="00A13299"/>
    <w:rsid w:val="00A136B1"/>
    <w:rsid w:val="00A16EEB"/>
    <w:rsid w:val="00A34DC0"/>
    <w:rsid w:val="00A412B3"/>
    <w:rsid w:val="00A57B12"/>
    <w:rsid w:val="00A643A0"/>
    <w:rsid w:val="00A706E3"/>
    <w:rsid w:val="00A77CA0"/>
    <w:rsid w:val="00A97284"/>
    <w:rsid w:val="00A9736A"/>
    <w:rsid w:val="00AA29DE"/>
    <w:rsid w:val="00AA416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285E"/>
    <w:rsid w:val="00BC7BFE"/>
    <w:rsid w:val="00BC7EF4"/>
    <w:rsid w:val="00BD0529"/>
    <w:rsid w:val="00BE1B9C"/>
    <w:rsid w:val="00BF0847"/>
    <w:rsid w:val="00C03FDB"/>
    <w:rsid w:val="00C1517E"/>
    <w:rsid w:val="00C15A35"/>
    <w:rsid w:val="00C478DF"/>
    <w:rsid w:val="00C56A25"/>
    <w:rsid w:val="00C645EE"/>
    <w:rsid w:val="00C81F89"/>
    <w:rsid w:val="00CC3A99"/>
    <w:rsid w:val="00CD0E93"/>
    <w:rsid w:val="00CE0AA9"/>
    <w:rsid w:val="00CE4D1B"/>
    <w:rsid w:val="00CF3229"/>
    <w:rsid w:val="00D03A5B"/>
    <w:rsid w:val="00D03C1E"/>
    <w:rsid w:val="00D046B4"/>
    <w:rsid w:val="00D062A8"/>
    <w:rsid w:val="00D07916"/>
    <w:rsid w:val="00D13F9E"/>
    <w:rsid w:val="00D26DC4"/>
    <w:rsid w:val="00D3232C"/>
    <w:rsid w:val="00D442FF"/>
    <w:rsid w:val="00D45212"/>
    <w:rsid w:val="00D4625E"/>
    <w:rsid w:val="00D660F4"/>
    <w:rsid w:val="00D70DC7"/>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tyna.norut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67236</Words>
  <Characters>38326</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3</cp:revision>
  <dcterms:created xsi:type="dcterms:W3CDTF">2025-12-23T08:52:00Z</dcterms:created>
  <dcterms:modified xsi:type="dcterms:W3CDTF">2025-12-23T08:53:00Z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