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8826" w14:textId="704E4F71" w:rsidR="00EB64F7" w:rsidRPr="00505994" w:rsidRDefault="00EB64F7" w:rsidP="00EB64F7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 xml:space="preserve"> </w:t>
      </w:r>
      <w:r w:rsidR="00663482">
        <w:rPr>
          <w:szCs w:val="24"/>
          <w:lang w:val="en-US"/>
        </w:rPr>
        <w:t>7</w:t>
      </w:r>
      <w:r w:rsidRPr="00F770CF">
        <w:rPr>
          <w:szCs w:val="24"/>
        </w:rPr>
        <w:t xml:space="preserve"> priedas </w:t>
      </w:r>
    </w:p>
    <w:p w14:paraId="1F21162F" w14:textId="77777777" w:rsidR="00EB64F7" w:rsidRDefault="00EB64F7" w:rsidP="00644B38">
      <w:pPr>
        <w:tabs>
          <w:tab w:val="left" w:pos="1276"/>
        </w:tabs>
        <w:jc w:val="center"/>
        <w:rPr>
          <w:rFonts w:eastAsia="Arial Unicode MS"/>
          <w:b/>
          <w:caps/>
          <w:sz w:val="22"/>
          <w:szCs w:val="22"/>
          <w:bdr w:val="nil"/>
          <w:lang w:val="en-US"/>
        </w:rPr>
      </w:pPr>
    </w:p>
    <w:p w14:paraId="12560838" w14:textId="753C233F" w:rsidR="00D41C07" w:rsidRPr="00644B38" w:rsidRDefault="00644B38" w:rsidP="00644B38">
      <w:pPr>
        <w:tabs>
          <w:tab w:val="left" w:pos="1276"/>
        </w:tabs>
        <w:jc w:val="center"/>
        <w:rPr>
          <w:rFonts w:eastAsia="Arial Unicode MS"/>
          <w:b/>
          <w:caps/>
          <w:sz w:val="22"/>
          <w:szCs w:val="22"/>
          <w:bdr w:val="nil"/>
          <w:lang w:val="en-US"/>
        </w:rPr>
      </w:pPr>
      <w:r w:rsidRPr="00644B38">
        <w:rPr>
          <w:rFonts w:eastAsia="Arial Unicode MS"/>
          <w:b/>
          <w:caps/>
          <w:sz w:val="22"/>
          <w:szCs w:val="22"/>
          <w:bdr w:val="nil"/>
          <w:lang w:val="en-US"/>
        </w:rPr>
        <w:t>Pasiūlymų pagal kainos ir kokybės santykį vertinimo tvarka</w:t>
      </w:r>
    </w:p>
    <w:p w14:paraId="22EB7C0E" w14:textId="77777777" w:rsid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</w:p>
    <w:p w14:paraId="63DBC211" w14:textId="197ED7B2" w:rsidR="006D7716" w:rsidRP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  <w:r w:rsidRPr="006D7716">
        <w:rPr>
          <w:lang w:eastAsia="lt-LT"/>
        </w:rPr>
        <w:t>1. Pasiūlymų vertinimo kriterijai: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41"/>
        <w:gridCol w:w="4505"/>
        <w:gridCol w:w="1342"/>
        <w:gridCol w:w="3047"/>
      </w:tblGrid>
      <w:tr w:rsidR="006D7716" w:rsidRPr="006D7716" w14:paraId="692207FD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0B0E052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1C9A4A9C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Vertinimo kriterijai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62D0B94" w14:textId="77777777" w:rsidR="006D7716" w:rsidRPr="006D7716" w:rsidRDefault="006D7716" w:rsidP="006D7716">
            <w:pPr>
              <w:widowControl w:val="0"/>
              <w:suppressAutoHyphens/>
              <w:ind w:hanging="7"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Lyginamasis svoris ekonominio naudingumo įvertinime</w:t>
            </w:r>
          </w:p>
        </w:tc>
      </w:tr>
      <w:tr w:rsidR="006D7716" w:rsidRPr="006D7716" w14:paraId="079D7878" w14:textId="77777777" w:rsidTr="008365A5">
        <w:trPr>
          <w:cantSplit/>
          <w:trHeight w:val="50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99678D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D26629D" w14:textId="77777777" w:rsidR="006D7716" w:rsidRPr="006D7716" w:rsidRDefault="006D7716" w:rsidP="006D7716">
            <w:pPr>
              <w:widowControl w:val="0"/>
              <w:suppressAutoHyphens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4A20B6E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D7716" w:rsidRPr="006D7716" w14:paraId="496541A0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F2350A9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1.</w:t>
            </w:r>
          </w:p>
          <w:p w14:paraId="48DA3EA8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7A29602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 xml:space="preserve">Pasiūlymo kaina </w:t>
            </w:r>
            <w:r w:rsidRPr="006D7716">
              <w:rPr>
                <w:rFonts w:eastAsia="Calibri"/>
                <w:szCs w:val="24"/>
              </w:rPr>
              <w:t xml:space="preserve">(nurodyta Konkurso sąlygų 2 priede) </w:t>
            </w:r>
            <w:r w:rsidRPr="006D7716">
              <w:rPr>
                <w:rFonts w:eastAsia="Calibri"/>
                <w:b/>
                <w:bCs/>
                <w:szCs w:val="24"/>
              </w:rPr>
              <w:t>(C)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361C8E8" w14:textId="14E5C9D6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</w:rPr>
            </w:pPr>
            <w:r w:rsidRPr="006D7716">
              <w:rPr>
                <w:rFonts w:eastAsia="Calibri"/>
                <w:szCs w:val="24"/>
              </w:rPr>
              <w:t xml:space="preserve">X = </w:t>
            </w:r>
            <w:r w:rsidR="00F57D83">
              <w:rPr>
                <w:rFonts w:eastAsia="Calibri"/>
                <w:szCs w:val="24"/>
              </w:rPr>
              <w:t>30</w:t>
            </w:r>
          </w:p>
        </w:tc>
      </w:tr>
      <w:tr w:rsidR="006D7716" w:rsidRPr="006D7716" w14:paraId="3FB6F551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C936CB1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EBDACC6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Funkcinės charakteristikos: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D9A060A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Vertinimo skalė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8E68CDD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6D7716" w:rsidRPr="006D7716" w14:paraId="335CC99C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8EE0827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BBB74F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Sutarties vykdymo ir valdymo efektyvumas ir kokybė (T)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273FDD5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</w:p>
          <w:p w14:paraId="46DDADB1" w14:textId="16A03D7B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AA41EC">
              <w:rPr>
                <w:rFonts w:eastAsia="Calibri"/>
                <w:b/>
                <w:bCs/>
                <w:szCs w:val="24"/>
              </w:rPr>
              <w:t>Maks. 1</w:t>
            </w:r>
            <w:r w:rsidR="00E40362" w:rsidRPr="00AA41EC">
              <w:rPr>
                <w:rFonts w:eastAsia="Calibri"/>
                <w:b/>
                <w:bCs/>
                <w:szCs w:val="24"/>
              </w:rPr>
              <w:t>4</w:t>
            </w:r>
            <w:r w:rsidRPr="00AA41EC">
              <w:rPr>
                <w:rFonts w:eastAsia="Calibri"/>
                <w:b/>
                <w:bCs/>
                <w:szCs w:val="24"/>
              </w:rPr>
              <w:t xml:space="preserve"> balų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15D4CEC" w14:textId="3FABE773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  <w:lang w:val="en-US"/>
              </w:rPr>
            </w:pPr>
            <w:r w:rsidRPr="006D7716">
              <w:rPr>
                <w:rFonts w:eastAsia="Calibri"/>
                <w:szCs w:val="24"/>
              </w:rPr>
              <w:t>Y</w:t>
            </w:r>
            <w:r w:rsidRPr="006D7716">
              <w:rPr>
                <w:rFonts w:eastAsia="Calibri"/>
                <w:szCs w:val="24"/>
                <w:vertAlign w:val="subscript"/>
              </w:rPr>
              <w:t xml:space="preserve"> </w:t>
            </w:r>
            <w:r w:rsidRPr="006D7716">
              <w:rPr>
                <w:rFonts w:eastAsia="Calibri"/>
                <w:szCs w:val="24"/>
                <w:lang w:val="en-US"/>
              </w:rPr>
              <w:t xml:space="preserve">= </w:t>
            </w:r>
            <w:r w:rsidR="00F57D83">
              <w:rPr>
                <w:rFonts w:eastAsia="Calibri"/>
                <w:szCs w:val="24"/>
                <w:lang w:val="en-US"/>
              </w:rPr>
              <w:t>70</w:t>
            </w:r>
          </w:p>
        </w:tc>
      </w:tr>
    </w:tbl>
    <w:p w14:paraId="09AF3147" w14:textId="77777777" w:rsidR="006D7716" w:rsidRPr="006D7716" w:rsidRDefault="006D7716" w:rsidP="006D7716">
      <w:pPr>
        <w:rPr>
          <w:lang w:eastAsia="lt-LT"/>
        </w:rPr>
      </w:pPr>
    </w:p>
    <w:p w14:paraId="21022ED6" w14:textId="42002C17" w:rsidR="006D7716" w:rsidRPr="006D7716" w:rsidRDefault="006D7716" w:rsidP="006D7716">
      <w:pPr>
        <w:tabs>
          <w:tab w:val="left" w:pos="426"/>
        </w:tabs>
        <w:ind w:left="851"/>
        <w:jc w:val="both"/>
        <w:rPr>
          <w:rFonts w:eastAsia="Calibri"/>
          <w:szCs w:val="24"/>
        </w:rPr>
      </w:pPr>
      <w:r w:rsidRPr="006D7716">
        <w:rPr>
          <w:rFonts w:eastAsia="Calibri"/>
          <w:szCs w:val="24"/>
        </w:rPr>
        <w:t>2. Klausimynas funkcinių charakteristikų vertinimui: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2"/>
        <w:gridCol w:w="3156"/>
        <w:gridCol w:w="1417"/>
        <w:gridCol w:w="3963"/>
      </w:tblGrid>
      <w:tr w:rsidR="006D7716" w:rsidRPr="006D7716" w14:paraId="35A6830F" w14:textId="77777777" w:rsidTr="008365A5">
        <w:tc>
          <w:tcPr>
            <w:tcW w:w="1092" w:type="dxa"/>
          </w:tcPr>
          <w:p w14:paraId="6BCB8A80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156" w:type="dxa"/>
          </w:tcPr>
          <w:p w14:paraId="7A8D4AA1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Klausimai / užduotys teikėjui</w:t>
            </w:r>
          </w:p>
        </w:tc>
        <w:tc>
          <w:tcPr>
            <w:tcW w:w="1417" w:type="dxa"/>
          </w:tcPr>
          <w:p w14:paraId="197505B1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Balai</w:t>
            </w:r>
          </w:p>
        </w:tc>
        <w:tc>
          <w:tcPr>
            <w:tcW w:w="3963" w:type="dxa"/>
          </w:tcPr>
          <w:p w14:paraId="39680CE0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Teikėjo atsakymo/aprašymo vertinimas</w:t>
            </w:r>
          </w:p>
          <w:p w14:paraId="67C2C257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szCs w:val="24"/>
              </w:rPr>
              <w:t>(</w:t>
            </w:r>
            <w:r w:rsidRPr="006D7716">
              <w:rPr>
                <w:i/>
                <w:szCs w:val="24"/>
              </w:rPr>
              <w:t>nurodoma minimalių ir maksimalių balų skyrimo tvarka, tarpiniai balai skiriami proporcingai)</w:t>
            </w:r>
          </w:p>
        </w:tc>
      </w:tr>
      <w:tr w:rsidR="006D7716" w:rsidRPr="006D7716" w14:paraId="23092252" w14:textId="77777777" w:rsidTr="008365A5">
        <w:tc>
          <w:tcPr>
            <w:tcW w:w="1092" w:type="dxa"/>
          </w:tcPr>
          <w:p w14:paraId="4FFEAF2A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</w:t>
            </w:r>
          </w:p>
        </w:tc>
        <w:tc>
          <w:tcPr>
            <w:tcW w:w="3156" w:type="dxa"/>
          </w:tcPr>
          <w:p w14:paraId="7892BA7E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b/>
                <w:bCs/>
                <w:szCs w:val="24"/>
              </w:rPr>
              <w:t>Sutarties vykdymo ir valdymo efektyvumas ir kokybė (T)</w:t>
            </w:r>
          </w:p>
        </w:tc>
        <w:tc>
          <w:tcPr>
            <w:tcW w:w="1417" w:type="dxa"/>
          </w:tcPr>
          <w:p w14:paraId="3009649E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963" w:type="dxa"/>
          </w:tcPr>
          <w:p w14:paraId="7365CA27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D7716" w:rsidRPr="006D7716" w14:paraId="7AA24808" w14:textId="77777777" w:rsidTr="008365A5">
        <w:trPr>
          <w:trHeight w:val="569"/>
        </w:trPr>
        <w:tc>
          <w:tcPr>
            <w:tcW w:w="1092" w:type="dxa"/>
          </w:tcPr>
          <w:p w14:paraId="307669D9" w14:textId="1AEDE6FE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2.1.</w:t>
            </w:r>
            <w:r w:rsidR="007B2470">
              <w:rPr>
                <w:szCs w:val="24"/>
              </w:rPr>
              <w:t>*</w:t>
            </w:r>
          </w:p>
        </w:tc>
        <w:tc>
          <w:tcPr>
            <w:tcW w:w="3156" w:type="dxa"/>
          </w:tcPr>
          <w:p w14:paraId="49C77D4D" w14:textId="77777777" w:rsidR="006D7716" w:rsidRDefault="006D7716" w:rsidP="006D7716">
            <w:pPr>
              <w:spacing w:after="120"/>
              <w:rPr>
                <w:szCs w:val="24"/>
              </w:rPr>
            </w:pPr>
            <w:r w:rsidRPr="006D7716">
              <w:rPr>
                <w:szCs w:val="24"/>
              </w:rPr>
              <w:t>Teikėjo pasiūlytas specialistas (Nr.1), kuris tiesiogiai teiks perkančiajai organizacijai paslaugas, patirtis</w:t>
            </w:r>
          </w:p>
          <w:p w14:paraId="4BB73E4E" w14:textId="77777777" w:rsidR="0028330D" w:rsidRDefault="0028330D" w:rsidP="006D7716">
            <w:pPr>
              <w:spacing w:after="120"/>
              <w:rPr>
                <w:i/>
                <w:caps/>
                <w:szCs w:val="24"/>
              </w:rPr>
            </w:pPr>
          </w:p>
          <w:p w14:paraId="051EDA27" w14:textId="77777777" w:rsidR="006D7716" w:rsidRPr="006D7716" w:rsidRDefault="006D7716" w:rsidP="00834B1F">
            <w:pPr>
              <w:spacing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BA3C238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0-5</w:t>
            </w:r>
          </w:p>
        </w:tc>
        <w:tc>
          <w:tcPr>
            <w:tcW w:w="3963" w:type="dxa"/>
          </w:tcPr>
          <w:p w14:paraId="245E8CBA" w14:textId="77777777" w:rsidR="006D7716" w:rsidRPr="006D7716" w:rsidRDefault="006D7716" w:rsidP="006D7716">
            <w:pPr>
              <w:rPr>
                <w:b/>
                <w:szCs w:val="24"/>
              </w:rPr>
            </w:pPr>
            <w:r w:rsidRPr="006D7716">
              <w:rPr>
                <w:szCs w:val="24"/>
              </w:rPr>
              <w:t>Vertinama teikėjo pasiūlyto   specialisto, kuris tiesiogiai teiks perkančiajai organizacijai paslaugas, darbo patirtis kelionių organizavimo srityje.</w:t>
            </w:r>
          </w:p>
          <w:p w14:paraId="5A497FC1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szCs w:val="24"/>
              </w:rPr>
              <w:t>Balų skyrimo taisyklės</w:t>
            </w:r>
            <w:r w:rsidRPr="006D7716">
              <w:rPr>
                <w:szCs w:val="24"/>
              </w:rPr>
              <w:t>:</w:t>
            </w:r>
          </w:p>
          <w:p w14:paraId="50B6F431" w14:textId="32F8F2FE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0 balų - teikėjo nurodytas specialistas turi ne mažesnę kaip 1 metų, tačiau ne didesnę kaip 2 metų patirtį</w:t>
            </w:r>
          </w:p>
          <w:p w14:paraId="15C2D6EB" w14:textId="1F36846A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1 balas -</w:t>
            </w:r>
            <w:r w:rsidRPr="006D7716">
              <w:rPr>
                <w:szCs w:val="24"/>
              </w:rPr>
              <w:t xml:space="preserve"> teikėjo nurodytas</w:t>
            </w:r>
            <w:r w:rsidRPr="006D7716" w:rsidDel="002D7DD4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 xml:space="preserve"> specialistas turi ne mažesnę kaip 2 metų, tačiau ne didesnę kaip 3 metų patirtį.</w:t>
            </w:r>
          </w:p>
          <w:p w14:paraId="6EBBA40D" w14:textId="4BAFC6C1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2 balai</w:t>
            </w:r>
            <w:r w:rsidRPr="006D7716">
              <w:rPr>
                <w:szCs w:val="24"/>
              </w:rPr>
              <w:t xml:space="preserve"> - teikėjo nurodytas pagrindinis specialistas turi ne mažesnę kaip 3 metų, bet ne didesnę kaip 4 metų patirtį.</w:t>
            </w:r>
          </w:p>
          <w:p w14:paraId="2F9166C8" w14:textId="32EBF474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 xml:space="preserve">3 balai - </w:t>
            </w:r>
            <w:r w:rsidRPr="006D7716">
              <w:rPr>
                <w:szCs w:val="24"/>
              </w:rPr>
              <w:t xml:space="preserve"> teikėjo nurodytas pagrindinis specialistas turi ne mažesnę kaip 4 metų, tačiau ne didesnę kaip 5 metų patirtį.</w:t>
            </w:r>
          </w:p>
          <w:p w14:paraId="7820DB66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4 balai - teikėjo nurodytas pagrindinis specialistas turi 5 ir daugiau metų patirtį.</w:t>
            </w:r>
          </w:p>
          <w:p w14:paraId="1F8DC29B" w14:textId="77777777" w:rsidR="006D7716" w:rsidRPr="006D7716" w:rsidRDefault="006D7716" w:rsidP="006D7716">
            <w:pPr>
              <w:rPr>
                <w:szCs w:val="24"/>
              </w:rPr>
            </w:pPr>
          </w:p>
          <w:p w14:paraId="1C6F732D" w14:textId="54A9644C" w:rsidR="006D7716" w:rsidRPr="006D7716" w:rsidRDefault="006D7716" w:rsidP="006D7716">
            <w:pPr>
              <w:rPr>
                <w:b/>
                <w:bCs/>
                <w:szCs w:val="24"/>
              </w:rPr>
            </w:pPr>
            <w:r w:rsidRPr="006D7716">
              <w:rPr>
                <w:b/>
                <w:bCs/>
                <w:szCs w:val="24"/>
              </w:rPr>
              <w:lastRenderedPageBreak/>
              <w:t>Papildomas 1 balas skiriamas, jei teikėjo siūlomas specialistas turi kelionių organizavimo patirties su valstybės institucija</w:t>
            </w:r>
            <w:r w:rsidR="00992C01" w:rsidRPr="00992C01">
              <w:rPr>
                <w:b/>
                <w:bCs/>
                <w:szCs w:val="24"/>
                <w:lang w:eastAsia="en-US"/>
              </w:rPr>
              <w:t xml:space="preserve"> </w:t>
            </w:r>
            <w:r w:rsidR="00992C01" w:rsidRPr="00992C01">
              <w:rPr>
                <w:b/>
                <w:bCs/>
                <w:szCs w:val="24"/>
              </w:rPr>
              <w:t>ir/ar viešosiomis įstaigomis</w:t>
            </w:r>
            <w:r w:rsidRPr="006D7716">
              <w:rPr>
                <w:b/>
                <w:bCs/>
                <w:szCs w:val="24"/>
              </w:rPr>
              <w:t>.</w:t>
            </w:r>
          </w:p>
        </w:tc>
      </w:tr>
      <w:tr w:rsidR="006D7716" w:rsidRPr="006D7716" w14:paraId="38263FD6" w14:textId="77777777" w:rsidTr="008365A5">
        <w:trPr>
          <w:trHeight w:val="569"/>
        </w:trPr>
        <w:tc>
          <w:tcPr>
            <w:tcW w:w="1092" w:type="dxa"/>
          </w:tcPr>
          <w:p w14:paraId="3EB24E12" w14:textId="1FEB24C2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lastRenderedPageBreak/>
              <w:t>2.2.</w:t>
            </w:r>
            <w:r w:rsidR="007B2470">
              <w:rPr>
                <w:szCs w:val="24"/>
              </w:rPr>
              <w:t>*</w:t>
            </w:r>
          </w:p>
        </w:tc>
        <w:tc>
          <w:tcPr>
            <w:tcW w:w="3156" w:type="dxa"/>
          </w:tcPr>
          <w:p w14:paraId="5969E96C" w14:textId="77777777" w:rsidR="006D7716" w:rsidRPr="006D7716" w:rsidRDefault="006D7716" w:rsidP="006D7716">
            <w:pPr>
              <w:spacing w:after="120"/>
              <w:rPr>
                <w:i/>
                <w:caps/>
              </w:rPr>
            </w:pPr>
            <w:r w:rsidRPr="006D7716">
              <w:rPr>
                <w:szCs w:val="24"/>
              </w:rPr>
              <w:t>Teikėjo pasiūlytas specialistas (Nr.2), kuris tiesiogiai teiks perkančiajai organizacijai paslaugas, patirtis.</w:t>
            </w:r>
          </w:p>
          <w:p w14:paraId="4F2CA8C1" w14:textId="77777777" w:rsidR="006D7716" w:rsidRPr="006D7716" w:rsidRDefault="006D7716" w:rsidP="006D7716">
            <w:pPr>
              <w:spacing w:after="120"/>
              <w:rPr>
                <w:szCs w:val="24"/>
              </w:rPr>
            </w:pPr>
            <w:r w:rsidRPr="006D7716">
              <w:rPr>
                <w:szCs w:val="24"/>
              </w:rPr>
              <w:t>Jei teikėjas nurodo daugiau nei vieną specialistą, vertinama patirtis to specialisto, kurio patirtis yra didžiausia</w:t>
            </w:r>
          </w:p>
        </w:tc>
        <w:tc>
          <w:tcPr>
            <w:tcW w:w="1417" w:type="dxa"/>
          </w:tcPr>
          <w:p w14:paraId="7F52C9C1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0-5</w:t>
            </w:r>
          </w:p>
        </w:tc>
        <w:tc>
          <w:tcPr>
            <w:tcW w:w="3963" w:type="dxa"/>
          </w:tcPr>
          <w:p w14:paraId="2612E28E" w14:textId="77777777" w:rsidR="006D7716" w:rsidRPr="006D7716" w:rsidRDefault="006D7716" w:rsidP="006D7716">
            <w:pPr>
              <w:rPr>
                <w:b/>
                <w:szCs w:val="24"/>
              </w:rPr>
            </w:pPr>
            <w:r w:rsidRPr="006D7716">
              <w:rPr>
                <w:szCs w:val="24"/>
              </w:rPr>
              <w:t>Vertinama teikėjo pasiūlyto   specialisto, kuris tiesiogiai teiks perkančiajai organizacijai paslaugas, darbo patirtis kelionių organizavimo srityje.</w:t>
            </w:r>
          </w:p>
          <w:p w14:paraId="3D8A3BBA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szCs w:val="24"/>
              </w:rPr>
              <w:t>Balų skyrimo taisyklės</w:t>
            </w:r>
            <w:r w:rsidRPr="006D7716">
              <w:rPr>
                <w:szCs w:val="24"/>
              </w:rPr>
              <w:t>:</w:t>
            </w:r>
          </w:p>
          <w:p w14:paraId="7B2215C0" w14:textId="5FFAE862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0 balų - teikėjo nurodytas specialistas turi ne mažesnę kaip 1 metų, tačiau ne didesnę kaip 2 metų patirtį</w:t>
            </w:r>
          </w:p>
          <w:p w14:paraId="65A95604" w14:textId="7FA4FF4A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1 balas -</w:t>
            </w:r>
            <w:r w:rsidRPr="006D7716">
              <w:rPr>
                <w:szCs w:val="24"/>
              </w:rPr>
              <w:t xml:space="preserve"> teikėjo nurodytas</w:t>
            </w:r>
            <w:r w:rsidRPr="006D7716" w:rsidDel="002D7DD4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 xml:space="preserve"> specialistas turi ne mažesnę kaip 2 metų, tačiau ne didesnę kaip 3 metų patirtį.</w:t>
            </w:r>
          </w:p>
          <w:p w14:paraId="2C55CD9E" w14:textId="7F80981E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2 balai</w:t>
            </w:r>
            <w:r w:rsidRPr="006D7716">
              <w:rPr>
                <w:szCs w:val="24"/>
              </w:rPr>
              <w:t xml:space="preserve"> - teikėjo nurodytas specialistas turi ne mažesnę kaip 3 metų, bet ne didesnę kaip 4 metų patirtį.</w:t>
            </w:r>
          </w:p>
          <w:p w14:paraId="72BDEB08" w14:textId="7B807866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 xml:space="preserve">3 balai - </w:t>
            </w:r>
            <w:r w:rsidRPr="006D7716">
              <w:rPr>
                <w:szCs w:val="24"/>
              </w:rPr>
              <w:t xml:space="preserve"> teikėjo nurodytas specialistas turi ne mažesnę kaip 4 metų, tačiau ne didesnę kaip 5 metų patirtį.</w:t>
            </w:r>
          </w:p>
          <w:p w14:paraId="7AEE7A6E" w14:textId="0A97E2AF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4 balai - teikėjo nurodytas specialistas turi 5 ir daugiau metų patirtį.</w:t>
            </w:r>
          </w:p>
          <w:p w14:paraId="29DBB6CA" w14:textId="77777777" w:rsidR="006D7716" w:rsidRPr="006D7716" w:rsidRDefault="006D7716" w:rsidP="006D7716">
            <w:pPr>
              <w:rPr>
                <w:szCs w:val="24"/>
              </w:rPr>
            </w:pPr>
          </w:p>
          <w:p w14:paraId="6D001B5A" w14:textId="0A2A5F96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bCs/>
                <w:szCs w:val="24"/>
              </w:rPr>
              <w:t>Papildomas 1 balas skiriamas, jei teikėjo siūlomas specialistas turi kelionių organizavimo patirties su valstybės institucija</w:t>
            </w:r>
            <w:r w:rsidR="00992C01">
              <w:rPr>
                <w:b/>
                <w:bCs/>
                <w:szCs w:val="24"/>
              </w:rPr>
              <w:t xml:space="preserve"> ir/ar </w:t>
            </w:r>
            <w:r w:rsidR="00992C01" w:rsidRPr="00992C01">
              <w:rPr>
                <w:b/>
                <w:bCs/>
                <w:szCs w:val="24"/>
              </w:rPr>
              <w:t>viešosio</w:t>
            </w:r>
            <w:r w:rsidR="00992C01">
              <w:rPr>
                <w:b/>
                <w:bCs/>
                <w:szCs w:val="24"/>
              </w:rPr>
              <w:t>mis</w:t>
            </w:r>
            <w:r w:rsidR="00992C01" w:rsidRPr="00992C01">
              <w:rPr>
                <w:b/>
                <w:bCs/>
                <w:szCs w:val="24"/>
              </w:rPr>
              <w:t xml:space="preserve"> įstaigomis</w:t>
            </w:r>
            <w:r w:rsidRPr="006D7716">
              <w:rPr>
                <w:b/>
                <w:bCs/>
                <w:szCs w:val="24"/>
              </w:rPr>
              <w:t>.</w:t>
            </w:r>
          </w:p>
        </w:tc>
      </w:tr>
      <w:tr w:rsidR="00834B1F" w:rsidRPr="006D7716" w14:paraId="7A820E3B" w14:textId="77777777" w:rsidTr="008365A5">
        <w:trPr>
          <w:trHeight w:val="569"/>
        </w:trPr>
        <w:tc>
          <w:tcPr>
            <w:tcW w:w="1092" w:type="dxa"/>
          </w:tcPr>
          <w:p w14:paraId="49FA2FCB" w14:textId="77777777" w:rsidR="00834B1F" w:rsidRPr="006D7716" w:rsidRDefault="00834B1F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</w:p>
        </w:tc>
        <w:tc>
          <w:tcPr>
            <w:tcW w:w="3156" w:type="dxa"/>
          </w:tcPr>
          <w:p w14:paraId="1E085B6F" w14:textId="33C360D0" w:rsidR="00834B1F" w:rsidRPr="00EA52D4" w:rsidRDefault="007B2470" w:rsidP="006D7716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 w:rsidR="00834B1F" w:rsidRPr="00EA52D4">
              <w:rPr>
                <w:b/>
                <w:bCs/>
                <w:szCs w:val="24"/>
              </w:rPr>
              <w:t xml:space="preserve">Jei teikėjas </w:t>
            </w:r>
            <w:r w:rsidR="00EA52D4" w:rsidRPr="00EA52D4">
              <w:rPr>
                <w:b/>
                <w:bCs/>
                <w:szCs w:val="24"/>
              </w:rPr>
              <w:t xml:space="preserve">pasiūlyme </w:t>
            </w:r>
            <w:r w:rsidR="00834B1F" w:rsidRPr="00EA52D4">
              <w:rPr>
                <w:b/>
                <w:bCs/>
                <w:szCs w:val="24"/>
              </w:rPr>
              <w:t xml:space="preserve">nurodys daugiau nei du  specialistus, </w:t>
            </w:r>
            <w:r w:rsidR="00EA52D4" w:rsidRPr="00EA52D4">
              <w:rPr>
                <w:b/>
                <w:bCs/>
                <w:szCs w:val="24"/>
              </w:rPr>
              <w:t xml:space="preserve">bus </w:t>
            </w:r>
            <w:r w:rsidR="00834B1F" w:rsidRPr="00EA52D4">
              <w:rPr>
                <w:b/>
                <w:bCs/>
                <w:szCs w:val="24"/>
              </w:rPr>
              <w:t>vertinama patirtis t</w:t>
            </w:r>
            <w:r w:rsidR="00EA52D4" w:rsidRPr="00EA52D4">
              <w:rPr>
                <w:b/>
                <w:bCs/>
                <w:szCs w:val="24"/>
              </w:rPr>
              <w:t>ų</w:t>
            </w:r>
            <w:r w:rsidR="00834B1F" w:rsidRPr="00EA52D4">
              <w:rPr>
                <w:b/>
                <w:bCs/>
                <w:szCs w:val="24"/>
              </w:rPr>
              <w:t xml:space="preserve"> specialist</w:t>
            </w:r>
            <w:r w:rsidR="00EA52D4" w:rsidRPr="00EA52D4">
              <w:rPr>
                <w:b/>
                <w:bCs/>
                <w:szCs w:val="24"/>
              </w:rPr>
              <w:t>ų</w:t>
            </w:r>
            <w:r w:rsidR="00834B1F" w:rsidRPr="00EA52D4">
              <w:rPr>
                <w:b/>
                <w:bCs/>
                <w:szCs w:val="24"/>
              </w:rPr>
              <w:t>, kuri</w:t>
            </w:r>
            <w:r w:rsidR="00EA52D4" w:rsidRPr="00EA52D4">
              <w:rPr>
                <w:b/>
                <w:bCs/>
                <w:szCs w:val="24"/>
              </w:rPr>
              <w:t>ų</w:t>
            </w:r>
            <w:r w:rsidR="00834B1F" w:rsidRPr="00EA52D4">
              <w:rPr>
                <w:b/>
                <w:bCs/>
                <w:szCs w:val="24"/>
              </w:rPr>
              <w:t xml:space="preserve"> patirtis yra didžiausia</w:t>
            </w:r>
            <w:r w:rsidR="00EA52D4" w:rsidRPr="00EA52D4">
              <w:rPr>
                <w:b/>
                <w:bCs/>
                <w:szCs w:val="24"/>
              </w:rPr>
              <w:t>.</w:t>
            </w:r>
          </w:p>
        </w:tc>
        <w:tc>
          <w:tcPr>
            <w:tcW w:w="1417" w:type="dxa"/>
          </w:tcPr>
          <w:p w14:paraId="41A87F40" w14:textId="77777777" w:rsidR="00834B1F" w:rsidRPr="006D7716" w:rsidRDefault="00834B1F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963" w:type="dxa"/>
          </w:tcPr>
          <w:p w14:paraId="7826907D" w14:textId="77777777" w:rsidR="00834B1F" w:rsidRPr="006D7716" w:rsidRDefault="00834B1F" w:rsidP="006D7716">
            <w:pPr>
              <w:rPr>
                <w:szCs w:val="24"/>
              </w:rPr>
            </w:pPr>
          </w:p>
        </w:tc>
      </w:tr>
      <w:tr w:rsidR="006D7716" w:rsidRPr="006D7716" w14:paraId="72C27902" w14:textId="77777777" w:rsidTr="008365A5">
        <w:tc>
          <w:tcPr>
            <w:tcW w:w="1092" w:type="dxa"/>
          </w:tcPr>
          <w:p w14:paraId="510191C9" w14:textId="2ED76F9F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</w:t>
            </w:r>
            <w:r w:rsidR="00E40362">
              <w:rPr>
                <w:szCs w:val="24"/>
              </w:rPr>
              <w:t>3</w:t>
            </w:r>
            <w:r w:rsidRPr="006D7716">
              <w:rPr>
                <w:szCs w:val="24"/>
              </w:rPr>
              <w:t>.</w:t>
            </w:r>
          </w:p>
        </w:tc>
        <w:tc>
          <w:tcPr>
            <w:tcW w:w="3156" w:type="dxa"/>
          </w:tcPr>
          <w:p w14:paraId="0186AA26" w14:textId="35B1EA34" w:rsidR="00567C73" w:rsidRPr="00567C73" w:rsidRDefault="00567C73" w:rsidP="00567C73">
            <w:pPr>
              <w:tabs>
                <w:tab w:val="left" w:pos="42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567C73">
              <w:rPr>
                <w:szCs w:val="24"/>
              </w:rPr>
              <w:t>aikas, per kurį teikėjas sureaguos į perkančiosios organizacijos prašymą, pastabą, pretenziją</w:t>
            </w:r>
          </w:p>
          <w:p w14:paraId="263A1DD7" w14:textId="77777777" w:rsidR="00567C73" w:rsidRPr="00567C73" w:rsidRDefault="00567C73" w:rsidP="00567C73">
            <w:pPr>
              <w:tabs>
                <w:tab w:val="left" w:pos="426"/>
              </w:tabs>
              <w:jc w:val="left"/>
              <w:rPr>
                <w:szCs w:val="24"/>
              </w:rPr>
            </w:pPr>
            <w:r w:rsidRPr="00567C73">
              <w:rPr>
                <w:szCs w:val="24"/>
              </w:rPr>
              <w:t>pateiktą telefonu arba el. paštu dėl konkrečios kelionės metu kilusių paslaugų trūkumų, paaiškins trūkumų</w:t>
            </w:r>
          </w:p>
          <w:p w14:paraId="48861E52" w14:textId="0572AD2D" w:rsidR="006D7716" w:rsidRDefault="00567C73" w:rsidP="00567C73">
            <w:pPr>
              <w:tabs>
                <w:tab w:val="left" w:pos="426"/>
              </w:tabs>
              <w:jc w:val="left"/>
              <w:rPr>
                <w:szCs w:val="24"/>
              </w:rPr>
            </w:pPr>
            <w:r w:rsidRPr="00567C73">
              <w:rPr>
                <w:szCs w:val="24"/>
              </w:rPr>
              <w:t>priežastis ir nurodys jų pašalinimo termin</w:t>
            </w:r>
            <w:r>
              <w:rPr>
                <w:szCs w:val="24"/>
              </w:rPr>
              <w:t>ą</w:t>
            </w:r>
            <w:r w:rsidR="00EF0339">
              <w:rPr>
                <w:szCs w:val="24"/>
              </w:rPr>
              <w:t>.</w:t>
            </w:r>
          </w:p>
          <w:p w14:paraId="08C65651" w14:textId="77777777" w:rsidR="00EC1F6D" w:rsidRDefault="00EC1F6D" w:rsidP="006D7716">
            <w:pPr>
              <w:tabs>
                <w:tab w:val="left" w:pos="426"/>
              </w:tabs>
              <w:rPr>
                <w:szCs w:val="24"/>
              </w:rPr>
            </w:pPr>
          </w:p>
          <w:p w14:paraId="44429D3E" w14:textId="6BC951AE" w:rsidR="00EC1F6D" w:rsidRPr="006D7716" w:rsidRDefault="00EC1F6D" w:rsidP="00EC1F6D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417" w:type="dxa"/>
          </w:tcPr>
          <w:p w14:paraId="4A972977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0-4</w:t>
            </w:r>
          </w:p>
        </w:tc>
        <w:tc>
          <w:tcPr>
            <w:tcW w:w="3963" w:type="dxa"/>
          </w:tcPr>
          <w:p w14:paraId="241EA12F" w14:textId="0E278A91" w:rsidR="006D7716" w:rsidRPr="006D7716" w:rsidRDefault="00B95334" w:rsidP="00B95334">
            <w:pPr>
              <w:tabs>
                <w:tab w:val="left" w:pos="426"/>
              </w:tabs>
              <w:jc w:val="left"/>
              <w:rPr>
                <w:szCs w:val="24"/>
              </w:rPr>
            </w:pPr>
            <w:r w:rsidRPr="00B95334">
              <w:rPr>
                <w:szCs w:val="24"/>
              </w:rPr>
              <w:t>Vertinamas laikas, per kurį teikėjas sureaguos į perkančiosios organizacijos prašymą, pastabą, pretenziją</w:t>
            </w:r>
            <w:r w:rsidR="007B2470">
              <w:rPr>
                <w:szCs w:val="24"/>
              </w:rPr>
              <w:t xml:space="preserve"> </w:t>
            </w:r>
            <w:r w:rsidRPr="00B95334">
              <w:rPr>
                <w:szCs w:val="24"/>
              </w:rPr>
              <w:t>pateiktą telefonu arba el. paštu dėl konkrečios kelionės metu kilusių paslaugų trūkumų, paaiškins trūkumų</w:t>
            </w:r>
            <w:r w:rsidR="007B2470">
              <w:rPr>
                <w:szCs w:val="24"/>
              </w:rPr>
              <w:t xml:space="preserve"> </w:t>
            </w:r>
            <w:r w:rsidRPr="00B95334">
              <w:rPr>
                <w:szCs w:val="24"/>
              </w:rPr>
              <w:t>priežastis ir nurodys jų pašalinimo termin</w:t>
            </w:r>
            <w:r>
              <w:rPr>
                <w:szCs w:val="24"/>
              </w:rPr>
              <w:t>ą</w:t>
            </w:r>
            <w:r w:rsidR="006D7716" w:rsidRPr="006D7716">
              <w:rPr>
                <w:szCs w:val="24"/>
              </w:rPr>
              <w:t>.</w:t>
            </w:r>
          </w:p>
          <w:p w14:paraId="461A5194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Balų skyrimo taisyklės:</w:t>
            </w:r>
          </w:p>
          <w:p w14:paraId="7AB87BDF" w14:textId="4D344983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 balų –</w:t>
            </w:r>
            <w:r w:rsidR="007573F5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>teikėjo reagavimo terminas</w:t>
            </w:r>
          </w:p>
          <w:p w14:paraId="2E11A90B" w14:textId="493C5801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 xml:space="preserve">4 valandos nuo </w:t>
            </w:r>
            <w:r w:rsidR="000C67E7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>prašymo, pastabos, pretenzijos gavimo.</w:t>
            </w:r>
          </w:p>
          <w:p w14:paraId="768EDE2A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1 balas -</w:t>
            </w:r>
            <w:r w:rsidRPr="006D7716">
              <w:t xml:space="preserve"> t</w:t>
            </w:r>
            <w:r w:rsidRPr="006D7716">
              <w:rPr>
                <w:szCs w:val="24"/>
              </w:rPr>
              <w:t>eikėjo reagavimo terminas</w:t>
            </w:r>
          </w:p>
          <w:p w14:paraId="7E2766B3" w14:textId="4CA96663" w:rsidR="006D7716" w:rsidRPr="007573F5" w:rsidRDefault="00526A24" w:rsidP="006D77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</w:t>
            </w:r>
            <w:r w:rsidR="006D7716" w:rsidRPr="006D7716">
              <w:rPr>
                <w:szCs w:val="24"/>
              </w:rPr>
              <w:t>uo</w:t>
            </w:r>
            <w:r w:rsidR="007573F5">
              <w:rPr>
                <w:szCs w:val="24"/>
              </w:rPr>
              <w:t xml:space="preserve"> </w:t>
            </w:r>
            <w:r w:rsidR="006D7716" w:rsidRPr="006D7716">
              <w:rPr>
                <w:szCs w:val="24"/>
              </w:rPr>
              <w:t>3 iki 4 valandų nuo prašymo, pastabos, pretenzijos gavimo</w:t>
            </w:r>
            <w:r w:rsidR="006D7716" w:rsidRPr="006D7716">
              <w:t xml:space="preserve">. </w:t>
            </w:r>
          </w:p>
          <w:p w14:paraId="489BE19B" w14:textId="2EEB8D9D" w:rsidR="006D7716" w:rsidRPr="006D7716" w:rsidRDefault="006D7716" w:rsidP="006D7716">
            <w:r w:rsidRPr="006D7716">
              <w:t>2 balai - teikėjo reagavimo terminas nuo 2 iki 3</w:t>
            </w:r>
            <w:r w:rsidR="007573F5">
              <w:t xml:space="preserve"> </w:t>
            </w:r>
            <w:r w:rsidRPr="006D7716">
              <w:t>valandų (imtinai) nuo prašymo, pastabos, pretenzijos gavimo.</w:t>
            </w:r>
          </w:p>
          <w:p w14:paraId="1F2AC576" w14:textId="77777777" w:rsidR="006D7716" w:rsidRPr="006D7716" w:rsidRDefault="006D7716" w:rsidP="006D7716">
            <w:r w:rsidRPr="006D7716">
              <w:t xml:space="preserve">3 balai - teikėjo reagavimo terminas </w:t>
            </w:r>
          </w:p>
          <w:p w14:paraId="0D3A21B7" w14:textId="46FA7368" w:rsidR="006D7716" w:rsidRPr="006D7716" w:rsidRDefault="006D7716" w:rsidP="006D7716">
            <w:r w:rsidRPr="006D7716">
              <w:t>nuo 1 iki 2</w:t>
            </w:r>
            <w:r w:rsidR="007573F5">
              <w:t xml:space="preserve"> </w:t>
            </w:r>
            <w:r w:rsidRPr="006D7716">
              <w:t xml:space="preserve">valandų (imtinai) nuo prašymo, pastabos, </w:t>
            </w:r>
            <w:r w:rsidR="000C67E7">
              <w:t xml:space="preserve"> </w:t>
            </w:r>
            <w:r w:rsidRPr="006D7716">
              <w:t>pretenzijos gavimo.</w:t>
            </w:r>
          </w:p>
          <w:p w14:paraId="0A2C1B2A" w14:textId="77777777" w:rsidR="006D7716" w:rsidRPr="006D7716" w:rsidRDefault="006D7716" w:rsidP="006D7716">
            <w:r w:rsidRPr="006D7716">
              <w:t>4 balai - teikėjo reagavimo terminas iki 1 valandos nuo prašymo, pastabos, pretenzijos gavimo.</w:t>
            </w:r>
          </w:p>
          <w:p w14:paraId="591AC348" w14:textId="25642E2B" w:rsidR="006D7716" w:rsidRPr="00E03BF1" w:rsidRDefault="00335EFC" w:rsidP="006D7716">
            <w:pPr>
              <w:tabs>
                <w:tab w:val="left" w:pos="426"/>
              </w:tabs>
              <w:rPr>
                <w:b/>
                <w:bCs/>
                <w:szCs w:val="24"/>
              </w:rPr>
            </w:pPr>
            <w:r w:rsidRPr="00E03BF1">
              <w:rPr>
                <w:b/>
                <w:bCs/>
              </w:rPr>
              <w:t>Tuo atveju, jeigu tiekėjas nenurodo jokios reikšmės 3.3 p. ir komisija iš kartu su pasiūlymu pateiktų dokumentų negali nustatyti tikslios nurodytuose punktuose reikalaujamos reikšmės laikoma, kad teikėjo reakcijos greitis yra 4 valandos</w:t>
            </w:r>
            <w:r w:rsidR="006D7716" w:rsidRPr="00E03BF1">
              <w:rPr>
                <w:b/>
                <w:bCs/>
              </w:rPr>
              <w:t xml:space="preserve">. </w:t>
            </w:r>
          </w:p>
        </w:tc>
      </w:tr>
    </w:tbl>
    <w:p w14:paraId="1C4C21B0" w14:textId="77777777" w:rsidR="00A52A9F" w:rsidRDefault="00A52A9F" w:rsidP="006D7716">
      <w:pPr>
        <w:suppressAutoHyphens/>
        <w:ind w:firstLine="851"/>
        <w:jc w:val="both"/>
        <w:outlineLvl w:val="1"/>
        <w:rPr>
          <w:b/>
        </w:rPr>
      </w:pPr>
    </w:p>
    <w:p w14:paraId="5A4DDC12" w14:textId="4C9F74AE" w:rsidR="006D7716" w:rsidRPr="006D7716" w:rsidRDefault="006D7716" w:rsidP="006D7716">
      <w:pPr>
        <w:suppressAutoHyphens/>
        <w:ind w:firstLine="851"/>
        <w:jc w:val="both"/>
        <w:outlineLvl w:val="1"/>
        <w:rPr>
          <w:lang w:eastAsia="lt-LT"/>
        </w:rPr>
      </w:pPr>
      <w:r w:rsidRPr="006D7716">
        <w:rPr>
          <w:lang w:eastAsia="lt-LT"/>
        </w:rPr>
        <w:t>3. Ekonominis naudingumas (S) apskaičiuojamas sudedant teikėjo pasiūlymo kainos (C) ir funkcinių charakteristikų (T) balus:</w:t>
      </w:r>
    </w:p>
    <w:p w14:paraId="780081E4" w14:textId="77777777" w:rsidR="006D7716" w:rsidRPr="006D7716" w:rsidRDefault="006D7716" w:rsidP="006D7716">
      <w:pPr>
        <w:tabs>
          <w:tab w:val="num" w:pos="284"/>
        </w:tabs>
        <w:ind w:firstLine="851"/>
        <w:contextualSpacing/>
        <w:jc w:val="center"/>
        <w:rPr>
          <w:szCs w:val="24"/>
        </w:rPr>
      </w:pPr>
    </w:p>
    <w:p w14:paraId="4684027C" w14:textId="77777777" w:rsidR="006D7716" w:rsidRPr="006D7716" w:rsidRDefault="006D7716" w:rsidP="006D7716">
      <w:pPr>
        <w:tabs>
          <w:tab w:val="num" w:pos="284"/>
        </w:tabs>
        <w:ind w:firstLine="851"/>
        <w:contextualSpacing/>
        <w:jc w:val="center"/>
        <w:rPr>
          <w:szCs w:val="24"/>
        </w:rPr>
      </w:pPr>
      <w:r w:rsidRPr="006D7716">
        <w:rPr>
          <w:position w:val="-10"/>
        </w:rPr>
        <w:object w:dxaOrig="1080" w:dyaOrig="320" w14:anchorId="72A83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5pt;height:17.25pt" o:ole="" fillcolor="window">
            <v:imagedata r:id="rId5" o:title=""/>
          </v:shape>
          <o:OLEObject Type="Embed" ProgID="Equation.3" ShapeID="_x0000_i1025" DrawAspect="Content" ObjectID="_1827991798" r:id="rId6"/>
        </w:object>
      </w:r>
    </w:p>
    <w:p w14:paraId="51603639" w14:textId="77777777" w:rsidR="006D7716" w:rsidRPr="006D7716" w:rsidRDefault="006D7716" w:rsidP="006D7716">
      <w:pPr>
        <w:ind w:firstLine="851"/>
        <w:jc w:val="center"/>
      </w:pPr>
    </w:p>
    <w:p w14:paraId="730D071D" w14:textId="1A01E68A" w:rsidR="006D7716" w:rsidRPr="006D7716" w:rsidRDefault="006D7716" w:rsidP="006D7716">
      <w:pPr>
        <w:tabs>
          <w:tab w:val="left" w:pos="567"/>
          <w:tab w:val="left" w:pos="1276"/>
        </w:tabs>
        <w:suppressAutoHyphens/>
        <w:ind w:firstLine="851"/>
        <w:jc w:val="both"/>
        <w:outlineLvl w:val="1"/>
        <w:rPr>
          <w:lang w:eastAsia="lt-LT"/>
        </w:rPr>
      </w:pPr>
      <w:r w:rsidRPr="006D7716">
        <w:rPr>
          <w:lang w:eastAsia="lt-LT"/>
        </w:rPr>
        <w:t>4. Pasiūlymo kainos (C) balai apskaičiuojami mažiausios pasiūlytos kainos (C</w:t>
      </w:r>
      <w:r w:rsidRPr="006D7716">
        <w:rPr>
          <w:vertAlign w:val="subscript"/>
          <w:lang w:eastAsia="lt-LT"/>
        </w:rPr>
        <w:t>min</w:t>
      </w:r>
      <w:r w:rsidRPr="006D7716">
        <w:rPr>
          <w:lang w:eastAsia="lt-LT"/>
        </w:rPr>
        <w:t>) ir vertinamo pasiūlymo kainos (C</w:t>
      </w:r>
      <w:r w:rsidRPr="006D7716">
        <w:rPr>
          <w:vertAlign w:val="subscript"/>
          <w:lang w:eastAsia="lt-LT"/>
        </w:rPr>
        <w:t>p</w:t>
      </w:r>
      <w:r w:rsidRPr="006D7716">
        <w:rPr>
          <w:lang w:eastAsia="lt-LT"/>
        </w:rPr>
        <w:t>) santykį padauginant iš kainos lyginamojo svorio (X):</w:t>
      </w:r>
    </w:p>
    <w:p w14:paraId="55D6DEA4" w14:textId="77777777" w:rsidR="006D7716" w:rsidRPr="006D7716" w:rsidRDefault="006D7716" w:rsidP="006D7716">
      <w:pPr>
        <w:ind w:firstLine="851"/>
        <w:rPr>
          <w:lang w:eastAsia="lt-LT"/>
        </w:rPr>
      </w:pPr>
    </w:p>
    <w:p w14:paraId="2F282434" w14:textId="77777777" w:rsidR="006D7716" w:rsidRPr="006D7716" w:rsidRDefault="006D7716" w:rsidP="006D7716">
      <w:pPr>
        <w:tabs>
          <w:tab w:val="left" w:pos="2410"/>
        </w:tabs>
        <w:ind w:firstLine="851"/>
        <w:jc w:val="center"/>
      </w:pPr>
      <w:r w:rsidRPr="006D7716">
        <w:rPr>
          <w:position w:val="-32"/>
          <w:szCs w:val="24"/>
        </w:rPr>
        <w:object w:dxaOrig="1300" w:dyaOrig="700" w14:anchorId="397911AC">
          <v:shape id="_x0000_i1026" type="#_x0000_t75" style="width:63.9pt;height:36pt" o:ole="" fillcolor="window">
            <v:imagedata r:id="rId7" o:title=""/>
          </v:shape>
          <o:OLEObject Type="Embed" ProgID="Equation.3" ShapeID="_x0000_i1026" DrawAspect="Content" ObjectID="_1827991799" r:id="rId8"/>
        </w:object>
      </w:r>
      <w:r w:rsidRPr="006D7716">
        <w:t>;</w:t>
      </w:r>
    </w:p>
    <w:p w14:paraId="3201A493" w14:textId="77777777" w:rsidR="006D7716" w:rsidRPr="006D7716" w:rsidRDefault="006D7716" w:rsidP="006D7716">
      <w:pPr>
        <w:tabs>
          <w:tab w:val="left" w:pos="2410"/>
        </w:tabs>
        <w:ind w:firstLine="851"/>
        <w:jc w:val="center"/>
      </w:pPr>
    </w:p>
    <w:p w14:paraId="04137266" w14:textId="26E8B3E3" w:rsidR="006D7716" w:rsidRPr="006D7716" w:rsidRDefault="006D7716" w:rsidP="006D7716">
      <w:pPr>
        <w:ind w:firstLine="851"/>
        <w:jc w:val="both"/>
        <w:rPr>
          <w:rFonts w:eastAsia="Calibri"/>
          <w:szCs w:val="24"/>
        </w:rPr>
      </w:pPr>
      <w:r w:rsidRPr="006D7716">
        <w:t xml:space="preserve">5. </w:t>
      </w:r>
      <w:r w:rsidRPr="006D7716">
        <w:rPr>
          <w:rFonts w:eastAsia="Calibri"/>
          <w:szCs w:val="24"/>
        </w:rPr>
        <w:t>Komisija (arba ekspertai) pasiūlymų funkcines charakteristikas (T) vertina balais. Komisija apskaičiuoja kiekvienam teikėjui suteiktų</w:t>
      </w:r>
      <w:r w:rsidRPr="006D7716">
        <w:rPr>
          <w:rFonts w:eastAsia="Calibri"/>
          <w:szCs w:val="24"/>
          <w:vertAlign w:val="subscript"/>
        </w:rPr>
        <w:t xml:space="preserve"> </w:t>
      </w:r>
      <w:r w:rsidRPr="006D7716">
        <w:rPr>
          <w:rFonts w:eastAsia="Calibri"/>
          <w:szCs w:val="24"/>
        </w:rPr>
        <w:t>balų aritmetinį vidurkį.</w:t>
      </w:r>
    </w:p>
    <w:p w14:paraId="7918621B" w14:textId="351E768A" w:rsidR="006D7716" w:rsidRPr="006D7716" w:rsidRDefault="006D7716" w:rsidP="006D7716">
      <w:pPr>
        <w:ind w:firstLine="851"/>
        <w:jc w:val="both"/>
        <w:rPr>
          <w:rFonts w:eastAsia="Calibri"/>
          <w:i/>
          <w:szCs w:val="24"/>
        </w:rPr>
      </w:pPr>
      <w:r w:rsidRPr="006D7716">
        <w:rPr>
          <w:rFonts w:eastAsia="Calibri"/>
          <w:szCs w:val="24"/>
        </w:rPr>
        <w:t>6. Vertinant funkcines charakteristikas, teikėjo pasiūlymas lyginamas su geriausia parametro reikšme, tai yra, T apskaičiuojamas vertinamo pasiūlymo parametro reikšmę (T</w:t>
      </w:r>
      <w:r w:rsidRPr="006D7716">
        <w:rPr>
          <w:rFonts w:eastAsia="Calibri"/>
          <w:szCs w:val="24"/>
          <w:vertAlign w:val="subscript"/>
        </w:rPr>
        <w:t>p</w:t>
      </w:r>
      <w:r w:rsidRPr="006D7716">
        <w:rPr>
          <w:rFonts w:eastAsia="Calibri"/>
          <w:szCs w:val="24"/>
        </w:rPr>
        <w:t>) palyginant su geriausia</w:t>
      </w:r>
      <w:r w:rsidR="00BF27BC">
        <w:rPr>
          <w:rFonts w:eastAsia="Calibri"/>
          <w:szCs w:val="24"/>
        </w:rPr>
        <w:t xml:space="preserve"> galimo</w:t>
      </w:r>
      <w:r w:rsidRPr="006D7716">
        <w:rPr>
          <w:rFonts w:eastAsia="Calibri"/>
          <w:szCs w:val="24"/>
        </w:rPr>
        <w:t xml:space="preserve"> parametro reikšme ( (T</w:t>
      </w:r>
      <w:r w:rsidRPr="006D7716">
        <w:rPr>
          <w:rFonts w:eastAsia="Calibri"/>
          <w:szCs w:val="24"/>
          <w:vertAlign w:val="subscript"/>
        </w:rPr>
        <w:t>max</w:t>
      </w:r>
      <w:r w:rsidRPr="006D7716">
        <w:rPr>
          <w:rFonts w:eastAsia="Calibri"/>
          <w:szCs w:val="24"/>
        </w:rPr>
        <w:t>) ir padauginant iš lyginamojo svorio (Y):</w:t>
      </w:r>
    </w:p>
    <w:p w14:paraId="3778A8B6" w14:textId="77777777" w:rsidR="006D7716" w:rsidRPr="006D7716" w:rsidRDefault="006D7716" w:rsidP="006D7716">
      <w:pPr>
        <w:ind w:firstLine="567"/>
        <w:jc w:val="both"/>
        <w:rPr>
          <w:rFonts w:eastAsia="Calibri"/>
          <w:szCs w:val="24"/>
          <w:highlight w:val="magenta"/>
        </w:rPr>
      </w:pPr>
    </w:p>
    <w:p w14:paraId="2AED0E2F" w14:textId="59C46830" w:rsidR="006D7716" w:rsidRPr="006D7716" w:rsidRDefault="00856219" w:rsidP="00856219">
      <w:pPr>
        <w:tabs>
          <w:tab w:val="left" w:pos="567"/>
          <w:tab w:val="left" w:pos="1276"/>
          <w:tab w:val="left" w:pos="5245"/>
        </w:tabs>
        <w:suppressAutoHyphens/>
        <w:ind w:firstLine="851"/>
        <w:jc w:val="center"/>
        <w:outlineLvl w:val="1"/>
        <w:rPr>
          <w:lang w:eastAsia="lt-LT"/>
        </w:rPr>
      </w:pPr>
      <m:oMathPara>
        <m:oMath>
          <m:r>
            <w:rPr>
              <w:rFonts w:ascii="Cambria Math" w:eastAsia="Calibri"/>
              <w:szCs w:val="24"/>
            </w:rPr>
            <m:t>T=</m:t>
          </m:r>
          <m:f>
            <m:fPr>
              <m:ctrlPr>
                <w:rPr>
                  <w:rFonts w:ascii="Cambria Math" w:eastAsia="Calibri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libri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libri"/>
                      <w:szCs w:val="24"/>
                    </w:rPr>
                    <m:t>max</m:t>
                  </m:r>
                </m:sub>
              </m:sSub>
            </m:den>
          </m:f>
        </m:oMath>
      </m:oMathPara>
    </w:p>
    <w:p w14:paraId="6345E029" w14:textId="77777777" w:rsidR="006D7716" w:rsidRPr="006D7716" w:rsidRDefault="006D7716" w:rsidP="006D7716">
      <w:pPr>
        <w:tabs>
          <w:tab w:val="left" w:pos="5245"/>
        </w:tabs>
      </w:pPr>
    </w:p>
    <w:p w14:paraId="7BEAB5AC" w14:textId="61C2F30E" w:rsid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  <w:r w:rsidRPr="006D7716">
        <w:rPr>
          <w:rFonts w:ascii="Tahoma" w:hAnsi="Tahoma" w:cs="Tahoma"/>
          <w:sz w:val="22"/>
          <w:szCs w:val="22"/>
          <w:lang w:eastAsia="lt-LT"/>
        </w:rPr>
        <w:t>T</w:t>
      </w:r>
      <w:r w:rsidRPr="006D7716">
        <w:rPr>
          <w:rFonts w:ascii="Tahoma" w:hAnsi="Tahoma" w:cs="Tahoma"/>
          <w:sz w:val="22"/>
          <w:szCs w:val="22"/>
          <w:vertAlign w:val="subscript"/>
          <w:lang w:eastAsia="lt-LT"/>
        </w:rPr>
        <w:t xml:space="preserve"> </w:t>
      </w:r>
      <w:r w:rsidRPr="006D7716">
        <w:rPr>
          <w:rFonts w:ascii="Tahoma" w:hAnsi="Tahoma" w:cs="Tahoma"/>
          <w:sz w:val="22"/>
          <w:szCs w:val="22"/>
          <w:lang w:eastAsia="lt-LT"/>
        </w:rPr>
        <w:t xml:space="preserve">–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teikėjo kokybinio rodiklio įvertinimas; T</w:t>
      </w:r>
      <w:r w:rsidRPr="006D7716">
        <w:rPr>
          <w:rFonts w:ascii="Tahoma" w:hAnsi="Tahoma" w:cs="Tahoma"/>
          <w:i/>
          <w:sz w:val="22"/>
          <w:szCs w:val="22"/>
          <w:vertAlign w:val="subscript"/>
          <w:lang w:eastAsia="lt-LT"/>
        </w:rPr>
        <w:t>p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 xml:space="preserve"> – vertinamo pasiūlymo kokybinio rodiklio balas (susumuoti teikėjui skirti </w:t>
      </w:r>
      <w:r w:rsidR="00A638F5">
        <w:rPr>
          <w:rFonts w:ascii="Tahoma" w:hAnsi="Tahoma" w:cs="Tahoma"/>
          <w:i/>
          <w:sz w:val="22"/>
          <w:szCs w:val="22"/>
          <w:lang w:eastAsia="lt-LT"/>
        </w:rPr>
        <w:t xml:space="preserve">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2.1 p. – 2.</w:t>
      </w:r>
      <w:r w:rsidR="00BE2A9C">
        <w:rPr>
          <w:rFonts w:ascii="Tahoma" w:hAnsi="Tahoma" w:cs="Tahoma"/>
          <w:i/>
          <w:sz w:val="22"/>
          <w:szCs w:val="22"/>
          <w:lang w:eastAsia="lt-LT"/>
        </w:rPr>
        <w:t>3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 xml:space="preserve"> p. balai); T</w:t>
      </w:r>
      <w:r w:rsidRPr="006D7716">
        <w:rPr>
          <w:rFonts w:ascii="Tahoma" w:hAnsi="Tahoma" w:cs="Tahoma"/>
          <w:i/>
          <w:sz w:val="22"/>
          <w:szCs w:val="22"/>
          <w:vertAlign w:val="subscript"/>
          <w:lang w:eastAsia="lt-LT"/>
        </w:rPr>
        <w:t xml:space="preserve">max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– geriausias kokybinio rodiklio balas (1</w:t>
      </w:r>
      <w:r w:rsidR="005926FE">
        <w:rPr>
          <w:rFonts w:ascii="Tahoma" w:hAnsi="Tahoma" w:cs="Tahoma"/>
          <w:i/>
          <w:sz w:val="22"/>
          <w:szCs w:val="22"/>
          <w:lang w:val="en-US" w:eastAsia="lt-LT"/>
        </w:rPr>
        <w:t xml:space="preserve">4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balų), Y – paslaugų kokybės lyginamasis svoris</w:t>
      </w:r>
    </w:p>
    <w:p w14:paraId="186564C5" w14:textId="77777777" w:rsidR="006D7716" w:rsidRPr="009A220A" w:rsidRDefault="006D7716" w:rsidP="006D7716">
      <w:pPr>
        <w:widowControl w:val="0"/>
        <w:tabs>
          <w:tab w:val="left" w:pos="142"/>
          <w:tab w:val="left" w:pos="9923"/>
        </w:tabs>
        <w:ind w:right="-82"/>
        <w:outlineLvl w:val="1"/>
        <w:rPr>
          <w:rFonts w:eastAsiaTheme="minorHAnsi" w:cstheme="minorBidi"/>
          <w:szCs w:val="22"/>
        </w:rPr>
      </w:pPr>
    </w:p>
    <w:sectPr w:rsidR="006D7716" w:rsidRPr="009A22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6D8F"/>
    <w:multiLevelType w:val="multilevel"/>
    <w:tmpl w:val="689CA66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319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E"/>
    <w:rsid w:val="00002E07"/>
    <w:rsid w:val="0000344C"/>
    <w:rsid w:val="00011920"/>
    <w:rsid w:val="00011A7A"/>
    <w:rsid w:val="00023E07"/>
    <w:rsid w:val="00026218"/>
    <w:rsid w:val="00042172"/>
    <w:rsid w:val="00054021"/>
    <w:rsid w:val="000645D5"/>
    <w:rsid w:val="0007667B"/>
    <w:rsid w:val="000767CE"/>
    <w:rsid w:val="00092F04"/>
    <w:rsid w:val="00092F4B"/>
    <w:rsid w:val="000B6518"/>
    <w:rsid w:val="000C3D72"/>
    <w:rsid w:val="000C67E7"/>
    <w:rsid w:val="000E0FA2"/>
    <w:rsid w:val="000F1EB4"/>
    <w:rsid w:val="00110010"/>
    <w:rsid w:val="001150CA"/>
    <w:rsid w:val="00116044"/>
    <w:rsid w:val="0013085B"/>
    <w:rsid w:val="00151DCC"/>
    <w:rsid w:val="00155F85"/>
    <w:rsid w:val="001768FA"/>
    <w:rsid w:val="00185D62"/>
    <w:rsid w:val="001870D1"/>
    <w:rsid w:val="00190E37"/>
    <w:rsid w:val="001C299E"/>
    <w:rsid w:val="001D1203"/>
    <w:rsid w:val="001D252D"/>
    <w:rsid w:val="001E4ED0"/>
    <w:rsid w:val="001F47A2"/>
    <w:rsid w:val="001F527E"/>
    <w:rsid w:val="002005C8"/>
    <w:rsid w:val="002010A2"/>
    <w:rsid w:val="002118A0"/>
    <w:rsid w:val="00215298"/>
    <w:rsid w:val="00216F62"/>
    <w:rsid w:val="00223FD1"/>
    <w:rsid w:val="002328F7"/>
    <w:rsid w:val="00236280"/>
    <w:rsid w:val="002509CB"/>
    <w:rsid w:val="00260DCD"/>
    <w:rsid w:val="002673F2"/>
    <w:rsid w:val="00270A02"/>
    <w:rsid w:val="002756BC"/>
    <w:rsid w:val="0027609B"/>
    <w:rsid w:val="002810AF"/>
    <w:rsid w:val="002815EA"/>
    <w:rsid w:val="0028330D"/>
    <w:rsid w:val="0028628A"/>
    <w:rsid w:val="002A1641"/>
    <w:rsid w:val="002A1C5E"/>
    <w:rsid w:val="002B380E"/>
    <w:rsid w:val="002C1B22"/>
    <w:rsid w:val="002D6A59"/>
    <w:rsid w:val="002F1914"/>
    <w:rsid w:val="002F20B6"/>
    <w:rsid w:val="00335EFC"/>
    <w:rsid w:val="003419D2"/>
    <w:rsid w:val="003450FB"/>
    <w:rsid w:val="00364BB1"/>
    <w:rsid w:val="003913CC"/>
    <w:rsid w:val="0039710D"/>
    <w:rsid w:val="003A5AB5"/>
    <w:rsid w:val="003C2DE7"/>
    <w:rsid w:val="003D4579"/>
    <w:rsid w:val="004174DB"/>
    <w:rsid w:val="00421F2A"/>
    <w:rsid w:val="00422ABF"/>
    <w:rsid w:val="00423DB4"/>
    <w:rsid w:val="00435FCF"/>
    <w:rsid w:val="0044067D"/>
    <w:rsid w:val="0047063F"/>
    <w:rsid w:val="0047113C"/>
    <w:rsid w:val="004A17B4"/>
    <w:rsid w:val="004B5F6A"/>
    <w:rsid w:val="004F43B3"/>
    <w:rsid w:val="005046FF"/>
    <w:rsid w:val="0051775B"/>
    <w:rsid w:val="005204F4"/>
    <w:rsid w:val="00523A6A"/>
    <w:rsid w:val="00526A24"/>
    <w:rsid w:val="00527C29"/>
    <w:rsid w:val="005357F9"/>
    <w:rsid w:val="00547263"/>
    <w:rsid w:val="005522C9"/>
    <w:rsid w:val="0056122F"/>
    <w:rsid w:val="00564BC3"/>
    <w:rsid w:val="00567C73"/>
    <w:rsid w:val="00584098"/>
    <w:rsid w:val="0059029B"/>
    <w:rsid w:val="005926FE"/>
    <w:rsid w:val="00594892"/>
    <w:rsid w:val="005A42D2"/>
    <w:rsid w:val="005A7E3D"/>
    <w:rsid w:val="005B6DF1"/>
    <w:rsid w:val="0060697C"/>
    <w:rsid w:val="00620C5C"/>
    <w:rsid w:val="00625667"/>
    <w:rsid w:val="00644B38"/>
    <w:rsid w:val="00663482"/>
    <w:rsid w:val="00673897"/>
    <w:rsid w:val="0067495D"/>
    <w:rsid w:val="006850D8"/>
    <w:rsid w:val="006B46C8"/>
    <w:rsid w:val="006D7716"/>
    <w:rsid w:val="006E129F"/>
    <w:rsid w:val="006E5205"/>
    <w:rsid w:val="006F5F8A"/>
    <w:rsid w:val="0071201C"/>
    <w:rsid w:val="00714FB2"/>
    <w:rsid w:val="0072201E"/>
    <w:rsid w:val="00722987"/>
    <w:rsid w:val="00733E77"/>
    <w:rsid w:val="00745111"/>
    <w:rsid w:val="00746114"/>
    <w:rsid w:val="00746587"/>
    <w:rsid w:val="007468B4"/>
    <w:rsid w:val="007573F5"/>
    <w:rsid w:val="00760C27"/>
    <w:rsid w:val="00770BAA"/>
    <w:rsid w:val="00785C36"/>
    <w:rsid w:val="00795BBD"/>
    <w:rsid w:val="007B2470"/>
    <w:rsid w:val="007B30F3"/>
    <w:rsid w:val="007C42C7"/>
    <w:rsid w:val="007D0162"/>
    <w:rsid w:val="007D4AE9"/>
    <w:rsid w:val="007E304F"/>
    <w:rsid w:val="007E4E3E"/>
    <w:rsid w:val="007E79A6"/>
    <w:rsid w:val="007F1FDF"/>
    <w:rsid w:val="00813DA5"/>
    <w:rsid w:val="00824E5A"/>
    <w:rsid w:val="00834B1F"/>
    <w:rsid w:val="00836406"/>
    <w:rsid w:val="00846D29"/>
    <w:rsid w:val="0085054A"/>
    <w:rsid w:val="00851513"/>
    <w:rsid w:val="00851944"/>
    <w:rsid w:val="00856219"/>
    <w:rsid w:val="00860F24"/>
    <w:rsid w:val="00865381"/>
    <w:rsid w:val="008714E1"/>
    <w:rsid w:val="00876483"/>
    <w:rsid w:val="008862E1"/>
    <w:rsid w:val="00890719"/>
    <w:rsid w:val="008A06E4"/>
    <w:rsid w:val="008B1ED1"/>
    <w:rsid w:val="008B24A1"/>
    <w:rsid w:val="008B7401"/>
    <w:rsid w:val="008C58C5"/>
    <w:rsid w:val="008D7C9F"/>
    <w:rsid w:val="008E6E97"/>
    <w:rsid w:val="008F6EB3"/>
    <w:rsid w:val="009052B5"/>
    <w:rsid w:val="00911305"/>
    <w:rsid w:val="0091153C"/>
    <w:rsid w:val="0091637F"/>
    <w:rsid w:val="00917E91"/>
    <w:rsid w:val="009341A6"/>
    <w:rsid w:val="00961D98"/>
    <w:rsid w:val="00975E96"/>
    <w:rsid w:val="00977757"/>
    <w:rsid w:val="009815E3"/>
    <w:rsid w:val="00986CD1"/>
    <w:rsid w:val="0099033A"/>
    <w:rsid w:val="00992C01"/>
    <w:rsid w:val="00993CB4"/>
    <w:rsid w:val="009A1246"/>
    <w:rsid w:val="009A220A"/>
    <w:rsid w:val="009B1D6B"/>
    <w:rsid w:val="009B7F96"/>
    <w:rsid w:val="009C148B"/>
    <w:rsid w:val="009D1043"/>
    <w:rsid w:val="009F5B93"/>
    <w:rsid w:val="00A307FA"/>
    <w:rsid w:val="00A31DF1"/>
    <w:rsid w:val="00A52A9F"/>
    <w:rsid w:val="00A56779"/>
    <w:rsid w:val="00A638F5"/>
    <w:rsid w:val="00A6707A"/>
    <w:rsid w:val="00A9403E"/>
    <w:rsid w:val="00A962F6"/>
    <w:rsid w:val="00AA41EC"/>
    <w:rsid w:val="00AC2B47"/>
    <w:rsid w:val="00AC36AE"/>
    <w:rsid w:val="00AE5A1D"/>
    <w:rsid w:val="00AF656A"/>
    <w:rsid w:val="00B021E7"/>
    <w:rsid w:val="00B04301"/>
    <w:rsid w:val="00B27556"/>
    <w:rsid w:val="00B353C0"/>
    <w:rsid w:val="00B360CF"/>
    <w:rsid w:val="00B4369F"/>
    <w:rsid w:val="00B51B5A"/>
    <w:rsid w:val="00B6471F"/>
    <w:rsid w:val="00B64C22"/>
    <w:rsid w:val="00B81158"/>
    <w:rsid w:val="00B813FC"/>
    <w:rsid w:val="00B85357"/>
    <w:rsid w:val="00B9136D"/>
    <w:rsid w:val="00B92069"/>
    <w:rsid w:val="00B93953"/>
    <w:rsid w:val="00B95334"/>
    <w:rsid w:val="00BB54B5"/>
    <w:rsid w:val="00BC055F"/>
    <w:rsid w:val="00BC73AB"/>
    <w:rsid w:val="00BD09E2"/>
    <w:rsid w:val="00BD2804"/>
    <w:rsid w:val="00BD6A3D"/>
    <w:rsid w:val="00BE2A9C"/>
    <w:rsid w:val="00BF27BC"/>
    <w:rsid w:val="00BF2835"/>
    <w:rsid w:val="00BF541D"/>
    <w:rsid w:val="00BF5FD4"/>
    <w:rsid w:val="00BF72CD"/>
    <w:rsid w:val="00C036F8"/>
    <w:rsid w:val="00C21194"/>
    <w:rsid w:val="00C21FA3"/>
    <w:rsid w:val="00C24241"/>
    <w:rsid w:val="00C4196F"/>
    <w:rsid w:val="00C422B2"/>
    <w:rsid w:val="00C42973"/>
    <w:rsid w:val="00C5722A"/>
    <w:rsid w:val="00C7399A"/>
    <w:rsid w:val="00C931CC"/>
    <w:rsid w:val="00C97E0F"/>
    <w:rsid w:val="00CA10A3"/>
    <w:rsid w:val="00CC6843"/>
    <w:rsid w:val="00CE3BC2"/>
    <w:rsid w:val="00CE7A01"/>
    <w:rsid w:val="00CF294A"/>
    <w:rsid w:val="00D05B63"/>
    <w:rsid w:val="00D11CDF"/>
    <w:rsid w:val="00D130A8"/>
    <w:rsid w:val="00D13908"/>
    <w:rsid w:val="00D15912"/>
    <w:rsid w:val="00D23DB3"/>
    <w:rsid w:val="00D269B9"/>
    <w:rsid w:val="00D41C07"/>
    <w:rsid w:val="00D440DD"/>
    <w:rsid w:val="00D703AB"/>
    <w:rsid w:val="00D80CF4"/>
    <w:rsid w:val="00D96A3F"/>
    <w:rsid w:val="00DB7A02"/>
    <w:rsid w:val="00DE0FC5"/>
    <w:rsid w:val="00E03BF1"/>
    <w:rsid w:val="00E1072A"/>
    <w:rsid w:val="00E12933"/>
    <w:rsid w:val="00E143C4"/>
    <w:rsid w:val="00E25BB9"/>
    <w:rsid w:val="00E340E3"/>
    <w:rsid w:val="00E40362"/>
    <w:rsid w:val="00E46C53"/>
    <w:rsid w:val="00E47228"/>
    <w:rsid w:val="00E53131"/>
    <w:rsid w:val="00E5559F"/>
    <w:rsid w:val="00E77350"/>
    <w:rsid w:val="00E823E6"/>
    <w:rsid w:val="00E90AE4"/>
    <w:rsid w:val="00EA52D4"/>
    <w:rsid w:val="00EA5965"/>
    <w:rsid w:val="00EA67BC"/>
    <w:rsid w:val="00EB47E6"/>
    <w:rsid w:val="00EB64F7"/>
    <w:rsid w:val="00EC1427"/>
    <w:rsid w:val="00EC1F6D"/>
    <w:rsid w:val="00EC51DC"/>
    <w:rsid w:val="00EE4CDE"/>
    <w:rsid w:val="00EF0339"/>
    <w:rsid w:val="00EF434E"/>
    <w:rsid w:val="00EF6FA9"/>
    <w:rsid w:val="00F06CA2"/>
    <w:rsid w:val="00F32302"/>
    <w:rsid w:val="00F35C2A"/>
    <w:rsid w:val="00F41D5A"/>
    <w:rsid w:val="00F4427F"/>
    <w:rsid w:val="00F53272"/>
    <w:rsid w:val="00F56589"/>
    <w:rsid w:val="00F57D83"/>
    <w:rsid w:val="00F61F23"/>
    <w:rsid w:val="00F7117E"/>
    <w:rsid w:val="00F835BF"/>
    <w:rsid w:val="00F8387B"/>
    <w:rsid w:val="00F87B2A"/>
    <w:rsid w:val="00F9281B"/>
    <w:rsid w:val="00F95FA4"/>
    <w:rsid w:val="00FA2BC3"/>
    <w:rsid w:val="00FA789B"/>
    <w:rsid w:val="00FB5C2D"/>
    <w:rsid w:val="00FC25C8"/>
    <w:rsid w:val="00FD2407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A9880F"/>
  <w15:chartTrackingRefBased/>
  <w15:docId w15:val="{4B6E0A1F-F22B-491B-AA42-45B5C894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7F1FD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bdr w:val="nil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1FD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1FDF"/>
    <w:rPr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9341A6"/>
    <w:rPr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36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36AE"/>
    <w:rPr>
      <w:rFonts w:ascii="Times New Roman" w:eastAsia="Times New Roman" w:hAnsi="Times New Roman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33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next w:val="Lentelstinklelis"/>
    <w:uiPriority w:val="39"/>
    <w:rsid w:val="000034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0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3321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119</cp:revision>
  <dcterms:created xsi:type="dcterms:W3CDTF">2022-07-05T06:10:00Z</dcterms:created>
  <dcterms:modified xsi:type="dcterms:W3CDTF">2025-12-23T08:43:00Z</dcterms:modified>
</cp:coreProperties>
</file>