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 xml:space="preserve">I PIRKIMO DALIS. </w:t>
      </w:r>
      <w:r>
        <w:rPr>
          <w:rFonts w:cs="Times New Roman" w:ascii="Times New Roman" w:hAnsi="Times New Roman"/>
          <w:b w:val="false"/>
          <w:bCs w:val="false"/>
          <w:color w:val="000000"/>
          <w:sz w:val="24"/>
          <w:szCs w:val="24"/>
        </w:rPr>
        <w:t>MOKYMAI VISUOMENĖS SVEIKATOS SPECIALISTAMS TEMA „P</w:t>
      </w:r>
      <w:r>
        <w:rPr>
          <w:rFonts w:cs="Times New Roman" w:ascii="Times New Roman" w:hAnsi="Times New Roman"/>
          <w:b w:val="false"/>
          <w:bCs w:val="false"/>
          <w:color w:val="000000"/>
          <w:sz w:val="24"/>
          <w:szCs w:val="24"/>
        </w:rPr>
        <w:t>AVEIKUS</w:t>
      </w:r>
      <w:r>
        <w:rPr>
          <w:rFonts w:cs="Times New Roman" w:ascii="Times New Roman" w:hAnsi="Times New Roman"/>
          <w:b w:val="false"/>
          <w:bCs w:val="false"/>
          <w:color w:val="000000"/>
          <w:sz w:val="24"/>
          <w:szCs w:val="24"/>
        </w:rPr>
        <w:t xml:space="preserve"> SVEIKATOS UGDYMAS SUAUGUSIEMS IR IR SENJORAMS“ ORGANIZAVIMO IR VYKDYMO PASLAUGOS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5"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6" w:name="_Hlk205286575"/>
      <w:r>
        <w:rPr>
          <w:rFonts w:cs="Times New Roman" w:ascii="Times New Roman" w:hAnsi="Times New Roman"/>
          <w:color w:themeColor="text1" w:val="000000"/>
          <w:sz w:val="24"/>
          <w:szCs w:val="24"/>
        </w:rPr>
        <w:t xml:space="preserve">Mokymai aktualiais visuomenės sveikatos stiprinimo klausimais. </w:t>
      </w:r>
      <w:bookmarkEnd w:id="5"/>
      <w:bookmarkEnd w:id="6"/>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7"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7"/>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8" w:name="_Hlk159083609"/>
      <w:bookmarkStart w:id="9"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praktinių įgūdžių kaip efektyviai ir tikslingai vykdyti sveikatos ugdymo veiklas suaugusiesiems ir senjorams, taikant įtraukiančius ir amžiui pritaikytus metodus.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w:t>
      </w:r>
      <w:r>
        <w:rPr>
          <w:rFonts w:cs="Times New Roman" w:ascii="Times New Roman" w:hAnsi="Times New Roman"/>
          <w:bCs/>
          <w:sz w:val="24"/>
          <w:szCs w:val="24"/>
        </w:rPr>
        <w:t xml:space="preserve">nei </w:t>
      </w:r>
      <w:r>
        <w:rPr>
          <w:rFonts w:cs="Times New Roman" w:ascii="Times New Roman" w:hAnsi="Times New Roman"/>
          <w:b/>
          <w:bCs/>
          <w:sz w:val="24"/>
          <w:szCs w:val="24"/>
          <w:u w:val="single"/>
        </w:rPr>
        <w:t>6 mokymo grupes</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 xml:space="preserve">ne mažiau nei 1 mokymo grupę </w:t>
      </w:r>
      <w:r>
        <w:rPr>
          <w:rFonts w:cs="Times New Roman" w:ascii="Times New Roman" w:hAnsi="Times New Roman"/>
          <w:bCs/>
          <w:color w:val="000000"/>
          <w:sz w:val="24"/>
          <w:szCs w:val="24"/>
        </w:rPr>
        <w:t>(25</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specialistus) </w:t>
      </w:r>
      <w:r>
        <w:rPr>
          <w:rFonts w:cs="Times New Roman" w:ascii="Times New Roman" w:hAnsi="Times New Roman"/>
          <w:b/>
          <w:color w:val="000000"/>
          <w:sz w:val="24"/>
          <w:szCs w:val="24"/>
        </w:rPr>
        <w:t xml:space="preserve">Sostinės regione (Vilniaus apskritis) ir ne mažiau nei 5 grupes </w:t>
      </w:r>
      <w:r>
        <w:rPr>
          <w:rFonts w:cs="Times New Roman" w:ascii="Times New Roman" w:hAnsi="Times New Roman"/>
          <w:bCs/>
          <w:color w:val="000000"/>
          <w:sz w:val="24"/>
          <w:szCs w:val="24"/>
        </w:rPr>
        <w:t>(125</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specialistus)</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0"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0"/>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(dvidešimt)</w:t>
      </w:r>
      <w:r>
        <w:rPr>
          <w:rFonts w:cs="Times New Roman" w:ascii="Times New Roman" w:hAnsi="Times New Roman"/>
          <w:color w:val="000000"/>
          <w:sz w:val="24"/>
          <w:szCs w:val="24"/>
        </w:rPr>
        <w:t xml:space="preserve">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Mokymosi psichologija ir amžiaus ypatumai. Suaugusiųjų ir vyresnio amžiaus žmonių mokymosi principai, tipinės mokymosi kliūtys ir kaip jas įveikti.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Paveikios komunikacijos principai. Aiškus, suprantamas, neverbalinis ir vizualinis komunikavimas, netiesioginė kalba, išankstinės nuostatos, stereotipų vengimas.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Įtraukimo ir motyvavimo metodai organizuojant sveikatos ugdymo veiklas </w:t>
      </w:r>
      <w:r>
        <w:rPr>
          <w:rFonts w:ascii="Times New Roman" w:hAnsi="Times New Roman"/>
          <w:sz w:val="24"/>
          <w:szCs w:val="24"/>
        </w:rPr>
        <w:t>suaugusiems ir vyresnio amžiaus žmonėms</w:t>
      </w:r>
      <w:r>
        <w:rPr>
          <w:rFonts w:cs="Times New Roman" w:ascii="Times New Roman" w:hAnsi="Times New Roman"/>
          <w:sz w:val="24"/>
          <w:szCs w:val="24"/>
        </w:rPr>
        <w:t>. Interaktyvūs metodai: diskusijos, klausimai, žaidimai, istorijos. Kūrybiškas vizualinių priemonių ir medžiagos naudojimas. Grupinio darbo ir pasikartojimo metodai. Skaitmeninių technologijų taikymas</w:t>
      </w:r>
      <w:r>
        <w:rPr>
          <w:rFonts w:ascii="Times New Roman" w:hAnsi="Times New Roman"/>
          <w:sz w:val="24"/>
          <w:szCs w:val="24"/>
        </w:rPr>
        <w: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pagrindinius mokymo metodus,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w:t>
      </w:r>
      <w:r>
        <w:rPr>
          <w:rFonts w:cs="Times New Roman" w:ascii="Times New Roman" w:hAnsi="Times New Roman"/>
          <w:bCs/>
          <w:color w:val="000000"/>
          <w:sz w:val="24"/>
          <w:szCs w:val="24"/>
        </w:rPr>
        <w:t xml:space="preserve">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1"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1"/>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2"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9"/>
      <w:bookmarkEnd w:id="12"/>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eastAsia="Times New Roman" w:cs="Times New Roman" w:ascii="Times New Roman" w:hAnsi="Times New Roman"/>
          <w:b/>
          <w:bCs/>
          <w:color w:val="000000"/>
          <w:sz w:val="24"/>
          <w:szCs w:val="24"/>
        </w:rPr>
        <w:t xml:space="preserve">II PIRKIMO DALIS. </w:t>
      </w:r>
      <w:r>
        <w:rPr>
          <w:rFonts w:eastAsia="Times New Roman" w:cs="Times New Roman" w:ascii="Times New Roman" w:hAnsi="Times New Roman"/>
          <w:b w:val="false"/>
          <w:bCs w:val="false"/>
          <w:color w:val="000000"/>
          <w:sz w:val="24"/>
          <w:szCs w:val="24"/>
        </w:rPr>
        <w:t>MOKYMAI VISUOMENĖS SVEIKATOS SPECIALISTAMS TEMA „UŽKREČIAMŲ LIGŲ VALDYMAS UGDYMO ĮSTAIGOJE: VISUOMENĖS SVEIKATOS SPECIALISTO VAIDMUO“ ORGANIZAVIMO IR VYKDYMO PASLAUGOS</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13" w:name="_Hlk159074911_Copy_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14" w:name="_Hlk205286575_Copy_1"/>
      <w:r>
        <w:rPr>
          <w:rFonts w:cs="Times New Roman" w:ascii="Times New Roman" w:hAnsi="Times New Roman"/>
          <w:color w:themeColor="text1" w:val="000000"/>
          <w:sz w:val="24"/>
          <w:szCs w:val="24"/>
        </w:rPr>
        <w:t xml:space="preserve">Mokymai aktualiais visuomenės sveikatos stiprinimo klausimais. </w:t>
      </w:r>
      <w:bookmarkEnd w:id="13"/>
      <w:bookmarkEnd w:id="14"/>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15" w:name="_Hlk159080123_Copy_1"/>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15"/>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16" w:name="_Hlk159083609_Copy_1"/>
      <w:bookmarkStart w:id="17" w:name="_Hlk159083609_Copy_1"/>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naujausias teorines ir praktines žinias apie užkrečiamųjų ligų prevenciją, kontrolę ir valdymą ugdymo įstaigose, stiprinant jų gebėjimus savalaikiai reaguoti į ligų židinius ar protrūkius, efektyviai bendradarbiauti su Nacionaliniu visuomenės sveikatos centru (toliau – NVSC), ugdymo įstaigų bendruomenėmis, bei taikyti aktualias metodines rekomendacijas kasdienėje veikloje.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 Nacionalinio visuomenės sveikatos centro prie Sveikatos apsaugos ministerijos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20</w:t>
      </w:r>
      <w:r>
        <w:rPr>
          <w:rFonts w:cs="Times New Roman" w:ascii="Times New Roman" w:hAnsi="Times New Roman"/>
          <w:b/>
          <w:bCs/>
          <w:sz w:val="24"/>
          <w:szCs w:val="24"/>
          <w:u w:val="single"/>
        </w:rPr>
        <w:t xml:space="preserve">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ne mažiau nei 3 mokymo grupes</w:t>
      </w:r>
      <w:r>
        <w:rPr>
          <w:rFonts w:cs="Times New Roman" w:ascii="Times New Roman" w:hAnsi="Times New Roman"/>
          <w:bCs/>
          <w:color w:val="000000"/>
          <w:sz w:val="24"/>
          <w:szCs w:val="24"/>
        </w:rPr>
        <w:t xml:space="preserve"> (6</w:t>
      </w:r>
      <w:r>
        <w:rPr>
          <w:rFonts w:cs="Times New Roman" w:ascii="Times New Roman" w:hAnsi="Times New Roman"/>
          <w:color w:val="000000"/>
          <w:sz w:val="24"/>
          <w:szCs w:val="24"/>
        </w:rPr>
        <w:t>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ne mažiau nei 17 mokymo grupių </w:t>
      </w:r>
      <w:r>
        <w:rPr>
          <w:rFonts w:cs="Times New Roman" w:ascii="Times New Roman" w:hAnsi="Times New Roman"/>
          <w:bCs/>
          <w:color w:val="000000"/>
          <w:sz w:val="24"/>
          <w:szCs w:val="24"/>
        </w:rPr>
        <w:t>(340 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8" w:name="_Hlk178240899_Copy_1"/>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8"/>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Užkrečiamųjų ligų aktualumas Lietuvoje ir pasaulyje.</w:t>
      </w:r>
      <w:r>
        <w:rPr>
          <w:rFonts w:cs="Times New Roman" w:ascii="Times New Roman" w:hAnsi="Times New Roman"/>
          <w:sz w:val="24"/>
          <w:szCs w:val="24"/>
        </w:rPr>
        <w:t xml:space="preserve"> </w:t>
      </w:r>
      <w:r>
        <w:rPr>
          <w:rFonts w:ascii="Times New Roman" w:hAnsi="Times New Roman"/>
          <w:sz w:val="24"/>
          <w:szCs w:val="24"/>
        </w:rPr>
        <w:t>Valstybinės užkrečiamųjų ligų programos, užkrečiamųjų ligų ir jų plitimo profilaktikos priemonės, įgyvendinant užkrečiamosios ligos židinio ar protrūkio kontrolės priemones ugdymo įstaigose, metodinės rekomendacijos, jų taikymas.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NVSC ir Visuomenės sveikatos biuro vaidmuo ir užduotys, specialisto, vykdančio sveikatos priežiūrą mokykloje, vaidmuo ir užduotys, reagavimo į užkrečiamąsias ligas algoritmai.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Tarpinstitucinis bendradarbiavimas su NVSC, komunikacija ir efektyvus informacijos perdavimas mokyklos darbuotojams, vaikų tėvams.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sz w:val="24"/>
          <w:szCs w:val="24"/>
        </w:rPr>
        <w:t xml:space="preserve">pateikia kito mėnesio </w:t>
      </w:r>
      <w:r>
        <w:rPr>
          <w:rFonts w:cs="Times New Roman" w:ascii="Times New Roman" w:hAnsi="Times New Roman"/>
          <w:bCs/>
          <w:color w:val="000000"/>
          <w:sz w:val="24"/>
          <w:szCs w:val="24"/>
        </w:rPr>
        <w:t>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r>
        <w:rPr>
          <w:rFonts w:cs="Times New Roman" w:ascii="Times New Roman" w:hAnsi="Times New Roman"/>
          <w:bCs/>
          <w:color w:val="000000"/>
          <w:sz w:val="24"/>
          <w:szCs w:val="24"/>
        </w:rPr>
        <w:t>;</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duomenų </w:t>
      </w:r>
      <w:r>
        <w:rPr>
          <w:rFonts w:cs="Times New Roman" w:ascii="Times New Roman" w:hAnsi="Times New Roman"/>
          <w:bCs/>
          <w:sz w:val="24"/>
          <w:szCs w:val="24"/>
        </w:rPr>
        <w:t>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w:t>
      </w:r>
      <w:r>
        <w:rPr>
          <w:rFonts w:cs="Times New Roman" w:ascii="Times New Roman" w:hAnsi="Times New Roman"/>
          <w:bCs/>
          <w:color w:val="000000"/>
          <w:sz w:val="24"/>
          <w:szCs w:val="24"/>
        </w:rPr>
        <w:t xml:space="preserve">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9" w:name="_Hlk159167654_Copy_1"/>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Po visų mokymų Paslaugų teikėjas turi pateikti detalią paslaugų </w:t>
      </w:r>
      <w:r>
        <w:rPr>
          <w:rFonts w:cs="Times New Roman" w:ascii="Times New Roman" w:hAnsi="Times New Roman"/>
          <w:color w:val="000000"/>
          <w:sz w:val="24"/>
          <w:szCs w:val="24"/>
        </w:rPr>
        <w:t>įvykdymo ataskaitą</w:t>
      </w:r>
      <w:r>
        <w:rPr>
          <w:rFonts w:cs="Times New Roman" w:ascii="Times New Roman" w:hAnsi="Times New Roman"/>
          <w:sz w:val="24"/>
          <w:szCs w:val="24"/>
        </w:rPr>
        <w:t>.</w:t>
      </w:r>
      <w:bookmarkEnd w:id="19"/>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4">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5">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20" w:name="_Hlk193064098_Copy_1"/>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7"/>
      <w:bookmarkEnd w:id="20"/>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6"/>
      <w:headerReference w:type="first" r:id="rId7"/>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lineRule="auto" w:line="240"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lineRule="auto" w:line="240"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https://vdai.lrv.lt/" TargetMode="External"/><Relationship Id="rId5" Type="http://schemas.openxmlformats.org/officeDocument/2006/relationships/hyperlink" Target="mailto:institutas@hi.l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E5046DF7-F5A4-411A-8FC1-5972C803689B}"/>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LibreOffice/7.6.4.1$Windows_X86_64 LibreOffice_project/e19e193f88cd6c0525a17fb7a176ed8e6a3e2aa1</Application>
  <AppVersion>15.0000</AppVersion>
  <Pages>11</Pages>
  <Words>4347</Words>
  <Characters>30954</Characters>
  <CharactersWithSpaces>35051</CharactersWithSpaces>
  <Paragraphs>198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
  <dcterms:modified xsi:type="dcterms:W3CDTF">2025-12-28T12:13:40Z</dcterms:modified>
  <cp:revision>141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