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
    </w:p>
    <w:p>
      <w:pPr>
        <w:pStyle w:val="Normal"/>
        <w:spacing w:lineRule="auto" w:line="240" w:before="0"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b/>
          <w:bCs/>
          <w:color w:themeColor="text1" w:val="000000"/>
          <w:sz w:val="24"/>
          <w:szCs w:val="24"/>
          <w:lang w:val="lt-LT"/>
        </w:rPr>
        <w:t>TECHNINĖ SPECIFIKACIJA</w:t>
      </w:r>
    </w:p>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sz w:val="24"/>
          <w:szCs w:val="24"/>
          <w:lang w:val="lt-LT"/>
        </w:rPr>
        <w:t>SAVIŽUDYBIŲ PREVENCIJOS SVETAINĖS TECHNINIS PALAIKYMAS IR PLĖTRA</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BENDROSIOS NUOSTATOS</w:t>
      </w:r>
    </w:p>
    <w:p>
      <w:pPr>
        <w:pStyle w:val="ListParagraph"/>
        <w:spacing w:lineRule="auto" w:line="240"/>
        <w:ind w:left="720"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 Higienos institutas (Studentų g. 45A, Vilnius) (toliau – Perkančioji organizacija).</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Pirkimas skirtas įgyvendinti Higienos instituto projekto „Psichikos sveikatos stiprinimas, stigmatizavimo mažinimas, savižudybių prevencija Vidurio, Vakarų Lietuvos ir Sostinės regione“ Nr. 09-025-P-0001 veiklas.  </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sutarties trukmė – 36 mėn. nuo sutarties sudarymo arba išnaudojus paslaugoms teikti skirtas valandas.</w:t>
      </w:r>
    </w:p>
    <w:p>
      <w:pPr>
        <w:pStyle w:val="Normal"/>
        <w:numPr>
          <w:ilvl w:val="0"/>
          <w:numId w:val="1"/>
        </w:numPr>
        <w:tabs>
          <w:tab w:val="clear" w:pos="720"/>
          <w:tab w:val="left" w:pos="1418" w:leader="none"/>
        </w:tabs>
        <w:spacing w:lineRule="auto" w:line="240" w:before="0" w:after="0"/>
        <w:ind w:firstLine="491"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Tiekėjui apmoka tik už faktiškai suteiktų paslaugų kiekį. Perkančioji organizacija neįsipareigoja išnaudoti visas numatytas valandas.</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skirti kontaktinį asmenį, su kuriuo būtų derinami su pirkimu susiję klausimai.</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Sutarties vykdymo metu reikalingos suteikti paslaugos gali būti tikslinamos arba derinamos elektroniniu paštu, abiem šalims susitarus arba Perkančiosios organizacijos iniciatyva.</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PIRKIMO OBJEKTAS</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843" w:leader="none"/>
          <w:tab w:val="left" w:pos="2554"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objektas – Savižudybių prevencijos svetainės (toliau – Platforma) www.tuesi.lt techninio palaikymo ir vystymo paslaugos (toliau – Paslaugos), kurios apima:</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Platformos techninį palaikymą;</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atnaujinimą „WordPress“ arba lygiavertis platformoje, įskaitant naujų polapių ir modulių kūrimą;</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pirmenybinį pozicionavimą („Google Ads“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optimizavimą „Google“ arba lygiavertis paieškos sistemai (SEO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ir „Google Analytics arba lygiavertis“ ataskaitų teikimą.</w:t>
      </w:r>
    </w:p>
    <w:p>
      <w:pPr>
        <w:pStyle w:val="ListParagraph"/>
        <w:tabs>
          <w:tab w:val="clear" w:pos="720"/>
          <w:tab w:val="left" w:pos="2554" w:leader="none"/>
        </w:tabs>
        <w:spacing w:lineRule="auto" w:line="240" w:before="0" w:after="0"/>
        <w:ind w:left="720" w:right="117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III SKYRIUS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REIKALAVIMAI PASLAUGŲ TEIKIMUI</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kartu su Perkančiosios organizacijos atstovu ne vėliau nei per 30 dienų po sutarties pasirašymo suderina ir paslaugų teikimo grafike (techninės specifikacijos 1 priedas) suplanuoja Paslaugas artimiausiems 6 mėnesiams, o šiam terminui nepasibaigus grafiką periodiškai papildo atitinkamam laikotarpiui, kol baigiasi sutartyje numatytas paslaugų teikimo terminas. </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teikimo grafikas derinamas ir gali būti keičiamas abiejų šalių sutarimu el. paštu ne vėliau nei prieš 7 dienas iki reikalingos veiklos pakeitimo arba įtraukimo įgyvendinimo.</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teikia informacinės platformos www.tuesi.lt techninio palaikymo paslaugas „WordPress“ arba lygiavertis platformoje:</w:t>
      </w:r>
    </w:p>
    <w:p>
      <w:pPr>
        <w:sectPr>
          <w:type w:val="nextPage"/>
          <w:pgSz w:w="12240" w:h="15840"/>
          <w:pgMar w:left="1134" w:right="1134" w:gutter="0" w:header="0" w:top="1134" w:footer="0" w:bottom="1134"/>
          <w:pgNumType w:fmt="decimal"/>
          <w:formProt w:val="false"/>
          <w:textDirection w:val="lrTb"/>
        </w:sect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įkelia ir redaguoja turinį, kuria naujus polapius, diegia ir atnaujina įskiepius;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pagal atliktas turinio atnaujinimo paslaugas įgyvendina techninius sprendimus, patogiausius vartotojui ir atitinkančius informacinės platformos stilių.</w:t>
      </w:r>
    </w:p>
    <w:p>
      <w:pPr>
        <w:pStyle w:val="ListParagraph"/>
        <w:numPr>
          <w:ilvl w:val="0"/>
          <w:numId w:val="1"/>
        </w:numPr>
        <w:tabs>
          <w:tab w:val="clear" w:pos="720"/>
          <w:tab w:val="left" w:pos="1843"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teikia informacinės platformos www.tuesi.lt turinio optimizavimo ir pirmenybinio pozicionavimo  paslaugas: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kuria ir (arba) atnaujina Platformos turinį panaudojant raktažodžius, siekiant palaikyti ar padidinti pasiektą organinį lankytojų srautą;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kuria ir atnaujina skelbimus „Google“ arba lygiavertis paieškos sistemoje („Google Ads“ arba lygiavertis) pagal esamą raktažodžių sąrašą, vykdo skelbimų efektyvumo stebėseną, teikia argumentuotus raktažodžių ir skelbimų turinio keitimo siūlymus. Planuojamas kampanijos intensyvumas: 7000-10000 parodymų per mėnesį, pasiekiant ne mažiau nei 50 proc. galimų paieškų pagal naudojamus raktažodžius (</w:t>
      </w:r>
      <w:r>
        <w:rPr>
          <w:rFonts w:eastAsia="Times New Roman" w:cs="Times New Roman" w:ascii="Times New Roman" w:hAnsi="Times New Roman"/>
          <w:i/>
          <w:iCs/>
          <w:color w:themeColor="text1" w:val="000000"/>
          <w:sz w:val="24"/>
          <w:szCs w:val="24"/>
          <w:lang w:val="lt-LT"/>
        </w:rPr>
        <w:t>impression share</w:t>
      </w:r>
      <w:r>
        <w:rPr>
          <w:rFonts w:eastAsia="Times New Roman" w:cs="Times New Roman" w:ascii="Times New Roman" w:hAnsi="Times New Roman"/>
          <w:color w:themeColor="text1" w:val="000000"/>
          <w:sz w:val="24"/>
          <w:szCs w:val="24"/>
          <w:lang w:val="lt-LT"/>
        </w:rPr>
        <w:t>).</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pateikia Perkančiajai organizacijai rekomendacijas Platformos atnaujinimui, paremtas gerosiomis šiuolaikinėmis į vartotoją orientuoto dizaino (UX/UI arba lygiavertis) praktikomis.</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savo iniciatyva neteikia nesuderintų paslaugų, išskyrus atvejus, kuomet tokias paslaugas suteikti yra būtina, kad būtų išvengta Platformos veiklos trikdžių (pvz., kibernetinės atakos, pasibaigęs saugumo sertifikatas ir pan.).</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skelbimų talpinimo kaštai yra įskaičiuoti į sutarties vertę.</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kad Tiekėjo pasiūlyme nurodyti  specialistai dalyvautų paslaugos teikime viso sutarties vykdymo laikotarpiu:</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tuo atveju, kai specialistas keičiamas (dėl ligos, atleidimo iš darbo ar kitų objektyvių priežasčių), Tiekėjas privalo Perkančiajai organizacijai pateikti raštišką prašymą pakeisti specialistą, nurodydamas pakeitimo priežastis ir siūlydamas ne žemesnės kvalifikacijos asmenį;</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pakeičiančio specialisto kvalifikacija, patirtis ir kompetencijos turi atitikti arba viršyti Pasiūlyme nurodytus reikalavimus keičiamo specialisto pozicijai;</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pakeitimas įsigalioja tik gavus raštišką Perkančiosios organizacijos sutikimą ir pasirašius susitarimą dėl Sutarties keitimo. Perkančioji organizacija pasilieka teisę patikrinti siūlomo pakeičiamo specialisto kvalifikaciją ir, esant poreikiui, paprašyti papildomų įrodymų ar susitikimo su specialistu;</w:t>
      </w:r>
    </w:p>
    <w:p>
      <w:pPr>
        <w:pStyle w:val="ListParagraph"/>
        <w:numPr>
          <w:ilvl w:val="1"/>
          <w:numId w:val="1"/>
        </w:numPr>
        <w:tabs>
          <w:tab w:val="clear" w:pos="720"/>
          <w:tab w:val="left" w:pos="1710" w:leader="none"/>
        </w:tabs>
        <w:spacing w:lineRule="auto" w:line="240" w:before="0" w:after="0"/>
        <w:ind w:firstLine="513"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imtis visų reikalingų priemonių, kad Pasiūlyme nurodyti specialistai aktyviai dalyvautų paslaugos teikimo procese. Šis dalyvavimas apima, bet neapsiriboja, tiesioginį bendravimą su Perkančiosios organizacijos paskirtais kontaktiniais asmenimis sprendžiant su paslaugos teikimu susijusius klausimus.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pakankamą paskirtų specialistų darbo laiko ir resursų skyrimą sutarčiai vykdyti, kad būtų garantuotas nenutrūkstamas ir efektyvus jų dalyvavimas projekte.</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IV SKYRIUS</w:t>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REIKALAVIMAI ATASKAITOMS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Perkančiajai organizacijai periodiškai (ne rečiau nei kartą per ketvirtį) pateikia informacinės platformos turinio lankomumo („Google Analytics“ arba lygiavertis), optimizavimo paieškos sistemai „Google“ (SEO arba lygiavertis), ir pirmenybinio pozicionavimo („Google Ads“ arba lygiavertis) ataskaitas PPT arba lygiavertis formatu su Perkančiąja organizacija suderintu periodiškumu, kuris aprašomas paslaugų suderinimo grafike. </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iš Tiekėjo gali paprašyti papildomų turinio lankomumo, optimizavimo paieškos sistemai „Google“ arba lygiavertis ir pirmenybinio pozicionavimo ataskaitų už pasirinktą laikotarpį. Tokių ataskaitų turinys ir terminai derinami atskiru susitarimu elektroniniu paštu.</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Ataskaitose Tiekėjas pateikia:</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svarbiausius rodiklius, atspindinčius ir leidžiančius įvertinti svetainės turinio lankomumą pagal skirtingus lankytojų srauto šaltinius, taip pat atliktų turinio ir techninio palaikymo darbų, turinio optimizavimo paieškos sistemoms ir pirmenybinio pozicionavimo darbų įtaką lankomumui; </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įžvalgas ir argumentuotus pasiūlymus tolesniems svetainės turinio ir pirmenybinio pozicionavimo darbams.</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Ataskaitų rengimo kaštai įeina į Tiekėjo siūlomą valandinį įkainį.</w:t>
      </w:r>
    </w:p>
    <w:p>
      <w:pPr>
        <w:pStyle w:val="Prastasis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sz w:val="22"/>
          <w:szCs w:val="22"/>
          <w:lang w:val="lt-LT"/>
        </w:rPr>
      </w:pPr>
      <w:r>
        <w:rPr>
          <w:rFonts w:eastAsia="Times New Roman" w:cs="Times New Roman"/>
          <w:sz w:val="22"/>
          <w:szCs w:val="22"/>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V SKYRIUS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MINIMALŪS APLINKOS APSAUGOS KRITERIJAI, TAIKOMI PASLAUGOMS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lang w:val="lt-LT"/>
        </w:rPr>
      </w:pPr>
      <w:r>
        <w:rPr>
          <w:rFonts w:eastAsia="Times New Roman" w:cs="Times New Roman"/>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Teikiant paslaugas nebus naudojamas popierius. Ataskaitos ir parengta medžiaga pateikiamos el. paštu.</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VI SKYRIUS</w:t>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ASMENS DUOMENŲ TVARKYMAS</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Kilus ginčams dėl viešųjų pirkimų organizavimo ar Sutarties vykdymo, Perkančioji organizacija gali tvarkyti 23-24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Tiekėjo pasiūlymas negalės būti vertinamas bei nebus galima sudaryti ir vykdyti Sutarties.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lang w:val="lt-LT"/>
          </w:rPr>
          <w:t>https://vdai.lrv.lt/</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lang w:val="lt-LT"/>
          </w:rPr>
          <w:t>institutas@hi.lt</w:t>
        </w:r>
      </w:hyperlink>
      <w:r>
        <w:rPr>
          <w:rFonts w:eastAsia="Times New Roman" w:cs="Times New Roman" w:ascii="Times New Roman" w:hAnsi="Times New Roman"/>
          <w:color w:themeColor="text1" w:val="000000"/>
          <w:sz w:val="24"/>
          <w:szCs w:val="24"/>
          <w:lang w:val="lt-LT"/>
        </w:rPr>
        <w:t xml:space="preserve"> ar jo duomenų apsaugos pareigūnui el. paštu </w:t>
      </w:r>
      <w:hyperlink r:id="rId4">
        <w:r>
          <w:rPr>
            <w:color w:themeColor="text1" w:val="000000"/>
            <w:lang w:val="lt-LT"/>
          </w:rPr>
          <w:t>ada.ekspertai@gmail.com</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firstLine="774" w:left="720"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 xml:space="preserve">Tiekėjas, prieš teikdamas pasiūlymą ir prieš sudarydamas Sutartį, nurodytus fizinius asmenis privalo supažindinti su 22-30 punktuose pateikta informacija apie Perkančiosios organizacijos vykdomą asmens duomenų tvarkymą. </w:t>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__________________</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Normal"/>
        <w:widowControl/>
        <w:suppressAutoHyphens w:val="false"/>
        <w:spacing w:lineRule="auto" w:line="240" w:before="0" w:after="0"/>
        <w:textAlignment w:val="auto"/>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r>
        <w:br w:type="page"/>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right"/>
        <w:rPr>
          <w:rFonts w:eastAsia="Times New Roman" w:cs="Times New Roman"/>
          <w:color w:themeColor="text1" w:val="000000"/>
          <w:lang w:val="lt-LT"/>
        </w:rPr>
      </w:pPr>
      <w:r>
        <w:rPr>
          <w:rFonts w:eastAsia="Times New Roman" w:cs="Times New Roman"/>
          <w:color w:themeColor="text1" w:val="000000"/>
          <w:lang w:val="lt-LT"/>
        </w:rPr>
        <w:t>TS priedas Nr. 1</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t>Paslaugų suderinimo grafikas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r>
    </w:p>
    <w:tbl>
      <w:tblPr>
        <w:tblStyle w:val="Lentelstinklelis"/>
        <w:tblW w:w="10352" w:type="dxa"/>
        <w:jc w:val="left"/>
        <w:tblInd w:w="450" w:type="dxa"/>
        <w:tblLayout w:type="fixed"/>
        <w:tblCellMar>
          <w:top w:w="0" w:type="dxa"/>
          <w:left w:w="108" w:type="dxa"/>
          <w:bottom w:w="0" w:type="dxa"/>
          <w:right w:w="108" w:type="dxa"/>
        </w:tblCellMar>
        <w:tblLook w:firstRow="1" w:noVBand="1" w:lastRow="0" w:firstColumn="1" w:lastColumn="0" w:noHBand="1" w:val="06a0"/>
      </w:tblPr>
      <w:tblGrid>
        <w:gridCol w:w="2588"/>
        <w:gridCol w:w="2588"/>
        <w:gridCol w:w="2590"/>
        <w:gridCol w:w="2585"/>
      </w:tblGrid>
      <w:tr>
        <w:trPr>
          <w:trHeight w:val="96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Veikla</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Pobūdis</w:t>
            </w:r>
            <w:r>
              <w:rPr>
                <w:rFonts w:eastAsia="Times New Roman" w:cs="Times New Roman"/>
                <w:color w:themeColor="text1" w:val="000000"/>
                <w:lang w:val="lt-LT" w:bidi="ar-SA"/>
              </w:rPr>
              <w:t xml:space="preserve"> (turinys, optimizavimo darbai, techninio palaikymo darbai, kt.)</w:t>
            </w:r>
          </w:p>
        </w:tc>
        <w:tc>
          <w:tcPr>
            <w:tcW w:w="2590"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Reikalingas valandų skaičius</w:t>
            </w:r>
          </w:p>
        </w:tc>
        <w:tc>
          <w:tcPr>
            <w:tcW w:w="2585"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Darbų atlikimo terminas</w:t>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1.1</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90"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5"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1.2</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90"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5"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bl>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sectPr>
      <w:type w:val="nextPage"/>
      <w:pgSz w:w="12240" w:h="15840"/>
      <w:pgMar w:left="993"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32e"/>
    <w:pPr>
      <w:widowControl w:val="false"/>
      <w:suppressAutoHyphens w:val="true"/>
      <w:bidi w:val="0"/>
      <w:spacing w:lineRule="auto" w:line="252" w:before="0" w:after="160"/>
      <w:jc w:val="left"/>
      <w:textAlignment w:val="baseline"/>
    </w:pPr>
    <w:rPr>
      <w:rFonts w:ascii="Calibri" w:hAnsi="Calibri" w:eastAsia="SimSun" w:cs="Tahoma"/>
      <w:color w:val="auto"/>
      <w:kern w:val="2"/>
      <w:sz w:val="22"/>
      <w:szCs w:val="22"/>
      <w:lang w:val="en-US" w:eastAsia="en-US" w:bidi="ar-SA"/>
    </w:rPr>
  </w:style>
  <w:style w:type="paragraph" w:styleId="Heading2">
    <w:name w:val="Heading 2"/>
    <w:basedOn w:val="Normal"/>
    <w:next w:val="Normal"/>
    <w:qFormat/>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character" w:styleId="DefaultParagraphFont" w:default="1">
    <w:name w:val="Default Paragraph Font"/>
    <w:uiPriority w:val="1"/>
    <w:semiHidden/>
    <w:unhideWhenUsed/>
    <w:qFormat/>
    <w:rPr/>
  </w:style>
  <w:style w:type="character" w:styleId="Hyperlink">
    <w:name w:val="Hyperlink"/>
    <w:uiPriority w:val="99"/>
    <w:rsid w:val="007c332e"/>
    <w:rPr>
      <w:color w:val="0000FF"/>
      <w:u w:val="single"/>
    </w:rPr>
  </w:style>
  <w:style w:type="character" w:styleId="DebesliotekstasDiagrama" w:customStyle="1">
    <w:name w:val="Debesėlio tekstas Diagrama"/>
    <w:link w:val="BalloonText"/>
    <w:uiPriority w:val="99"/>
    <w:semiHidden/>
    <w:qFormat/>
    <w:rsid w:val="009c5458"/>
    <w:rPr>
      <w:rFonts w:ascii="Segoe UI" w:hAnsi="Segoe UI" w:eastAsia="SimSun" w:cs="Segoe UI"/>
      <w:kern w:val="2"/>
      <w:sz w:val="18"/>
      <w:szCs w:val="18"/>
    </w:rPr>
  </w:style>
  <w:style w:type="character" w:styleId="Annotationreference">
    <w:name w:val="annotation reference"/>
    <w:uiPriority w:val="99"/>
    <w:semiHidden/>
    <w:unhideWhenUsed/>
    <w:qFormat/>
    <w:rsid w:val="002f518c"/>
    <w:rPr>
      <w:sz w:val="16"/>
      <w:szCs w:val="16"/>
    </w:rPr>
  </w:style>
  <w:style w:type="character" w:styleId="KomentarotekstasDiagrama" w:customStyle="1">
    <w:name w:val="Komentaro tekstas Diagrama"/>
    <w:link w:val="Annotationtext"/>
    <w:uiPriority w:val="99"/>
    <w:qFormat/>
    <w:rsid w:val="002f518c"/>
    <w:rPr>
      <w:rFonts w:ascii="Calibri" w:hAnsi="Calibri" w:eastAsia="SimSun" w:cs="Tahoma"/>
      <w:kern w:val="2"/>
      <w:sz w:val="20"/>
      <w:szCs w:val="20"/>
    </w:rPr>
  </w:style>
  <w:style w:type="character" w:styleId="KomentarotemaDiagrama" w:customStyle="1">
    <w:name w:val="Komentaro tema Diagrama"/>
    <w:link w:val="Annotationsubject"/>
    <w:uiPriority w:val="99"/>
    <w:semiHidden/>
    <w:qFormat/>
    <w:rsid w:val="002f518c"/>
    <w:rPr>
      <w:rFonts w:ascii="Calibri" w:hAnsi="Calibri" w:eastAsia="SimSun" w:cs="Tahoma"/>
      <w:b/>
      <w:bCs/>
      <w:kern w:val="2"/>
      <w:sz w:val="20"/>
      <w:szCs w:val="20"/>
    </w:rPr>
  </w:style>
  <w:style w:type="character" w:styleId="FollowedHyperlink">
    <w:name w:val="FollowedHyperlink"/>
    <w:uiPriority w:val="99"/>
    <w:semiHidden/>
    <w:unhideWhenUsed/>
    <w:rsid w:val="002b39bb"/>
    <w:rPr>
      <w:color w:val="954F72"/>
      <w:u w:val="single"/>
    </w:rPr>
  </w:style>
  <w:style w:type="character" w:styleId="Strong">
    <w:name w:val="Strong"/>
    <w:uiPriority w:val="22"/>
    <w:qFormat/>
    <w:rsid w:val="00a20157"/>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customStyle="1">
    <w:name w:val="Standard"/>
    <w:qFormat/>
    <w:rsid w:val="007c332e"/>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lt-LT" w:eastAsia="lt-LT" w:bidi="ar-SA"/>
    </w:rPr>
  </w:style>
  <w:style w:type="paragraph" w:styleId="Prastasis1" w:customStyle="1">
    <w:name w:val="Įprastasis1"/>
    <w:qFormat/>
    <w:rsid w:val="007c332e"/>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en-US" w:eastAsia="en-US" w:bidi="ar-SA"/>
    </w:rPr>
  </w:style>
  <w:style w:type="paragraph" w:styleId="ListParagraph">
    <w:name w:val="List Paragraph"/>
    <w:basedOn w:val="Normal"/>
    <w:uiPriority w:val="34"/>
    <w:qFormat/>
    <w:rsid w:val="00ab118e"/>
    <w:pPr>
      <w:spacing w:before="0" w:after="160"/>
      <w:ind w:left="720"/>
      <w:contextualSpacing/>
    </w:pPr>
    <w:rPr/>
  </w:style>
  <w:style w:type="paragraph" w:styleId="BalloonText">
    <w:name w:val="Balloon Text"/>
    <w:basedOn w:val="Normal"/>
    <w:link w:val="DebesliotekstasDiagrama"/>
    <w:uiPriority w:val="99"/>
    <w:semiHidden/>
    <w:unhideWhenUsed/>
    <w:qFormat/>
    <w:rsid w:val="009c5458"/>
    <w:pPr>
      <w:spacing w:lineRule="auto" w:line="240" w:before="0" w:after="0"/>
    </w:pPr>
    <w:rPr>
      <w:rFonts w:ascii="Segoe UI" w:hAnsi="Segoe UI" w:cs="Segoe UI"/>
      <w:sz w:val="18"/>
      <w:szCs w:val="18"/>
    </w:rPr>
  </w:style>
  <w:style w:type="paragraph" w:styleId="Annotationtext">
    <w:name w:val="annotation text"/>
    <w:basedOn w:val="Normal"/>
    <w:link w:val="KomentarotekstasDiagrama"/>
    <w:uiPriority w:val="99"/>
    <w:unhideWhenUsed/>
    <w:qFormat/>
    <w:rsid w:val="002f518c"/>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2f518c"/>
    <w:pPr/>
    <w:rPr>
      <w:b/>
      <w:bCs/>
    </w:rPr>
  </w:style>
  <w:style w:type="paragraph" w:styleId="NormalWeb">
    <w:name w:val="Normal (Web)"/>
    <w:basedOn w:val="Normal"/>
    <w:uiPriority w:val="99"/>
    <w:semiHidden/>
    <w:unhideWhenUsed/>
    <w:qFormat/>
    <w:rsid w:val="00b47c7a"/>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val="lt-LT" w:eastAsia="lt-LT"/>
    </w:rPr>
  </w:style>
  <w:style w:type="paragraph" w:styleId="Revision">
    <w:name w:val="Revision"/>
    <w:uiPriority w:val="99"/>
    <w:semiHidden/>
    <w:qFormat/>
    <w:rsid w:val="00d96055"/>
    <w:pPr>
      <w:widowControl/>
      <w:suppressAutoHyphens w:val="true"/>
      <w:bidi w:val="0"/>
      <w:spacing w:before="0" w:after="0"/>
      <w:jc w:val="left"/>
    </w:pPr>
    <w:rPr>
      <w:rFonts w:ascii="Calibri" w:hAnsi="Calibri" w:eastAsia="SimSun" w:cs="Tahoma"/>
      <w:color w:val="auto"/>
      <w:kern w:val="2"/>
      <w:sz w:val="22"/>
      <w:szCs w:val="22"/>
      <w:lang w:val="en-US" w:eastAsia="en-US" w:bidi="ar-SA"/>
    </w:rPr>
  </w:style>
  <w:style w:type="paragraph" w:styleId="NoSpacing">
    <w:name w:val="No Spacing"/>
    <w:uiPriority w:val="1"/>
    <w:qFormat/>
    <w:rsid w:val="17ea2deb"/>
    <w:pPr>
      <w:widowControl/>
      <w:suppressAutoHyphens w:val="true"/>
      <w:bidi w:val="0"/>
      <w:spacing w:before="0" w:after="0"/>
      <w:jc w:val="left"/>
    </w:pPr>
    <w:rPr>
      <w:rFonts w:ascii="Calibri" w:hAnsi="Calibri" w:eastAsia="Calibri" w:cs="Times New Roman"/>
      <w:color w:val="auto"/>
      <w:kern w:val="0"/>
      <w:sz w:val="20"/>
      <w:szCs w:val="20"/>
      <w:lang w:val="en-US" w:eastAsia="ja-JP"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25287-7D33-44C2-BD3B-173B9D3AABA5}">
  <ds:schemaRefs>
    <ds:schemaRef ds:uri="http://schemas.microsoft.com/office/2006/metadata/longProperties"/>
  </ds:schemaRefs>
</ds:datastoreItem>
</file>

<file path=customXml/itemProps2.xml><?xml version="1.0" encoding="utf-8"?>
<ds:datastoreItem xmlns:ds="http://schemas.openxmlformats.org/officeDocument/2006/customXml" ds:itemID="{078DA7EC-E726-4AC3-9BF7-4695300E519B}">
  <ds:schemaRefs>
    <ds:schemaRef ds:uri="http://schemas.microsoft.com/sharepoint/v3/contenttype/forms"/>
  </ds:schemaRefs>
</ds:datastoreItem>
</file>

<file path=customXml/itemProps3.xml><?xml version="1.0" encoding="utf-8"?>
<ds:datastoreItem xmlns:ds="http://schemas.openxmlformats.org/officeDocument/2006/customXml" ds:itemID="{4A3759D0-0355-4150-981A-C422173A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AE93B-2593-4A30-A81C-2F1022DD6F03}">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LibreOffice/7.6.4.1$Windows_X86_64 LibreOffice_project/e19e193f88cd6c0525a17fb7a176ed8e6a3e2aa1</Application>
  <AppVersion>15.0000</AppVersion>
  <Pages>5</Pages>
  <Words>1602</Words>
  <Characters>11765</Characters>
  <CharactersWithSpaces>13279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2024-01-15T13:57:00Z</dcterms:created>
  <dc:creator>julija.meisime@gmail.com</dc:creator>
  <dc:description/>
  <dc:language>en-US</dc:language>
  <cp:lastModifiedBy/>
  <dcterms:modified xsi:type="dcterms:W3CDTF">2025-12-28T12:45:14Z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y fmtid="{D5CDD505-2E9C-101B-9397-08002B2CF9AE}" pid="4" name="Order">
    <vt:lpwstr>566600.000000000</vt:lpwstr>
  </property>
  <property fmtid="{D5CDD505-2E9C-101B-9397-08002B2CF9AE}" pid="5" name="display_urn:schemas-microsoft-com:office:office#Author">
    <vt:lpwstr>Živilė</vt:lpwstr>
  </property>
  <property fmtid="{D5CDD505-2E9C-101B-9397-08002B2CF9AE}" pid="6" name="display_urn:schemas-microsoft-com:office:office#Editor">
    <vt:lpwstr>Živilė</vt:lpwstr>
  </property>
</Properties>
</file>