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6783D38" w:rsidR="00351E41" w:rsidRPr="003A1AD0" w:rsidRDefault="00601A57" w:rsidP="00351E41">
            <w:pPr>
              <w:jc w:val="both"/>
              <w:rPr>
                <w:rFonts w:ascii="Cambria" w:hAnsi="Cambria"/>
                <w:b/>
                <w:kern w:val="2"/>
                <w:sz w:val="20"/>
              </w:rPr>
            </w:pPr>
            <w:r>
              <w:rPr>
                <w:rFonts w:ascii="Cambria" w:hAnsi="Cambria"/>
                <w:b/>
                <w:kern w:val="2"/>
                <w:sz w:val="20"/>
              </w:rPr>
              <w:t>VAKUUMO SIRBLIŲ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2802C76E" w:rsidR="003A1AD0" w:rsidRPr="00351E41" w:rsidRDefault="00601A57"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09BA14E2"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B32D5">
              <w:rPr>
                <w:rFonts w:ascii="Cambria" w:hAnsi="Cambria"/>
                <w:kern w:val="2"/>
                <w:sz w:val="20"/>
              </w:rPr>
              <w:t xml:space="preserve">Prekes – </w:t>
            </w:r>
            <w:r w:rsidR="00601A57">
              <w:rPr>
                <w:rFonts w:ascii="Cambria" w:hAnsi="Cambria"/>
                <w:kern w:val="2"/>
                <w:sz w:val="20"/>
              </w:rPr>
              <w:t>vakuumo siurblius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w:t>
            </w:r>
            <w:r w:rsidR="00EB32D5">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4419B12A" w:rsidR="005A5832" w:rsidRPr="00351E41" w:rsidRDefault="001F597F" w:rsidP="00397CF8">
            <w:pPr>
              <w:jc w:val="both"/>
              <w:rPr>
                <w:rFonts w:ascii="Cambria" w:hAnsi="Cambria"/>
                <w:kern w:val="2"/>
                <w:sz w:val="20"/>
              </w:rPr>
            </w:pPr>
            <w:bookmarkStart w:id="0" w:name="_GoBack"/>
            <w:r>
              <w:rPr>
                <w:rFonts w:ascii="Cambria" w:hAnsi="Cambria"/>
                <w:kern w:val="2"/>
                <w:sz w:val="20"/>
              </w:rPr>
              <w:t>Atviras konkursas</w:t>
            </w:r>
            <w:r w:rsidR="00EB32D5">
              <w:rPr>
                <w:rFonts w:ascii="Cambria" w:hAnsi="Cambria"/>
                <w:kern w:val="2"/>
                <w:sz w:val="20"/>
              </w:rPr>
              <w:t xml:space="preserve"> (supaprastintas pirkimas) </w:t>
            </w:r>
            <w:r>
              <w:rPr>
                <w:rFonts w:ascii="Cambria" w:hAnsi="Cambria"/>
                <w:kern w:val="2"/>
                <w:sz w:val="20"/>
              </w:rPr>
              <w:t xml:space="preserve"> „</w:t>
            </w:r>
            <w:r w:rsidR="00601A57">
              <w:rPr>
                <w:rFonts w:ascii="Cambria" w:hAnsi="Cambria"/>
                <w:kern w:val="2"/>
                <w:sz w:val="20"/>
              </w:rPr>
              <w:t>Vakuumo siurbliai</w:t>
            </w:r>
            <w:r>
              <w:rPr>
                <w:rFonts w:ascii="Cambria" w:hAnsi="Cambria"/>
                <w:kern w:val="2"/>
                <w:sz w:val="20"/>
              </w:rPr>
              <w:t>“, pirkimo Nr.</w:t>
            </w:r>
            <w:bookmarkEnd w:id="0"/>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108E7A75" w:rsidR="001B43E3" w:rsidRPr="00FB3C8E" w:rsidRDefault="00FB3C8E" w:rsidP="00604A9B">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601A57">
              <w:rPr>
                <w:rFonts w:ascii="Cambria" w:hAnsi="Cambria"/>
                <w:kern w:val="2"/>
                <w:sz w:val="20"/>
                <w:lang w:val="en-US"/>
              </w:rPr>
              <w:t>1</w:t>
            </w:r>
            <w:r w:rsidR="00604A9B">
              <w:rPr>
                <w:rFonts w:ascii="Cambria" w:hAnsi="Cambria"/>
                <w:kern w:val="2"/>
                <w:sz w:val="20"/>
              </w:rPr>
              <w:t>0</w:t>
            </w:r>
            <w:r w:rsidR="00B35E20">
              <w:rPr>
                <w:rFonts w:ascii="Cambria" w:hAnsi="Cambria"/>
                <w:kern w:val="2"/>
                <w:sz w:val="20"/>
              </w:rPr>
              <w:t xml:space="preserve"> (</w:t>
            </w:r>
            <w:r w:rsidR="00604A9B">
              <w:rPr>
                <w:rFonts w:ascii="Cambria" w:hAnsi="Cambria"/>
                <w:kern w:val="2"/>
                <w:sz w:val="20"/>
              </w:rPr>
              <w:t>dešimt</w:t>
            </w:r>
            <w:r w:rsidR="00B35E20">
              <w:rPr>
                <w:rFonts w:ascii="Cambria" w:hAnsi="Cambria"/>
                <w:kern w:val="2"/>
                <w:sz w:val="20"/>
              </w:rPr>
              <w:t xml:space="preserve">) </w:t>
            </w:r>
            <w:r w:rsidR="00EB32D5">
              <w:rPr>
                <w:rFonts w:ascii="Cambria" w:hAnsi="Cambria"/>
                <w:kern w:val="2"/>
                <w:sz w:val="20"/>
              </w:rPr>
              <w:t>darbo</w:t>
            </w:r>
            <w:r w:rsidR="00604A9B">
              <w:rPr>
                <w:rFonts w:ascii="Cambria" w:hAnsi="Cambria"/>
                <w:kern w:val="2"/>
                <w:sz w:val="20"/>
              </w:rPr>
              <w:t xml:space="preserve">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w:t>
            </w:r>
            <w:r w:rsidR="00EB32D5">
              <w:rPr>
                <w:rFonts w:ascii="Cambria" w:hAnsi="Cambria"/>
                <w:iCs/>
                <w:sz w:val="20"/>
              </w:rPr>
              <w:t>LT-</w:t>
            </w:r>
            <w:r w:rsidR="00EB32D5">
              <w:rPr>
                <w:rFonts w:ascii="Cambria" w:hAnsi="Cambria"/>
                <w:iCs/>
                <w:sz w:val="20"/>
                <w:lang w:val="en-US"/>
              </w:rPr>
              <w:t xml:space="preserve">50161 </w:t>
            </w:r>
            <w:r w:rsidR="00604A9B" w:rsidRPr="00604A9B">
              <w:rPr>
                <w:rFonts w:ascii="Cambria" w:hAnsi="Cambria"/>
                <w:iCs/>
                <w:sz w:val="20"/>
              </w:rPr>
              <w:t>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AEFB6A0"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EB32D5">
              <w:rPr>
                <w:rFonts w:ascii="Cambria" w:hAnsi="Cambria"/>
                <w:sz w:val="20"/>
              </w:rPr>
              <w:t>(i</w:t>
            </w:r>
            <w:r w:rsidR="005063E1">
              <w:rPr>
                <w:rFonts w:ascii="Cambria" w:hAnsi="Cambria"/>
                <w:sz w:val="20"/>
              </w:rPr>
              <w:t xml:space="preserve">) </w:t>
            </w:r>
            <w:r w:rsidRPr="00630A54">
              <w:rPr>
                <w:rFonts w:ascii="Cambria" w:hAnsi="Cambria"/>
                <w:kern w:val="2"/>
                <w:sz w:val="20"/>
              </w:rPr>
              <w:t xml:space="preserve">Prekių perdavimo-priėmimo aktas.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B32D5">
              <w:rPr>
                <w:rFonts w:ascii="Cambria" w:hAnsi="Cambria"/>
                <w:color w:val="4472C4" w:themeColor="accent1"/>
                <w:kern w:val="2"/>
                <w:sz w:val="20"/>
              </w:rPr>
              <w:t xml:space="preserve">(nurodyti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F061C4">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108C7C0" w:rsidR="00393511" w:rsidRPr="00351E41" w:rsidRDefault="00393511" w:rsidP="00601A57">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00601A57">
              <w:rPr>
                <w:rFonts w:ascii="Cambria" w:eastAsia="Arial Unicode MS" w:hAnsi="Cambria"/>
                <w:b/>
                <w:sz w:val="20"/>
                <w:szCs w:val="24"/>
                <w:bdr w:val="nil"/>
                <w:lang w:val="en-US"/>
              </w:rPr>
              <w:t>12</w:t>
            </w:r>
            <w:r w:rsidR="00601A57">
              <w:rPr>
                <w:rFonts w:ascii="Cambria" w:eastAsia="Arial Unicode MS" w:hAnsi="Cambria"/>
                <w:b/>
                <w:sz w:val="20"/>
                <w:szCs w:val="24"/>
                <w:bdr w:val="nil"/>
              </w:rPr>
              <w:t xml:space="preserve"> (dvylika</w:t>
            </w:r>
            <w:r w:rsidRPr="00820306">
              <w:rPr>
                <w:rFonts w:ascii="Cambria" w:eastAsia="Arial Unicode MS" w:hAnsi="Cambria"/>
                <w:b/>
                <w:sz w:val="20"/>
                <w:szCs w:val="24"/>
                <w:bdr w:val="nil"/>
              </w:rPr>
              <w:t>)</w:t>
            </w:r>
            <w:r w:rsidR="00601A57">
              <w:rPr>
                <w:rFonts w:ascii="Cambria" w:eastAsia="Arial Unicode MS" w:hAnsi="Cambria"/>
                <w:sz w:val="20"/>
                <w:szCs w:val="24"/>
                <w:bdr w:val="nil"/>
              </w:rPr>
              <w:t xml:space="preserve"> mėnesių</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77777777" w:rsidR="00393511" w:rsidRPr="00FE66C9" w:rsidRDefault="00393511" w:rsidP="00393511">
            <w:pPr>
              <w:jc w:val="both"/>
              <w:rPr>
                <w:rFonts w:ascii="Cambria" w:hAnsi="Cambria"/>
                <w:kern w:val="2"/>
                <w:sz w:val="20"/>
              </w:rPr>
            </w:pPr>
            <w:r w:rsidRPr="00FE66C9">
              <w:rPr>
                <w:rFonts w:ascii="Cambria" w:hAnsi="Cambria"/>
                <w:kern w:val="2"/>
                <w:sz w:val="20"/>
              </w:rPr>
              <w:t xml:space="preserve">Garantinio termino laikotarpiu Nustačius Prekių trūkumų, Tiekėjas, turi atvykti ne vėliau kaip per </w:t>
            </w:r>
            <w:r w:rsidRPr="00FE66C9">
              <w:rPr>
                <w:rFonts w:ascii="Cambria" w:hAnsi="Cambria"/>
                <w:b/>
                <w:kern w:val="2"/>
                <w:sz w:val="20"/>
              </w:rPr>
              <w:t>10 (dešimt)</w:t>
            </w:r>
            <w:r w:rsidRPr="00FE66C9">
              <w:rPr>
                <w:rFonts w:ascii="Cambria" w:hAnsi="Cambria"/>
                <w:kern w:val="2"/>
                <w:sz w:val="20"/>
              </w:rPr>
              <w:t xml:space="preserve"> </w:t>
            </w:r>
            <w:r w:rsidRPr="00FE66C9">
              <w:rPr>
                <w:rFonts w:ascii="Cambria" w:hAnsi="Cambria"/>
                <w:b/>
                <w:kern w:val="2"/>
                <w:sz w:val="20"/>
              </w:rPr>
              <w:t>darbo dienų</w:t>
            </w:r>
            <w:r w:rsidRPr="00FE66C9">
              <w:rPr>
                <w:rFonts w:ascii="Cambria" w:hAnsi="Cambria"/>
                <w:kern w:val="2"/>
                <w:sz w:val="20"/>
              </w:rPr>
              <w:t xml:space="preserve"> nuo rašytinės pretenzijos gavimo dienos pašalinti Prekių trūkumus. </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601A57">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601A57">
            <w:pPr>
              <w:jc w:val="both"/>
              <w:rPr>
                <w:rFonts w:ascii="Cambria" w:hAnsi="Cambria"/>
                <w:kern w:val="2"/>
                <w:sz w:val="20"/>
              </w:rPr>
            </w:pPr>
          </w:p>
          <w:p w14:paraId="35EE1770" w14:textId="04837760" w:rsidR="008E0C10" w:rsidRPr="00351E41" w:rsidRDefault="008E0C10" w:rsidP="00601A57">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601A57">
            <w:pPr>
              <w:jc w:val="both"/>
              <w:rPr>
                <w:rFonts w:ascii="Cambria" w:hAnsi="Cambria"/>
                <w:kern w:val="2"/>
                <w:sz w:val="20"/>
              </w:rPr>
            </w:pPr>
          </w:p>
          <w:p w14:paraId="1FDC783F" w14:textId="77777777" w:rsidR="008E0C10" w:rsidRPr="000E5E41" w:rsidRDefault="008E0C10" w:rsidP="00601A57">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601A57">
            <w:pPr>
              <w:jc w:val="both"/>
              <w:rPr>
                <w:rFonts w:ascii="Cambria" w:hAnsi="Cambria"/>
                <w:kern w:val="2"/>
                <w:sz w:val="20"/>
              </w:rPr>
            </w:pPr>
          </w:p>
          <w:p w14:paraId="100A011A" w14:textId="72EFD5E3" w:rsidR="008E0C10" w:rsidRPr="00351E41" w:rsidRDefault="008E0C10" w:rsidP="00601A57">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ios šimtosios) 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20809FB5"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B64109">
              <w:rPr>
                <w:rFonts w:ascii="Cambria" w:hAnsi="Cambria"/>
                <w:kern w:val="2"/>
                <w:sz w:val="20"/>
              </w:rPr>
              <w:t>10 (</w:t>
            </w:r>
            <w:r w:rsidR="008E0C10" w:rsidRPr="000E5E41">
              <w:rPr>
                <w:rFonts w:ascii="Cambria" w:hAnsi="Cambria"/>
                <w:kern w:val="2"/>
                <w:sz w:val="20"/>
              </w:rPr>
              <w:t xml:space="preserve">dešimt) </w:t>
            </w:r>
            <w:r w:rsidR="008E0C10" w:rsidRPr="00FE1188">
              <w:rPr>
                <w:rFonts w:ascii="Cambria" w:hAnsi="Cambria"/>
                <w:kern w:val="2"/>
                <w:sz w:val="20"/>
              </w:rPr>
              <w:t>procentų dydžio bauda nuo Pradinės Sutarties vertės be PVM, nurodytos Specialiųjų sąlygų 5.2 punkte.</w:t>
            </w:r>
          </w:p>
          <w:p w14:paraId="0CBECBC5" w14:textId="2B00F67D"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B64109">
              <w:rPr>
                <w:rFonts w:ascii="Cambria" w:hAnsi="Cambria"/>
                <w:kern w:val="2"/>
                <w:sz w:val="20"/>
              </w:rPr>
              <w:t>1</w:t>
            </w:r>
            <w:r>
              <w:rPr>
                <w:rFonts w:ascii="Cambria" w:hAnsi="Cambria"/>
                <w:kern w:val="2"/>
                <w:sz w:val="20"/>
              </w:rPr>
              <w:t xml:space="preserve">0 </w:t>
            </w:r>
            <w:r w:rsidRPr="000272ED">
              <w:rPr>
                <w:rFonts w:ascii="Cambria" w:hAnsi="Cambria"/>
                <w:kern w:val="2"/>
                <w:sz w:val="20"/>
              </w:rPr>
              <w:t>(</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79D08E49" w14:textId="77777777" w:rsidR="007304FF" w:rsidRPr="002D2DE0" w:rsidRDefault="007304FF" w:rsidP="007304FF">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7304FF">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7304FF">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7304FF">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7304FF">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7304FF">
            <w:pPr>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7304FF">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7304FF">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7304FF">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7304FF">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7304FF">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7304FF">
            <w:pPr>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53260E41" w14:textId="77777777" w:rsidR="00601A57" w:rsidRPr="00601A57" w:rsidRDefault="006373FD" w:rsidP="00601A57">
            <w:pPr>
              <w:jc w:val="both"/>
              <w:rPr>
                <w:rFonts w:ascii="Cambria" w:hAnsi="Cambria"/>
                <w:color w:val="000000"/>
                <w:sz w:val="20"/>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00601A57">
              <w:rPr>
                <w:rFonts w:ascii="Cambria" w:hAnsi="Cambria"/>
                <w:color w:val="000000"/>
                <w:kern w:val="2"/>
                <w:sz w:val="20"/>
                <w:shd w:val="clear" w:color="auto" w:fill="FFFFFF"/>
              </w:rPr>
              <w:t>4.4</w:t>
            </w:r>
            <w:r w:rsidRPr="007304FF">
              <w:rPr>
                <w:rFonts w:ascii="Cambria" w:hAnsi="Cambria"/>
                <w:color w:val="000000"/>
                <w:kern w:val="2"/>
                <w:sz w:val="20"/>
                <w:shd w:val="clear" w:color="auto" w:fill="FFFFFF"/>
              </w:rPr>
              <w:t>.</w:t>
            </w:r>
            <w:r w:rsidRPr="006373FD">
              <w:rPr>
                <w:rFonts w:ascii="Cambria" w:hAnsi="Cambria"/>
                <w:color w:val="000000"/>
                <w:kern w:val="2"/>
                <w:sz w:val="20"/>
                <w:shd w:val="clear" w:color="auto" w:fill="FFFFFF"/>
              </w:rPr>
              <w:t xml:space="preserve"> </w:t>
            </w:r>
            <w:r w:rsidR="00601A57">
              <w:rPr>
                <w:rFonts w:ascii="Cambria" w:hAnsi="Cambria"/>
                <w:color w:val="000000"/>
                <w:kern w:val="2"/>
                <w:sz w:val="20"/>
                <w:shd w:val="clear" w:color="auto" w:fill="FFFFFF"/>
              </w:rPr>
              <w:t>papunkčiu</w:t>
            </w:r>
            <w:r w:rsidRPr="00522A95">
              <w:rPr>
                <w:rFonts w:ascii="Cambria" w:hAnsi="Cambria"/>
                <w:color w:val="000000"/>
                <w:kern w:val="2"/>
                <w:sz w:val="20"/>
                <w:shd w:val="clear" w:color="auto" w:fill="FFFFFF"/>
              </w:rPr>
              <w:t xml:space="preserve"> </w:t>
            </w:r>
            <w:r w:rsidRPr="00601A57">
              <w:rPr>
                <w:rFonts w:ascii="Cambria" w:hAnsi="Cambria"/>
                <w:color w:val="000000"/>
                <w:kern w:val="2"/>
                <w:sz w:val="20"/>
                <w:shd w:val="clear" w:color="auto" w:fill="FFFFFF"/>
              </w:rPr>
              <w:t>(</w:t>
            </w:r>
            <w:r w:rsidR="00601A57" w:rsidRPr="00601A57">
              <w:rPr>
                <w:rFonts w:ascii="Cambria" w:hAnsi="Cambria"/>
                <w:color w:val="000000"/>
                <w:sz w:val="20"/>
              </w:rPr>
              <w:t>savarankiškai nustatomi aplinkos</w:t>
            </w:r>
          </w:p>
          <w:p w14:paraId="460A0979" w14:textId="75FDAA9A" w:rsidR="006373FD" w:rsidRPr="00601A57" w:rsidRDefault="00601A57" w:rsidP="00601A57">
            <w:pPr>
              <w:jc w:val="both"/>
              <w:rPr>
                <w:rFonts w:ascii="Cambria" w:hAnsi="Cambria"/>
                <w:color w:val="000000"/>
                <w:kern w:val="2"/>
                <w:sz w:val="20"/>
                <w:shd w:val="clear" w:color="auto" w:fill="FFFFFF"/>
              </w:rPr>
            </w:pPr>
            <w:r w:rsidRPr="00601A57">
              <w:rPr>
                <w:rFonts w:ascii="Cambria" w:hAnsi="Cambria"/>
                <w:color w:val="000000"/>
                <w:sz w:val="20"/>
              </w:rPr>
              <w:t>apsaugos kriterijai</w:t>
            </w:r>
            <w:r w:rsidR="00F061C4" w:rsidRPr="00601A57">
              <w:rPr>
                <w:rFonts w:ascii="Cambria" w:hAnsi="Cambria"/>
                <w:color w:val="000000"/>
                <w:kern w:val="2"/>
                <w:sz w:val="20"/>
                <w:shd w:val="clear" w:color="auto" w:fill="FFFFFF"/>
              </w:rPr>
              <w:t>)</w:t>
            </w:r>
            <w:r w:rsidR="007304FF" w:rsidRPr="00601A57">
              <w:rPr>
                <w:rFonts w:ascii="Cambria" w:hAnsi="Cambria"/>
                <w:sz w:val="20"/>
              </w:rPr>
              <w:t>.</w:t>
            </w:r>
          </w:p>
          <w:p w14:paraId="5E3819D0" w14:textId="0A1A4C90"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BE93AF2" w:rsidR="004030FF" w:rsidRDefault="004030FF" w:rsidP="006373FD">
      <w:pPr>
        <w:rPr>
          <w:rFonts w:ascii="Cambria" w:hAnsi="Cambria"/>
          <w:sz w:val="20"/>
        </w:rPr>
      </w:pPr>
    </w:p>
    <w:p w14:paraId="1D8736F3" w14:textId="5F75825E" w:rsidR="00FE66C9" w:rsidRDefault="00FE66C9" w:rsidP="006373FD">
      <w:pPr>
        <w:rPr>
          <w:rFonts w:ascii="Cambria" w:hAnsi="Cambria"/>
          <w:sz w:val="20"/>
        </w:rPr>
      </w:pPr>
    </w:p>
    <w:p w14:paraId="3A173381" w14:textId="20B8C4E1" w:rsidR="00FE66C9" w:rsidRDefault="00FE66C9" w:rsidP="006373FD">
      <w:pPr>
        <w:rPr>
          <w:rFonts w:ascii="Cambria" w:hAnsi="Cambria"/>
          <w:sz w:val="20"/>
        </w:rPr>
      </w:pPr>
    </w:p>
    <w:p w14:paraId="6B65C0EE" w14:textId="2ED68400" w:rsidR="00FE66C9" w:rsidRDefault="00FE66C9" w:rsidP="006373FD">
      <w:pPr>
        <w:rPr>
          <w:rFonts w:ascii="Cambria" w:hAnsi="Cambria"/>
          <w:sz w:val="20"/>
        </w:rPr>
      </w:pPr>
    </w:p>
    <w:p w14:paraId="7692B602" w14:textId="2EC48374" w:rsidR="00FE66C9" w:rsidRDefault="00FE66C9" w:rsidP="006373FD">
      <w:pPr>
        <w:rPr>
          <w:rFonts w:ascii="Cambria" w:hAnsi="Cambria"/>
          <w:sz w:val="20"/>
        </w:rPr>
      </w:pPr>
    </w:p>
    <w:p w14:paraId="43F3B30F" w14:textId="53971B9E" w:rsidR="00FE66C9" w:rsidRDefault="00FE66C9" w:rsidP="006373FD">
      <w:pPr>
        <w:rPr>
          <w:rFonts w:ascii="Cambria" w:hAnsi="Cambria"/>
          <w:sz w:val="20"/>
        </w:rPr>
      </w:pPr>
    </w:p>
    <w:p w14:paraId="4F51CFE2" w14:textId="3D49F9D8" w:rsidR="00601A57" w:rsidRDefault="00601A57" w:rsidP="006373FD">
      <w:pPr>
        <w:rPr>
          <w:rFonts w:ascii="Cambria" w:hAnsi="Cambria"/>
          <w:sz w:val="20"/>
        </w:rPr>
      </w:pPr>
    </w:p>
    <w:p w14:paraId="5D7D970E" w14:textId="77777777" w:rsidR="00FE66C9" w:rsidRDefault="00FE66C9" w:rsidP="006373FD">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54D2AF31" w:rsidR="00144AA0" w:rsidRPr="00421818" w:rsidRDefault="00601A57">
      <w:pPr>
        <w:jc w:val="center"/>
        <w:rPr>
          <w:rFonts w:ascii="Cambria" w:hAnsi="Cambria"/>
          <w:b/>
          <w:sz w:val="20"/>
        </w:rPr>
      </w:pPr>
      <w:r>
        <w:rPr>
          <w:rFonts w:ascii="Cambria" w:hAnsi="Cambria"/>
          <w:b/>
          <w:sz w:val="20"/>
        </w:rPr>
        <w:t>VAKUUMO SIURBLIŲ</w:t>
      </w:r>
      <w:r w:rsidR="00FE66C9">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709"/>
        <w:gridCol w:w="3260"/>
        <w:gridCol w:w="797"/>
        <w:gridCol w:w="1386"/>
        <w:gridCol w:w="1587"/>
        <w:gridCol w:w="1592"/>
        <w:gridCol w:w="1585"/>
      </w:tblGrid>
      <w:tr w:rsidR="006373FD" w:rsidRPr="00F23C41" w14:paraId="79D9E9DF" w14:textId="77777777" w:rsidTr="00FE66C9">
        <w:trPr>
          <w:trHeight w:val="1009"/>
        </w:trPr>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6373FD" w:rsidRDefault="006373FD" w:rsidP="006373FD">
            <w:pPr>
              <w:ind w:firstLine="8"/>
              <w:jc w:val="center"/>
              <w:rPr>
                <w:rFonts w:ascii="Cambria" w:hAnsi="Cambria"/>
                <w:sz w:val="20"/>
                <w:lang w:eastAsia="lt-LT"/>
              </w:rPr>
            </w:pPr>
            <w:r w:rsidRPr="006373FD">
              <w:rPr>
                <w:rFonts w:ascii="Cambria" w:hAnsi="Cambria"/>
                <w:sz w:val="20"/>
                <w:lang w:eastAsia="lt-LT"/>
              </w:rPr>
              <w:t>Eilės</w:t>
            </w:r>
          </w:p>
          <w:p w14:paraId="0628A8F0"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Nr.</w:t>
            </w:r>
          </w:p>
        </w:tc>
        <w:tc>
          <w:tcPr>
            <w:tcW w:w="149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6373FD" w:rsidRDefault="006373FD" w:rsidP="006373FD">
            <w:pPr>
              <w:jc w:val="center"/>
              <w:rPr>
                <w:rFonts w:ascii="Cambria" w:hAnsi="Cambria"/>
                <w:sz w:val="20"/>
                <w:lang w:eastAsia="lt-LT"/>
              </w:rPr>
            </w:pPr>
            <w:r w:rsidRPr="006373FD">
              <w:rPr>
                <w:rFonts w:ascii="Cambria" w:eastAsia="Calibri" w:hAnsi="Cambria"/>
                <w:sz w:val="20"/>
              </w:rPr>
              <w:t xml:space="preserve">Kaina </w:t>
            </w:r>
            <w:proofErr w:type="spellStart"/>
            <w:r w:rsidRPr="006373FD">
              <w:rPr>
                <w:rFonts w:ascii="Cambria" w:eastAsia="Calibri" w:hAnsi="Cambria"/>
                <w:sz w:val="20"/>
              </w:rPr>
              <w:t>vnt</w:t>
            </w:r>
            <w:proofErr w:type="spellEnd"/>
            <w:r w:rsidRPr="006373FD">
              <w:rPr>
                <w:rFonts w:ascii="Cambria" w:eastAsia="Calibri" w:hAnsi="Cambria"/>
                <w:sz w:val="20"/>
              </w:rPr>
              <w:t xml:space="preserve">, be PVM, </w:t>
            </w:r>
            <w:proofErr w:type="spellStart"/>
            <w:r w:rsidRPr="006373FD">
              <w:rPr>
                <w:rFonts w:ascii="Cambria" w:eastAsia="Calibri" w:hAnsi="Cambria"/>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be PVM, </w:t>
            </w:r>
            <w:proofErr w:type="spellStart"/>
            <w:r w:rsidRPr="006373FD">
              <w:rPr>
                <w:rFonts w:ascii="Cambria" w:hAnsi="Cambria"/>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su PVM, </w:t>
            </w:r>
            <w:proofErr w:type="spellStart"/>
            <w:r w:rsidRPr="006373FD">
              <w:rPr>
                <w:rFonts w:ascii="Cambria" w:hAnsi="Cambria"/>
                <w:color w:val="000000"/>
                <w:sz w:val="20"/>
              </w:rPr>
              <w:t>Eur</w:t>
            </w:r>
            <w:proofErr w:type="spellEnd"/>
          </w:p>
        </w:tc>
      </w:tr>
      <w:tr w:rsidR="006373FD" w:rsidRPr="00F23C41" w14:paraId="7CF13E8F" w14:textId="77777777" w:rsidTr="00FE66C9">
        <w:trPr>
          <w:trHeight w:val="629"/>
        </w:trPr>
        <w:tc>
          <w:tcPr>
            <w:tcW w:w="325" w:type="pct"/>
            <w:tcBorders>
              <w:top w:val="nil"/>
              <w:left w:val="single" w:sz="4" w:space="0" w:color="auto"/>
              <w:bottom w:val="single" w:sz="4" w:space="0" w:color="auto"/>
              <w:right w:val="single" w:sz="4" w:space="0" w:color="auto"/>
            </w:tcBorders>
            <w:shd w:val="clear" w:color="auto" w:fill="auto"/>
            <w:noWrap/>
            <w:vAlign w:val="center"/>
          </w:tcPr>
          <w:p w14:paraId="37EDFC36" w14:textId="01123B03" w:rsidR="006373FD" w:rsidRPr="006373FD" w:rsidRDefault="006373FD" w:rsidP="005063E1">
            <w:pPr>
              <w:tabs>
                <w:tab w:val="left" w:pos="596"/>
              </w:tabs>
              <w:ind w:left="3960" w:hanging="3960"/>
              <w:jc w:val="center"/>
              <w:rPr>
                <w:rFonts w:ascii="Cambria" w:hAnsi="Cambria"/>
                <w:sz w:val="20"/>
                <w:lang w:eastAsia="lt-LT"/>
              </w:rPr>
            </w:pPr>
          </w:p>
        </w:tc>
        <w:tc>
          <w:tcPr>
            <w:tcW w:w="1493" w:type="pct"/>
            <w:tcBorders>
              <w:top w:val="nil"/>
              <w:left w:val="nil"/>
              <w:bottom w:val="single" w:sz="4" w:space="0" w:color="auto"/>
              <w:right w:val="single" w:sz="4" w:space="0" w:color="auto"/>
            </w:tcBorders>
            <w:shd w:val="clear" w:color="auto" w:fill="auto"/>
            <w:vAlign w:val="center"/>
          </w:tcPr>
          <w:p w14:paraId="3FF1622F" w14:textId="3848938A" w:rsidR="006373FD" w:rsidRPr="006373FD" w:rsidRDefault="006373FD" w:rsidP="00A82322">
            <w:pPr>
              <w:rPr>
                <w:rFonts w:ascii="Cambria" w:hAnsi="Cambria"/>
                <w:sz w:val="20"/>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2A0C4CBF" w:rsidR="006373FD" w:rsidRPr="006373FD" w:rsidRDefault="006373FD" w:rsidP="005063E1">
            <w:pPr>
              <w:jc w:val="center"/>
              <w:rPr>
                <w:rFonts w:ascii="Cambria" w:hAnsi="Cambria"/>
                <w:sz w:val="20"/>
                <w:lang w:eastAsia="lt-LT"/>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1FF11CE7" w:rsidR="006373FD" w:rsidRPr="006373FD" w:rsidRDefault="006373FD" w:rsidP="005063E1">
            <w:pPr>
              <w:jc w:val="center"/>
              <w:rPr>
                <w:rFonts w:ascii="Cambria" w:hAnsi="Cambria"/>
                <w:sz w:val="20"/>
                <w:lang w:eastAsia="lt-LT"/>
              </w:rPr>
            </w:pP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01A57">
        <w:trPr>
          <w:trHeight w:val="283"/>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03B6" w14:textId="77777777" w:rsidR="009912B9" w:rsidRDefault="009912B9">
      <w:pPr>
        <w:rPr>
          <w:kern w:val="2"/>
          <w:sz w:val="22"/>
          <w:szCs w:val="22"/>
          <w:lang w:val="en-US"/>
        </w:rPr>
      </w:pPr>
      <w:r>
        <w:rPr>
          <w:kern w:val="2"/>
          <w:sz w:val="22"/>
          <w:szCs w:val="22"/>
          <w:lang w:val="en-US"/>
        </w:rPr>
        <w:separator/>
      </w:r>
    </w:p>
  </w:endnote>
  <w:endnote w:type="continuationSeparator" w:id="0">
    <w:p w14:paraId="388F5230" w14:textId="77777777" w:rsidR="009912B9" w:rsidRDefault="009912B9">
      <w:pPr>
        <w:rPr>
          <w:kern w:val="2"/>
          <w:sz w:val="22"/>
          <w:szCs w:val="22"/>
          <w:lang w:val="en-US"/>
        </w:rPr>
      </w:pPr>
      <w:r>
        <w:rPr>
          <w:kern w:val="2"/>
          <w:sz w:val="22"/>
          <w:szCs w:val="22"/>
          <w:lang w:val="en-US"/>
        </w:rPr>
        <w:continuationSeparator/>
      </w:r>
    </w:p>
  </w:endnote>
  <w:endnote w:type="continuationNotice" w:id="1">
    <w:p w14:paraId="4E7AD457" w14:textId="77777777" w:rsidR="009912B9" w:rsidRDefault="009912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061C4" w:rsidRDefault="00F061C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061C4" w:rsidRDefault="00F061C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061C4" w:rsidRDefault="00F061C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DEF43" w14:textId="77777777" w:rsidR="009912B9" w:rsidRDefault="009912B9">
      <w:pPr>
        <w:rPr>
          <w:kern w:val="2"/>
          <w:sz w:val="22"/>
          <w:szCs w:val="22"/>
          <w:lang w:val="en-US"/>
        </w:rPr>
      </w:pPr>
      <w:r>
        <w:rPr>
          <w:kern w:val="2"/>
          <w:sz w:val="22"/>
          <w:szCs w:val="22"/>
          <w:lang w:val="en-US"/>
        </w:rPr>
        <w:separator/>
      </w:r>
    </w:p>
  </w:footnote>
  <w:footnote w:type="continuationSeparator" w:id="0">
    <w:p w14:paraId="1DEC37CD" w14:textId="77777777" w:rsidR="009912B9" w:rsidRDefault="009912B9">
      <w:pPr>
        <w:rPr>
          <w:kern w:val="2"/>
          <w:sz w:val="22"/>
          <w:szCs w:val="22"/>
          <w:lang w:val="en-US"/>
        </w:rPr>
      </w:pPr>
      <w:r>
        <w:rPr>
          <w:kern w:val="2"/>
          <w:sz w:val="22"/>
          <w:szCs w:val="22"/>
          <w:lang w:val="en-US"/>
        </w:rPr>
        <w:continuationSeparator/>
      </w:r>
    </w:p>
  </w:footnote>
  <w:footnote w:type="continuationNotice" w:id="1">
    <w:p w14:paraId="57C5EBA1" w14:textId="77777777" w:rsidR="009912B9" w:rsidRDefault="009912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061C4" w:rsidRDefault="00F061C4">
    <w:pPr>
      <w:tabs>
        <w:tab w:val="center" w:pos="4680"/>
        <w:tab w:val="right" w:pos="9360"/>
      </w:tabs>
      <w:spacing w:after="160" w:line="259" w:lineRule="auto"/>
      <w:rPr>
        <w:kern w:val="2"/>
        <w:sz w:val="22"/>
        <w:szCs w:val="22"/>
        <w:lang w:val="en-US"/>
      </w:rPr>
    </w:pPr>
  </w:p>
  <w:p w14:paraId="434F0E27" w14:textId="77777777" w:rsidR="00F061C4" w:rsidRDefault="00F06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11F12C0A" w:rsidR="00F061C4" w:rsidRPr="00A10867" w:rsidRDefault="00F061C4" w:rsidP="00A10867">
    <w:pPr>
      <w:tabs>
        <w:tab w:val="center" w:pos="4819"/>
        <w:tab w:val="right" w:pos="9638"/>
      </w:tabs>
      <w:jc w:val="center"/>
    </w:pPr>
    <w:r>
      <w:fldChar w:fldCharType="begin"/>
    </w:r>
    <w:r>
      <w:instrText>PAGE   \* MERGEFORMAT</w:instrText>
    </w:r>
    <w:r>
      <w:fldChar w:fldCharType="separate"/>
    </w:r>
    <w:r w:rsidR="00397CF8">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4D31A36B"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Atviro konkurso (supaprastinto pirkimo) sąlygų</w:t>
    </w:r>
  </w:p>
  <w:p w14:paraId="045714EB" w14:textId="299FB415"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Projektas</w:t>
    </w:r>
  </w:p>
  <w:p w14:paraId="4F67C23D" w14:textId="37FFB9D1" w:rsidR="00F061C4" w:rsidRPr="00351521" w:rsidRDefault="00F061C4" w:rsidP="003A1AD0">
    <w:pPr>
      <w:tabs>
        <w:tab w:val="center" w:pos="4819"/>
        <w:tab w:val="right" w:pos="9638"/>
      </w:tabs>
      <w:jc w:val="right"/>
      <w:rPr>
        <w:rFonts w:ascii="Cambria" w:eastAsia="Arial" w:hAnsi="Cambria"/>
        <w:sz w:val="20"/>
        <w:lang w:val="en-US"/>
      </w:rPr>
    </w:pPr>
    <w:r w:rsidRPr="00CC6B0C">
      <w:rPr>
        <w:rFonts w:ascii="Cambria" w:eastAsia="Arial" w:hAnsi="Cambria"/>
        <w:sz w:val="20"/>
      </w:rPr>
      <w:t>SUTP-</w:t>
    </w:r>
    <w:r w:rsidR="00351521">
      <w:rPr>
        <w:rFonts w:ascii="Cambria" w:eastAsia="Arial" w:hAnsi="Cambria"/>
        <w:sz w:val="20"/>
        <w:lang w:val="en-US"/>
      </w:rPr>
      <w:t>4764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905A4"/>
    <w:rsid w:val="000B202A"/>
    <w:rsid w:val="000B20A0"/>
    <w:rsid w:val="000B40B7"/>
    <w:rsid w:val="000C2DDF"/>
    <w:rsid w:val="000E5E41"/>
    <w:rsid w:val="001116A3"/>
    <w:rsid w:val="00113E1B"/>
    <w:rsid w:val="00125AA0"/>
    <w:rsid w:val="00137ECB"/>
    <w:rsid w:val="00144AA0"/>
    <w:rsid w:val="00172B03"/>
    <w:rsid w:val="00175FC6"/>
    <w:rsid w:val="00182B5F"/>
    <w:rsid w:val="001B43E3"/>
    <w:rsid w:val="001C70AB"/>
    <w:rsid w:val="001F597F"/>
    <w:rsid w:val="00224253"/>
    <w:rsid w:val="00263DDB"/>
    <w:rsid w:val="00282A79"/>
    <w:rsid w:val="002C3F37"/>
    <w:rsid w:val="002D2DE0"/>
    <w:rsid w:val="002D3DA5"/>
    <w:rsid w:val="002E2C32"/>
    <w:rsid w:val="002E753D"/>
    <w:rsid w:val="002F2E14"/>
    <w:rsid w:val="00306F35"/>
    <w:rsid w:val="00327115"/>
    <w:rsid w:val="00327882"/>
    <w:rsid w:val="00334826"/>
    <w:rsid w:val="0034503F"/>
    <w:rsid w:val="00345731"/>
    <w:rsid w:val="00351521"/>
    <w:rsid w:val="00351E41"/>
    <w:rsid w:val="00356479"/>
    <w:rsid w:val="00393511"/>
    <w:rsid w:val="00397CF8"/>
    <w:rsid w:val="003A1AD0"/>
    <w:rsid w:val="003C2BC7"/>
    <w:rsid w:val="003E62E2"/>
    <w:rsid w:val="003F5512"/>
    <w:rsid w:val="004030FF"/>
    <w:rsid w:val="00421818"/>
    <w:rsid w:val="004B5F2B"/>
    <w:rsid w:val="004B781F"/>
    <w:rsid w:val="004D3004"/>
    <w:rsid w:val="004D34E4"/>
    <w:rsid w:val="005063E1"/>
    <w:rsid w:val="0051488F"/>
    <w:rsid w:val="00515137"/>
    <w:rsid w:val="00517CF1"/>
    <w:rsid w:val="0052043E"/>
    <w:rsid w:val="00522A95"/>
    <w:rsid w:val="0054260B"/>
    <w:rsid w:val="00550D13"/>
    <w:rsid w:val="00567033"/>
    <w:rsid w:val="00596B32"/>
    <w:rsid w:val="005A5832"/>
    <w:rsid w:val="005B7A1D"/>
    <w:rsid w:val="005F5B23"/>
    <w:rsid w:val="00601A57"/>
    <w:rsid w:val="00604A9B"/>
    <w:rsid w:val="00616E41"/>
    <w:rsid w:val="0062125F"/>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16832"/>
    <w:rsid w:val="00826E68"/>
    <w:rsid w:val="00835BEE"/>
    <w:rsid w:val="00855ABC"/>
    <w:rsid w:val="00871D4F"/>
    <w:rsid w:val="008726C5"/>
    <w:rsid w:val="0087391E"/>
    <w:rsid w:val="00873F62"/>
    <w:rsid w:val="008B48E4"/>
    <w:rsid w:val="008C2811"/>
    <w:rsid w:val="008E0C10"/>
    <w:rsid w:val="008F3BFE"/>
    <w:rsid w:val="00934E97"/>
    <w:rsid w:val="00967A53"/>
    <w:rsid w:val="00970EC0"/>
    <w:rsid w:val="009868ED"/>
    <w:rsid w:val="009912B9"/>
    <w:rsid w:val="009E010D"/>
    <w:rsid w:val="00A10867"/>
    <w:rsid w:val="00A35759"/>
    <w:rsid w:val="00A51079"/>
    <w:rsid w:val="00A6059E"/>
    <w:rsid w:val="00A70840"/>
    <w:rsid w:val="00A82322"/>
    <w:rsid w:val="00AC151D"/>
    <w:rsid w:val="00B135A1"/>
    <w:rsid w:val="00B35E20"/>
    <w:rsid w:val="00B64109"/>
    <w:rsid w:val="00BE6E79"/>
    <w:rsid w:val="00BE7224"/>
    <w:rsid w:val="00C041CF"/>
    <w:rsid w:val="00C35BE4"/>
    <w:rsid w:val="00C50C8B"/>
    <w:rsid w:val="00C55059"/>
    <w:rsid w:val="00CC51C8"/>
    <w:rsid w:val="00CC6B0C"/>
    <w:rsid w:val="00CF4242"/>
    <w:rsid w:val="00D544D8"/>
    <w:rsid w:val="00D640C9"/>
    <w:rsid w:val="00D87A40"/>
    <w:rsid w:val="00D97374"/>
    <w:rsid w:val="00DB3555"/>
    <w:rsid w:val="00DC3ABA"/>
    <w:rsid w:val="00DF6087"/>
    <w:rsid w:val="00E72E97"/>
    <w:rsid w:val="00EB32D5"/>
    <w:rsid w:val="00EC1F89"/>
    <w:rsid w:val="00EC4A28"/>
    <w:rsid w:val="00F061C4"/>
    <w:rsid w:val="00F17F4C"/>
    <w:rsid w:val="00F43473"/>
    <w:rsid w:val="00F74E8A"/>
    <w:rsid w:val="00FB00EA"/>
    <w:rsid w:val="00FB3C8E"/>
    <w:rsid w:val="00FB6057"/>
    <w:rsid w:val="00FC01B8"/>
    <w:rsid w:val="00FD5725"/>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C27900-5823-4A29-82B2-114D49DE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10385</Words>
  <Characters>5920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13</cp:revision>
  <dcterms:created xsi:type="dcterms:W3CDTF">2025-06-05T12:34:00Z</dcterms:created>
  <dcterms:modified xsi:type="dcterms:W3CDTF">2025-12-27T13:40:00Z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